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5.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5E41" w:rsidRPr="001117C9" w:rsidRDefault="00647FE2">
      <w:pPr>
        <w:pStyle w:val="TITLEOFRALI"/>
        <w:rPr>
          <w:rFonts w:cs="Calibri"/>
          <w:lang w:val="en-AU"/>
        </w:rPr>
      </w:pPr>
      <w:r w:rsidRPr="001117C9">
        <w:rPr>
          <w:rFonts w:cs="Calibri"/>
          <w:lang w:val="en-AU"/>
        </w:rPr>
        <w:t xml:space="preserve">wireless </w:t>
      </w:r>
      <w:r w:rsidR="00523355" w:rsidRPr="001117C9">
        <w:rPr>
          <w:rFonts w:cs="Calibri"/>
          <w:lang w:val="en-AU"/>
        </w:rPr>
        <w:t>Audio</w:t>
      </w:r>
      <w:r w:rsidRPr="001117C9">
        <w:rPr>
          <w:rFonts w:cs="Calibri"/>
          <w:lang w:val="en-AU"/>
        </w:rPr>
        <w:t xml:space="preserve"> devices</w:t>
      </w:r>
      <w:r w:rsidR="001B6885" w:rsidRPr="001117C9">
        <w:rPr>
          <w:rFonts w:cs="Calibri"/>
          <w:lang w:val="en-AU"/>
        </w:rPr>
        <w:t>:</w:t>
      </w:r>
      <w:r w:rsidRPr="001117C9">
        <w:rPr>
          <w:rFonts w:cs="Calibri"/>
          <w:lang w:val="en-AU"/>
        </w:rPr>
        <w:t xml:space="preserve"> </w:t>
      </w:r>
    </w:p>
    <w:p w:rsidR="009C0489" w:rsidRDefault="009C0489">
      <w:pPr>
        <w:pStyle w:val="TITLEOFRALI"/>
        <w:rPr>
          <w:rFonts w:cs="Calibri"/>
          <w:lang w:val="en-AU"/>
        </w:rPr>
      </w:pPr>
      <w:r>
        <w:rPr>
          <w:rFonts w:cs="Calibri"/>
          <w:lang w:val="en-AU"/>
        </w:rPr>
        <w:t xml:space="preserve">apparatus licensing </w:t>
      </w:r>
      <w:r w:rsidR="00B61DFB">
        <w:rPr>
          <w:rFonts w:cs="Calibri"/>
          <w:lang w:val="en-AU"/>
        </w:rPr>
        <w:t xml:space="preserve">frequency COORDINATION PROCEDURES </w:t>
      </w:r>
    </w:p>
    <w:p w:rsidR="009C0489" w:rsidRDefault="009C0489">
      <w:pPr>
        <w:pStyle w:val="TITLEOFRALI"/>
        <w:rPr>
          <w:rFonts w:cs="Calibri"/>
          <w:lang w:val="en-AU"/>
        </w:rPr>
      </w:pPr>
    </w:p>
    <w:p w:rsidR="00070CE3" w:rsidRDefault="00934341">
      <w:pPr>
        <w:rPr>
          <w:b/>
          <w:color w:val="FF0000"/>
          <w:sz w:val="28"/>
          <w:szCs w:val="28"/>
          <w:lang w:val="en-AU"/>
        </w:rPr>
      </w:pPr>
      <w:r w:rsidRPr="00545509">
        <w:rPr>
          <w:b/>
          <w:color w:val="FF0000"/>
          <w:sz w:val="28"/>
          <w:szCs w:val="28"/>
          <w:lang w:val="en-AU"/>
        </w:rPr>
        <w:t xml:space="preserve">Note:  </w:t>
      </w:r>
      <w:r w:rsidR="00887AD3" w:rsidRPr="00887AD3">
        <w:rPr>
          <w:b/>
          <w:color w:val="FF0000"/>
          <w:sz w:val="28"/>
          <w:szCs w:val="28"/>
          <w:lang w:val="en-AU"/>
        </w:rPr>
        <w:t xml:space="preserve">Typically </w:t>
      </w:r>
      <w:r w:rsidR="00887AD3">
        <w:rPr>
          <w:b/>
          <w:color w:val="FF0000"/>
          <w:sz w:val="28"/>
          <w:szCs w:val="28"/>
          <w:lang w:val="en-AU"/>
        </w:rPr>
        <w:t xml:space="preserve">the operation of </w:t>
      </w:r>
      <w:r w:rsidRPr="00545509">
        <w:rPr>
          <w:b/>
          <w:color w:val="FF0000"/>
          <w:sz w:val="28"/>
          <w:szCs w:val="28"/>
          <w:lang w:val="en-AU"/>
        </w:rPr>
        <w:t xml:space="preserve">wireless audio devices </w:t>
      </w:r>
      <w:r w:rsidR="00887AD3">
        <w:rPr>
          <w:b/>
          <w:color w:val="FF0000"/>
          <w:sz w:val="28"/>
          <w:szCs w:val="28"/>
          <w:lang w:val="en-AU"/>
        </w:rPr>
        <w:t xml:space="preserve">is </w:t>
      </w:r>
      <w:r w:rsidRPr="00545509">
        <w:rPr>
          <w:b/>
          <w:color w:val="FF0000"/>
          <w:sz w:val="28"/>
          <w:szCs w:val="28"/>
          <w:lang w:val="en-AU"/>
        </w:rPr>
        <w:t>authorised under the Radiocommunications (Low Interference Potential Devices Class) Licence</w:t>
      </w:r>
      <w:r w:rsidR="00070CE3">
        <w:rPr>
          <w:b/>
          <w:color w:val="FF0000"/>
          <w:sz w:val="28"/>
          <w:szCs w:val="28"/>
          <w:lang w:val="en-AU"/>
        </w:rPr>
        <w:t xml:space="preserve"> and that operation is not affected by the arrangements outlined in this document. </w:t>
      </w:r>
      <w:r w:rsidR="00887AD3">
        <w:rPr>
          <w:b/>
          <w:color w:val="FF0000"/>
          <w:sz w:val="28"/>
          <w:szCs w:val="28"/>
          <w:lang w:val="en-AU"/>
        </w:rPr>
        <w:t xml:space="preserve">  T</w:t>
      </w:r>
      <w:r w:rsidRPr="00545509">
        <w:rPr>
          <w:b/>
          <w:color w:val="FF0000"/>
          <w:sz w:val="28"/>
          <w:szCs w:val="28"/>
          <w:lang w:val="en-AU"/>
        </w:rPr>
        <w:t>he class licence should be referred to first before considering apparatus licensing</w:t>
      </w:r>
      <w:r w:rsidR="00E408D6">
        <w:rPr>
          <w:b/>
          <w:color w:val="FF0000"/>
          <w:sz w:val="28"/>
          <w:szCs w:val="28"/>
          <w:lang w:val="en-AU"/>
        </w:rPr>
        <w:t xml:space="preserve">.  </w:t>
      </w:r>
      <w:r w:rsidR="00070CE3" w:rsidRPr="00070CE3">
        <w:rPr>
          <w:b/>
          <w:color w:val="FF0000"/>
          <w:sz w:val="28"/>
          <w:szCs w:val="28"/>
          <w:lang w:val="en-AU"/>
        </w:rPr>
        <w:t xml:space="preserve">For information on spectrum that is available under class licence see the </w:t>
      </w:r>
      <w:proofErr w:type="spellStart"/>
      <w:r w:rsidR="00070CE3" w:rsidRPr="00070CE3">
        <w:rPr>
          <w:b/>
          <w:color w:val="FF0000"/>
          <w:sz w:val="28"/>
          <w:szCs w:val="28"/>
          <w:lang w:val="en-AU"/>
        </w:rPr>
        <w:t>ACMA’s</w:t>
      </w:r>
      <w:proofErr w:type="spellEnd"/>
      <w:r w:rsidR="00070CE3" w:rsidRPr="00070CE3">
        <w:rPr>
          <w:b/>
          <w:color w:val="FF0000"/>
          <w:sz w:val="28"/>
          <w:szCs w:val="28"/>
          <w:lang w:val="en-AU"/>
        </w:rPr>
        <w:t xml:space="preserve"> </w:t>
      </w:r>
      <w:hyperlink r:id="rId8" w:history="1">
        <w:r w:rsidR="00070CE3" w:rsidRPr="00070CE3">
          <w:rPr>
            <w:rStyle w:val="Hyperlink"/>
            <w:b/>
            <w:sz w:val="28"/>
            <w:szCs w:val="28"/>
            <w:lang w:val="en-AU"/>
          </w:rPr>
          <w:t>online channel finder and factsheets</w:t>
        </w:r>
      </w:hyperlink>
      <w:r w:rsidR="00070CE3">
        <w:rPr>
          <w:b/>
          <w:color w:val="FF0000"/>
          <w:sz w:val="28"/>
          <w:szCs w:val="28"/>
          <w:lang w:val="en-AU"/>
        </w:rPr>
        <w:t xml:space="preserve">. </w:t>
      </w:r>
    </w:p>
    <w:p w:rsidR="00070CE3" w:rsidRDefault="00070CE3">
      <w:pPr>
        <w:rPr>
          <w:b/>
          <w:color w:val="FF0000"/>
          <w:sz w:val="28"/>
          <w:szCs w:val="28"/>
          <w:lang w:val="en-AU"/>
        </w:rPr>
      </w:pPr>
    </w:p>
    <w:p w:rsidR="004808E2" w:rsidRPr="00545509" w:rsidRDefault="00E408D6">
      <w:pPr>
        <w:rPr>
          <w:b/>
          <w:color w:val="FF0000"/>
          <w:sz w:val="28"/>
          <w:szCs w:val="28"/>
          <w:lang w:val="en-AU"/>
        </w:rPr>
        <w:sectPr w:rsidR="004808E2" w:rsidRPr="00545509">
          <w:headerReference w:type="even" r:id="rId9"/>
          <w:headerReference w:type="default" r:id="rId10"/>
          <w:footerReference w:type="even" r:id="rId11"/>
          <w:footerReference w:type="default" r:id="rId12"/>
          <w:headerReference w:type="first" r:id="rId13"/>
          <w:footerReference w:type="first" r:id="rId14"/>
          <w:pgSz w:w="11907" w:h="16840" w:code="9"/>
          <w:pgMar w:top="1134" w:right="1134" w:bottom="1134" w:left="1418" w:header="720" w:footer="720" w:gutter="0"/>
          <w:cols w:space="720"/>
          <w:vAlign w:val="center"/>
          <w:titlePg/>
        </w:sectPr>
      </w:pPr>
      <w:r w:rsidRPr="008B38DF">
        <w:rPr>
          <w:b/>
          <w:color w:val="FF0000"/>
          <w:sz w:val="28"/>
          <w:szCs w:val="28"/>
          <w:lang w:val="en-AU"/>
        </w:rPr>
        <w:t xml:space="preserve">The </w:t>
      </w:r>
      <w:r w:rsidR="00070CE3" w:rsidRPr="008B38DF">
        <w:rPr>
          <w:b/>
          <w:color w:val="FF0000"/>
          <w:sz w:val="28"/>
          <w:szCs w:val="28"/>
          <w:lang w:val="en-AU"/>
        </w:rPr>
        <w:t>arrangements outlined in this document are</w:t>
      </w:r>
      <w:r w:rsidRPr="008B38DF">
        <w:rPr>
          <w:b/>
          <w:color w:val="FF0000"/>
          <w:sz w:val="28"/>
          <w:szCs w:val="28"/>
          <w:lang w:val="en-AU"/>
        </w:rPr>
        <w:t xml:space="preserve"> intended </w:t>
      </w:r>
      <w:r w:rsidR="00070CE3" w:rsidRPr="008B38DF">
        <w:rPr>
          <w:b/>
          <w:color w:val="FF0000"/>
          <w:sz w:val="28"/>
          <w:szCs w:val="28"/>
          <w:lang w:val="en-AU"/>
        </w:rPr>
        <w:t xml:space="preserve">to provide additional spectrum options </w:t>
      </w:r>
      <w:r w:rsidRPr="008B38DF">
        <w:rPr>
          <w:b/>
          <w:color w:val="FF0000"/>
          <w:sz w:val="28"/>
          <w:szCs w:val="28"/>
          <w:lang w:val="en-AU"/>
        </w:rPr>
        <w:t>for scenarios that are not covered by the class licence</w:t>
      </w:r>
      <w:r w:rsidR="00070CE3" w:rsidRPr="008B38DF">
        <w:rPr>
          <w:b/>
          <w:color w:val="FF0000"/>
          <w:sz w:val="28"/>
          <w:szCs w:val="28"/>
          <w:lang w:val="en-AU"/>
        </w:rPr>
        <w:t xml:space="preserve">, but operation can otherwise be technically configured so not to cause interference to other services supporting.  </w:t>
      </w:r>
      <w:r w:rsidRPr="008B38DF">
        <w:rPr>
          <w:b/>
          <w:color w:val="FF0000"/>
          <w:sz w:val="28"/>
          <w:szCs w:val="28"/>
          <w:lang w:val="en-AU"/>
        </w:rPr>
        <w:t xml:space="preserve"> </w:t>
      </w:r>
      <w:r w:rsidR="00070CE3" w:rsidRPr="008B38DF">
        <w:rPr>
          <w:b/>
          <w:color w:val="FF0000"/>
          <w:sz w:val="28"/>
          <w:szCs w:val="28"/>
          <w:lang w:val="en-AU"/>
        </w:rPr>
        <w:t xml:space="preserve">Possible </w:t>
      </w:r>
      <w:r w:rsidR="0097257C" w:rsidRPr="008B38DF">
        <w:rPr>
          <w:b/>
          <w:color w:val="FF0000"/>
          <w:sz w:val="28"/>
          <w:szCs w:val="28"/>
          <w:lang w:val="en-AU"/>
        </w:rPr>
        <w:t>applications include</w:t>
      </w:r>
      <w:r w:rsidR="00070CE3" w:rsidRPr="008B38DF">
        <w:rPr>
          <w:b/>
          <w:color w:val="FF0000"/>
          <w:sz w:val="28"/>
          <w:szCs w:val="28"/>
          <w:lang w:val="en-AU"/>
        </w:rPr>
        <w:t xml:space="preserve"> providing additional spectrum options and </w:t>
      </w:r>
      <w:r w:rsidR="00E45C23" w:rsidRPr="008B38DF">
        <w:rPr>
          <w:b/>
          <w:color w:val="FF0000"/>
          <w:sz w:val="28"/>
          <w:szCs w:val="28"/>
          <w:lang w:val="en-AU"/>
        </w:rPr>
        <w:t xml:space="preserve">flexibility in the use of </w:t>
      </w:r>
      <w:r w:rsidRPr="008B38DF">
        <w:rPr>
          <w:b/>
          <w:color w:val="FF0000"/>
          <w:sz w:val="28"/>
          <w:szCs w:val="28"/>
          <w:lang w:val="en-AU"/>
        </w:rPr>
        <w:t xml:space="preserve">wireless </w:t>
      </w:r>
      <w:r w:rsidR="00E45C23" w:rsidRPr="008B38DF">
        <w:rPr>
          <w:b/>
          <w:color w:val="FF0000"/>
          <w:sz w:val="28"/>
          <w:szCs w:val="28"/>
          <w:lang w:val="en-AU"/>
        </w:rPr>
        <w:t xml:space="preserve">devices </w:t>
      </w:r>
      <w:r w:rsidRPr="008B38DF">
        <w:rPr>
          <w:b/>
          <w:color w:val="FF0000"/>
          <w:sz w:val="28"/>
          <w:szCs w:val="28"/>
          <w:lang w:val="en-AU"/>
        </w:rPr>
        <w:t>audio at major events</w:t>
      </w:r>
      <w:r w:rsidR="00E45C23" w:rsidRPr="008B38DF">
        <w:rPr>
          <w:b/>
          <w:color w:val="FF0000"/>
          <w:sz w:val="28"/>
          <w:szCs w:val="28"/>
          <w:lang w:val="en-AU"/>
        </w:rPr>
        <w:t xml:space="preserve"> or by professional users</w:t>
      </w:r>
      <w:r w:rsidRPr="008B38DF">
        <w:rPr>
          <w:b/>
          <w:color w:val="FF0000"/>
          <w:sz w:val="28"/>
          <w:szCs w:val="28"/>
          <w:lang w:val="en-AU"/>
        </w:rPr>
        <w:t>.</w:t>
      </w:r>
      <w:r>
        <w:rPr>
          <w:b/>
          <w:color w:val="FF0000"/>
          <w:sz w:val="28"/>
          <w:szCs w:val="28"/>
          <w:lang w:val="en-AU"/>
        </w:rPr>
        <w:t xml:space="preserve"> </w:t>
      </w:r>
    </w:p>
    <w:p w:rsidR="00094E0C" w:rsidRPr="001117C9" w:rsidRDefault="00094E0C">
      <w:pPr>
        <w:jc w:val="center"/>
        <w:rPr>
          <w:rFonts w:cs="Calibri"/>
          <w:b/>
          <w:sz w:val="28"/>
          <w:lang w:val="en-AU"/>
        </w:rPr>
      </w:pPr>
      <w:r w:rsidRPr="001117C9">
        <w:rPr>
          <w:rFonts w:cs="Calibri"/>
          <w:b/>
          <w:sz w:val="28"/>
          <w:lang w:val="en-AU"/>
        </w:rPr>
        <w:lastRenderedPageBreak/>
        <w:t>RADIOCOMMUNICATIONS ASSIGNMENT AND LICENSING INSTRUCTIONS</w:t>
      </w:r>
    </w:p>
    <w:p w:rsidR="00094E0C" w:rsidRPr="001117C9" w:rsidRDefault="00094E0C">
      <w:pPr>
        <w:jc w:val="center"/>
        <w:rPr>
          <w:rFonts w:cs="Calibri"/>
          <w:b/>
          <w:sz w:val="28"/>
          <w:lang w:val="en-AU"/>
        </w:rPr>
      </w:pPr>
    </w:p>
    <w:p w:rsidR="00094E0C" w:rsidRPr="001117C9" w:rsidRDefault="00094E0C">
      <w:pPr>
        <w:pBdr>
          <w:top w:val="double" w:sz="12" w:space="1" w:color="auto"/>
          <w:left w:val="double" w:sz="12" w:space="1" w:color="auto"/>
          <w:bottom w:val="double" w:sz="12" w:space="1" w:color="auto"/>
          <w:right w:val="double" w:sz="12" w:space="1" w:color="auto"/>
        </w:pBdr>
        <w:ind w:left="567" w:hanging="567"/>
        <w:jc w:val="center"/>
        <w:rPr>
          <w:rFonts w:cs="Calibri"/>
          <w:b/>
          <w:lang w:val="en-AU"/>
        </w:rPr>
      </w:pPr>
    </w:p>
    <w:p w:rsidR="00094E0C" w:rsidRPr="001117C9" w:rsidRDefault="00094E0C">
      <w:pPr>
        <w:pBdr>
          <w:top w:val="double" w:sz="12" w:space="1" w:color="auto"/>
          <w:left w:val="double" w:sz="12" w:space="1" w:color="auto"/>
          <w:bottom w:val="double" w:sz="12" w:space="1" w:color="auto"/>
          <w:right w:val="double" w:sz="12" w:space="1" w:color="auto"/>
        </w:pBdr>
        <w:ind w:left="567" w:hanging="567"/>
        <w:jc w:val="center"/>
        <w:outlineLvl w:val="0"/>
        <w:rPr>
          <w:rFonts w:cs="Calibri"/>
          <w:b/>
          <w:lang w:val="en-AU"/>
        </w:rPr>
      </w:pPr>
      <w:r w:rsidRPr="001117C9">
        <w:rPr>
          <w:rFonts w:cs="Calibri"/>
          <w:b/>
          <w:lang w:val="en-AU"/>
        </w:rPr>
        <w:t>DISCLAIMER</w:t>
      </w:r>
    </w:p>
    <w:p w:rsidR="00094E0C" w:rsidRPr="001117C9" w:rsidRDefault="00094E0C">
      <w:pPr>
        <w:pBdr>
          <w:top w:val="double" w:sz="12" w:space="1" w:color="auto"/>
          <w:left w:val="double" w:sz="12" w:space="1" w:color="auto"/>
          <w:bottom w:val="double" w:sz="12" w:space="1" w:color="auto"/>
          <w:right w:val="double" w:sz="12" w:space="1" w:color="auto"/>
        </w:pBdr>
        <w:ind w:left="567" w:hanging="567"/>
        <w:jc w:val="center"/>
        <w:rPr>
          <w:rFonts w:cs="Calibri"/>
          <w:lang w:val="en-AU"/>
        </w:rPr>
      </w:pPr>
    </w:p>
    <w:p w:rsidR="00327A64" w:rsidRPr="001117C9" w:rsidRDefault="00094E0C" w:rsidP="00327A64">
      <w:pPr>
        <w:pBdr>
          <w:top w:val="double" w:sz="12" w:space="1" w:color="auto"/>
          <w:left w:val="double" w:sz="12" w:space="1" w:color="auto"/>
          <w:bottom w:val="double" w:sz="12" w:space="1" w:color="auto"/>
          <w:right w:val="double" w:sz="12" w:space="1" w:color="auto"/>
        </w:pBdr>
        <w:ind w:left="284" w:hanging="284"/>
        <w:rPr>
          <w:rFonts w:cs="Calibri"/>
          <w:lang w:val="en-AU"/>
        </w:rPr>
      </w:pPr>
      <w:r w:rsidRPr="001117C9">
        <w:rPr>
          <w:rFonts w:cs="Calibri"/>
          <w:lang w:val="en-AU"/>
        </w:rPr>
        <w:tab/>
      </w:r>
      <w:r w:rsidR="00327A64" w:rsidRPr="001117C9">
        <w:rPr>
          <w:rFonts w:cs="Calibri"/>
          <w:lang w:val="en-AU"/>
        </w:rPr>
        <w:t xml:space="preserve">The Australian Communications and Media Authority (ACMA) advises that these instructions reflect the current policies of </w:t>
      </w:r>
      <w:r w:rsidR="001E7620" w:rsidRPr="001117C9">
        <w:rPr>
          <w:rFonts w:cs="Calibri"/>
          <w:lang w:val="en-AU"/>
        </w:rPr>
        <w:t xml:space="preserve">the </w:t>
      </w:r>
      <w:r w:rsidR="00327A64" w:rsidRPr="001117C9">
        <w:rPr>
          <w:rFonts w:cs="Calibri"/>
          <w:lang w:val="en-AU"/>
        </w:rPr>
        <w:t>ACMA.</w:t>
      </w:r>
    </w:p>
    <w:p w:rsidR="00EA7152" w:rsidRPr="001117C9" w:rsidRDefault="00EA7152" w:rsidP="00327A64">
      <w:pPr>
        <w:pBdr>
          <w:top w:val="double" w:sz="12" w:space="1" w:color="auto"/>
          <w:left w:val="double" w:sz="12" w:space="1" w:color="auto"/>
          <w:bottom w:val="double" w:sz="12" w:space="1" w:color="auto"/>
          <w:right w:val="double" w:sz="12" w:space="1" w:color="auto"/>
        </w:pBdr>
        <w:ind w:left="284" w:hanging="284"/>
        <w:rPr>
          <w:rFonts w:cs="Calibri"/>
          <w:lang w:val="en-AU"/>
        </w:rPr>
      </w:pPr>
    </w:p>
    <w:p w:rsidR="00327A64" w:rsidRPr="001117C9" w:rsidRDefault="00327A64" w:rsidP="00327A64">
      <w:pPr>
        <w:pBdr>
          <w:top w:val="double" w:sz="12" w:space="1" w:color="auto"/>
          <w:left w:val="double" w:sz="12" w:space="1" w:color="auto"/>
          <w:bottom w:val="double" w:sz="12" w:space="1" w:color="auto"/>
          <w:right w:val="double" w:sz="12" w:space="1" w:color="auto"/>
        </w:pBdr>
        <w:ind w:left="284" w:hanging="284"/>
        <w:rPr>
          <w:rFonts w:cs="Calibri"/>
          <w:lang w:val="en-AU"/>
        </w:rPr>
      </w:pPr>
      <w:r w:rsidRPr="001117C9">
        <w:rPr>
          <w:rFonts w:cs="Calibri"/>
          <w:lang w:val="en-AU"/>
        </w:rPr>
        <w:tab/>
        <w:t>Prospective applicants for licences should take all necessary steps to ensure that they have access to appropriate technical and other specialist advice independently of ACMA concerning their applications, the operation of radiocommunications equipment and services, and any other matters relevant to the operation of transmitters and services under the licences in question.</w:t>
      </w:r>
    </w:p>
    <w:p w:rsidR="00EA7152" w:rsidRPr="001117C9" w:rsidRDefault="00EA7152" w:rsidP="00327A64">
      <w:pPr>
        <w:pBdr>
          <w:top w:val="double" w:sz="12" w:space="1" w:color="auto"/>
          <w:left w:val="double" w:sz="12" w:space="1" w:color="auto"/>
          <w:bottom w:val="double" w:sz="12" w:space="1" w:color="auto"/>
          <w:right w:val="double" w:sz="12" w:space="1" w:color="auto"/>
        </w:pBdr>
        <w:ind w:left="284" w:hanging="284"/>
        <w:rPr>
          <w:rFonts w:cs="Calibri"/>
          <w:lang w:val="en-AU"/>
        </w:rPr>
      </w:pPr>
    </w:p>
    <w:p w:rsidR="00327A64" w:rsidRPr="001117C9" w:rsidRDefault="00327A64" w:rsidP="00327A64">
      <w:pPr>
        <w:pBdr>
          <w:top w:val="double" w:sz="12" w:space="1" w:color="auto"/>
          <w:left w:val="double" w:sz="12" w:space="1" w:color="auto"/>
          <w:bottom w:val="double" w:sz="12" w:space="1" w:color="auto"/>
          <w:right w:val="double" w:sz="12" w:space="1" w:color="auto"/>
        </w:pBdr>
        <w:ind w:left="284" w:hanging="284"/>
        <w:rPr>
          <w:rFonts w:cs="Calibri"/>
          <w:lang w:val="en-AU"/>
        </w:rPr>
      </w:pPr>
      <w:r w:rsidRPr="001117C9">
        <w:rPr>
          <w:rFonts w:cs="Calibri"/>
          <w:lang w:val="en-AU"/>
        </w:rPr>
        <w:tab/>
        <w:t>The policies of ACMA and the laws of the Commonwealth may change from time to time, and prospective licensees should ensure that they have informed themselves of the current policies of ACMA and of any relevant legislation (including subordinate instruments). Prospective applicants for licences should not rely on statements made in these instructions about the policies that may be followed by other government authorities or entities, nor about the effect of legislation. These instructions are not a substitute for independent advice (legal or otherwise) tailored to the circumstances of individual applicants.</w:t>
      </w:r>
    </w:p>
    <w:p w:rsidR="00EA7152" w:rsidRPr="001117C9" w:rsidRDefault="00EA7152" w:rsidP="00327A64">
      <w:pPr>
        <w:pBdr>
          <w:top w:val="double" w:sz="12" w:space="1" w:color="auto"/>
          <w:left w:val="double" w:sz="12" w:space="1" w:color="auto"/>
          <w:bottom w:val="double" w:sz="12" w:space="1" w:color="auto"/>
          <w:right w:val="double" w:sz="12" w:space="1" w:color="auto"/>
        </w:pBdr>
        <w:ind w:left="284" w:hanging="284"/>
        <w:rPr>
          <w:rFonts w:cs="Calibri"/>
          <w:lang w:val="en-AU"/>
        </w:rPr>
      </w:pPr>
    </w:p>
    <w:p w:rsidR="00327A64" w:rsidRPr="001117C9" w:rsidRDefault="00327A64" w:rsidP="00327A64">
      <w:pPr>
        <w:pBdr>
          <w:top w:val="double" w:sz="12" w:space="1" w:color="auto"/>
          <w:left w:val="double" w:sz="12" w:space="1" w:color="auto"/>
          <w:bottom w:val="double" w:sz="12" w:space="1" w:color="auto"/>
          <w:right w:val="double" w:sz="12" w:space="1" w:color="auto"/>
        </w:pBdr>
        <w:ind w:left="284" w:hanging="284"/>
        <w:rPr>
          <w:rFonts w:cs="Calibri"/>
          <w:lang w:val="en-AU"/>
        </w:rPr>
      </w:pPr>
      <w:r w:rsidRPr="001117C9">
        <w:rPr>
          <w:rFonts w:cs="Calibri"/>
          <w:lang w:val="en-AU"/>
        </w:rPr>
        <w:tab/>
        <w:t>Radiocommunications Assignment and Licensing Instructions are subject to periodic review and are amended as ACMA considers necessary. To keep abreast of developments, it is important that users ensure that they are in possession of the latest edition.</w:t>
      </w:r>
    </w:p>
    <w:p w:rsidR="00EA7152" w:rsidRPr="001117C9" w:rsidRDefault="00EA7152" w:rsidP="00327A64">
      <w:pPr>
        <w:pBdr>
          <w:top w:val="double" w:sz="12" w:space="1" w:color="auto"/>
          <w:left w:val="double" w:sz="12" w:space="1" w:color="auto"/>
          <w:bottom w:val="double" w:sz="12" w:space="1" w:color="auto"/>
          <w:right w:val="double" w:sz="12" w:space="1" w:color="auto"/>
        </w:pBdr>
        <w:ind w:left="284" w:hanging="284"/>
        <w:rPr>
          <w:rFonts w:cs="Calibri"/>
          <w:lang w:val="en-AU"/>
        </w:rPr>
      </w:pPr>
    </w:p>
    <w:p w:rsidR="00094E0C" w:rsidRPr="001117C9" w:rsidRDefault="00327A64">
      <w:pPr>
        <w:pBdr>
          <w:top w:val="double" w:sz="12" w:space="1" w:color="auto"/>
          <w:left w:val="double" w:sz="12" w:space="1" w:color="auto"/>
          <w:bottom w:val="double" w:sz="12" w:space="1" w:color="auto"/>
          <w:right w:val="double" w:sz="12" w:space="1" w:color="auto"/>
        </w:pBdr>
        <w:ind w:left="284" w:hanging="284"/>
        <w:rPr>
          <w:rFonts w:cs="Calibri"/>
          <w:lang w:val="en-AU"/>
        </w:rPr>
      </w:pPr>
      <w:r w:rsidRPr="001117C9">
        <w:rPr>
          <w:rFonts w:cs="Calibri"/>
          <w:lang w:val="en-AU"/>
        </w:rPr>
        <w:tab/>
        <w:t xml:space="preserve">No liability is or will be accepted by the Minister or </w:t>
      </w:r>
      <w:r w:rsidR="00E77762" w:rsidRPr="001117C9">
        <w:rPr>
          <w:rFonts w:cs="Calibri"/>
          <w:lang w:val="en-AU"/>
        </w:rPr>
        <w:t>the Department of Broadband, Communications and the Digital Economy</w:t>
      </w:r>
      <w:r w:rsidRPr="001117C9">
        <w:rPr>
          <w:rFonts w:cs="Calibri"/>
          <w:lang w:val="en-AU"/>
        </w:rPr>
        <w:t>, ACMA, the Commonwealth of Australia, or its officers, servants or agents for any loss suffered, whether arising directly or indirectly, due to reliance on the accuracy or contents of these instructions.</w:t>
      </w:r>
    </w:p>
    <w:p w:rsidR="00094E0C" w:rsidRPr="001117C9" w:rsidRDefault="00094E0C">
      <w:pPr>
        <w:pBdr>
          <w:top w:val="double" w:sz="12" w:space="1" w:color="auto"/>
          <w:left w:val="double" w:sz="12" w:space="1" w:color="auto"/>
          <w:bottom w:val="double" w:sz="12" w:space="1" w:color="auto"/>
          <w:right w:val="double" w:sz="12" w:space="1" w:color="auto"/>
        </w:pBdr>
        <w:ind w:left="567" w:hanging="567"/>
        <w:rPr>
          <w:rFonts w:cs="Calibri"/>
          <w:lang w:val="en-AU"/>
        </w:rPr>
      </w:pPr>
    </w:p>
    <w:p w:rsidR="00094E0C" w:rsidRPr="001117C9" w:rsidRDefault="00094E0C">
      <w:pPr>
        <w:ind w:left="567" w:hanging="567"/>
        <w:rPr>
          <w:rFonts w:cs="Calibri"/>
          <w:lang w:val="en-AU"/>
        </w:rPr>
      </w:pPr>
    </w:p>
    <w:p w:rsidR="00327A64" w:rsidRPr="001117C9" w:rsidRDefault="00327A64" w:rsidP="00327A64">
      <w:pPr>
        <w:rPr>
          <w:rFonts w:cs="Calibri"/>
          <w:lang w:val="en-AU"/>
        </w:rPr>
      </w:pPr>
      <w:r w:rsidRPr="001117C9">
        <w:rPr>
          <w:rFonts w:cs="Calibri"/>
          <w:lang w:val="en-AU"/>
        </w:rPr>
        <w:t>Suggestions for improvements to Radiocommunications Assignment and Licensing Instructions may be addressed to The Manager, Spectrum Engineering, ACMA at PO Box 78, Belconnen, ACT, 2616</w:t>
      </w:r>
      <w:r w:rsidR="000A63C5" w:rsidRPr="001117C9">
        <w:rPr>
          <w:rFonts w:cs="Calibri"/>
          <w:lang w:val="en-AU"/>
        </w:rPr>
        <w:t xml:space="preserve">, </w:t>
      </w:r>
      <w:r w:rsidR="000A63C5" w:rsidRPr="001117C9">
        <w:rPr>
          <w:rFonts w:asciiTheme="minorHAnsi" w:hAnsiTheme="minorHAnsi" w:cstheme="minorHAnsi"/>
          <w:lang w:val="en-AU"/>
        </w:rPr>
        <w:t xml:space="preserve">or by e-mail to </w:t>
      </w:r>
      <w:hyperlink r:id="rId15" w:history="1">
        <w:r w:rsidR="00790F2F" w:rsidRPr="001117C9">
          <w:rPr>
            <w:rStyle w:val="Hyperlink"/>
            <w:rFonts w:asciiTheme="minorHAnsi" w:hAnsiTheme="minorHAnsi" w:cstheme="minorHAnsi"/>
            <w:lang w:val="en-AU"/>
          </w:rPr>
          <w:t>freqplan@acma.gov.au</w:t>
        </w:r>
      </w:hyperlink>
      <w:r w:rsidR="00790F2F" w:rsidRPr="001117C9">
        <w:rPr>
          <w:rFonts w:asciiTheme="minorHAnsi" w:hAnsiTheme="minorHAnsi" w:cstheme="minorHAnsi"/>
          <w:lang w:val="en-AU"/>
        </w:rPr>
        <w:t xml:space="preserve">. </w:t>
      </w:r>
      <w:r w:rsidRPr="001117C9">
        <w:rPr>
          <w:rFonts w:cs="Calibri"/>
          <w:lang w:val="en-AU"/>
        </w:rPr>
        <w:t xml:space="preserve"> It would be appreciated if notification to ACMA of any inaccuracy or ambiguity found be made without delay in order that the matter may be investigated and appropriate action taken. </w:t>
      </w:r>
    </w:p>
    <w:p w:rsidR="00103EE2" w:rsidRDefault="00103EE2">
      <w:pPr>
        <w:widowControl/>
        <w:rPr>
          <w:rFonts w:cs="Calibri"/>
          <w:b/>
          <w:sz w:val="30"/>
          <w:lang w:val="en-AU"/>
        </w:rPr>
      </w:pPr>
      <w:r>
        <w:rPr>
          <w:rFonts w:cs="Calibri"/>
          <w:b/>
          <w:sz w:val="30"/>
          <w:lang w:val="en-AU"/>
        </w:rPr>
        <w:br w:type="page"/>
      </w:r>
    </w:p>
    <w:p w:rsidR="00103EE2" w:rsidRDefault="00103EE2" w:rsidP="00103EE2">
      <w:pPr>
        <w:rPr>
          <w:sz w:val="32"/>
          <w:szCs w:val="32"/>
        </w:rPr>
      </w:pPr>
      <w:r w:rsidRPr="001A4E3D">
        <w:rPr>
          <w:sz w:val="32"/>
          <w:szCs w:val="32"/>
        </w:rPr>
        <w:lastRenderedPageBreak/>
        <w:t>Amendment History</w:t>
      </w:r>
    </w:p>
    <w:p w:rsidR="00103EE2" w:rsidRDefault="00103EE2" w:rsidP="00103EE2"/>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085"/>
        <w:gridCol w:w="6528"/>
      </w:tblGrid>
      <w:tr w:rsidR="00103EE2" w:rsidRPr="002E390A" w:rsidTr="0098234C">
        <w:trPr>
          <w:cantSplit/>
          <w:tblHeader/>
        </w:trPr>
        <w:tc>
          <w:tcPr>
            <w:tcW w:w="2085" w:type="dxa"/>
            <w:shd w:val="clear" w:color="auto" w:fill="D9D9D9"/>
          </w:tcPr>
          <w:p w:rsidR="00103EE2" w:rsidRPr="002E390A" w:rsidRDefault="00103EE2" w:rsidP="0098234C">
            <w:pPr>
              <w:pStyle w:val="TableHeading"/>
              <w:rPr>
                <w:rFonts w:eastAsiaTheme="minorHAnsi"/>
              </w:rPr>
            </w:pPr>
            <w:r w:rsidRPr="002E390A">
              <w:rPr>
                <w:rFonts w:eastAsiaTheme="minorHAnsi"/>
              </w:rPr>
              <w:t>Date</w:t>
            </w:r>
          </w:p>
        </w:tc>
        <w:tc>
          <w:tcPr>
            <w:tcW w:w="6528" w:type="dxa"/>
            <w:shd w:val="clear" w:color="auto" w:fill="D9D9D9"/>
          </w:tcPr>
          <w:p w:rsidR="00103EE2" w:rsidRPr="002E390A" w:rsidRDefault="00103EE2" w:rsidP="0098234C">
            <w:pPr>
              <w:pStyle w:val="TableHeading"/>
              <w:rPr>
                <w:rFonts w:eastAsiaTheme="minorHAnsi"/>
              </w:rPr>
            </w:pPr>
            <w:r w:rsidRPr="002E390A">
              <w:rPr>
                <w:rFonts w:eastAsiaTheme="minorHAnsi"/>
              </w:rPr>
              <w:t>Comments</w:t>
            </w:r>
          </w:p>
        </w:tc>
      </w:tr>
      <w:tr w:rsidR="00103EE2" w:rsidRPr="002E390A" w:rsidTr="0098234C">
        <w:tc>
          <w:tcPr>
            <w:tcW w:w="2085" w:type="dxa"/>
            <w:vAlign w:val="center"/>
          </w:tcPr>
          <w:p w:rsidR="00103EE2" w:rsidRPr="002E390A" w:rsidRDefault="00103EE2" w:rsidP="00AF5AC3">
            <w:pPr>
              <w:pStyle w:val="TableBody"/>
              <w:rPr>
                <w:rFonts w:eastAsiaTheme="minorHAnsi"/>
              </w:rPr>
            </w:pPr>
            <w:r>
              <w:rPr>
                <w:rFonts w:eastAsiaTheme="minorHAnsi"/>
              </w:rPr>
              <w:t xml:space="preserve">February 2015 </w:t>
            </w:r>
          </w:p>
        </w:tc>
        <w:tc>
          <w:tcPr>
            <w:tcW w:w="6528" w:type="dxa"/>
          </w:tcPr>
          <w:p w:rsidR="00103EE2" w:rsidRPr="002E390A" w:rsidRDefault="00103EE2" w:rsidP="00AC1749">
            <w:pPr>
              <w:pStyle w:val="TableBody"/>
              <w:rPr>
                <w:rFonts w:eastAsiaTheme="minorHAnsi"/>
              </w:rPr>
            </w:pPr>
            <w:r w:rsidRPr="002E390A">
              <w:rPr>
                <w:rFonts w:eastAsiaTheme="minorHAnsi"/>
              </w:rPr>
              <w:t xml:space="preserve">Initial </w:t>
            </w:r>
            <w:r>
              <w:rPr>
                <w:rFonts w:eastAsiaTheme="minorHAnsi"/>
              </w:rPr>
              <w:t>release</w:t>
            </w:r>
            <w:r w:rsidR="00EB617E">
              <w:rPr>
                <w:rFonts w:eastAsiaTheme="minorHAnsi"/>
              </w:rPr>
              <w:t xml:space="preserve">.  Refer </w:t>
            </w:r>
            <w:proofErr w:type="spellStart"/>
            <w:r w:rsidRPr="00103EE2">
              <w:rPr>
                <w:rFonts w:eastAsiaTheme="minorHAnsi"/>
                <w:lang w:val="en"/>
              </w:rPr>
              <w:t>IFC</w:t>
            </w:r>
            <w:proofErr w:type="spellEnd"/>
            <w:r w:rsidRPr="00103EE2">
              <w:rPr>
                <w:rFonts w:eastAsiaTheme="minorHAnsi"/>
                <w:lang w:val="en"/>
              </w:rPr>
              <w:t xml:space="preserve"> 54/2014</w:t>
            </w:r>
            <w:r>
              <w:rPr>
                <w:rFonts w:eastAsiaTheme="minorHAnsi"/>
                <w:lang w:val="en"/>
              </w:rPr>
              <w:t xml:space="preserve"> </w:t>
            </w:r>
            <w:hyperlink r:id="rId16" w:history="1">
              <w:r w:rsidRPr="00103EE2">
                <w:rPr>
                  <w:rStyle w:val="Hyperlink"/>
                  <w:rFonts w:eastAsiaTheme="minorHAnsi"/>
                  <w:lang w:val="en"/>
                </w:rPr>
                <w:t>Proposed frequency coordination procedures for apparatus licensed wireless audio devices</w:t>
              </w:r>
            </w:hyperlink>
          </w:p>
        </w:tc>
      </w:tr>
      <w:tr w:rsidR="00103EE2" w:rsidRPr="002E390A" w:rsidTr="0098234C">
        <w:tc>
          <w:tcPr>
            <w:tcW w:w="2085" w:type="dxa"/>
            <w:vAlign w:val="center"/>
          </w:tcPr>
          <w:p w:rsidR="00103EE2" w:rsidRPr="002E390A" w:rsidRDefault="00103EE2" w:rsidP="0098234C">
            <w:pPr>
              <w:pStyle w:val="TableBody"/>
              <w:jc w:val="center"/>
              <w:rPr>
                <w:rFonts w:eastAsiaTheme="minorHAnsi"/>
              </w:rPr>
            </w:pPr>
          </w:p>
        </w:tc>
        <w:tc>
          <w:tcPr>
            <w:tcW w:w="6528" w:type="dxa"/>
          </w:tcPr>
          <w:p w:rsidR="00103EE2" w:rsidRPr="002E390A" w:rsidRDefault="00103EE2" w:rsidP="0098234C">
            <w:pPr>
              <w:pStyle w:val="TableBody"/>
              <w:rPr>
                <w:rFonts w:eastAsiaTheme="minorHAnsi"/>
              </w:rPr>
            </w:pPr>
          </w:p>
        </w:tc>
      </w:tr>
    </w:tbl>
    <w:p w:rsidR="00103EE2" w:rsidRDefault="00103EE2" w:rsidP="00AF5AC3">
      <w:pPr>
        <w:rPr>
          <w:rFonts w:cs="Calibri"/>
          <w:b/>
          <w:sz w:val="30"/>
          <w:lang w:val="en-AU"/>
        </w:rPr>
      </w:pPr>
    </w:p>
    <w:p w:rsidR="00103EE2" w:rsidRDefault="00103EE2" w:rsidP="00AF5AC3">
      <w:pPr>
        <w:rPr>
          <w:rFonts w:cs="Calibri"/>
          <w:b/>
          <w:sz w:val="30"/>
          <w:lang w:val="en-AU"/>
        </w:rPr>
      </w:pPr>
    </w:p>
    <w:p w:rsidR="00103EE2" w:rsidRPr="001117C9" w:rsidRDefault="00103EE2">
      <w:pPr>
        <w:jc w:val="center"/>
        <w:rPr>
          <w:rFonts w:cs="Calibri"/>
          <w:b/>
          <w:sz w:val="30"/>
          <w:lang w:val="en-AU"/>
        </w:rPr>
        <w:sectPr w:rsidR="00103EE2" w:rsidRPr="001117C9" w:rsidSect="009811DB">
          <w:headerReference w:type="even" r:id="rId17"/>
          <w:headerReference w:type="default" r:id="rId18"/>
          <w:footerReference w:type="default" r:id="rId19"/>
          <w:headerReference w:type="first" r:id="rId20"/>
          <w:pgSz w:w="11907" w:h="16840" w:code="9"/>
          <w:pgMar w:top="1134" w:right="1134" w:bottom="1134" w:left="1418" w:header="720" w:footer="720" w:gutter="0"/>
          <w:pgNumType w:fmt="lowerRoman" w:start="1"/>
          <w:cols w:space="720"/>
        </w:sectPr>
      </w:pPr>
    </w:p>
    <w:p w:rsidR="00094E0C" w:rsidRPr="001117C9" w:rsidRDefault="00094E0C">
      <w:pPr>
        <w:pBdr>
          <w:bottom w:val="single" w:sz="12" w:space="1" w:color="auto"/>
        </w:pBdr>
        <w:jc w:val="right"/>
        <w:outlineLvl w:val="0"/>
        <w:rPr>
          <w:rFonts w:cs="Calibri"/>
          <w:b/>
          <w:sz w:val="30"/>
          <w:lang w:val="en-AU"/>
        </w:rPr>
      </w:pPr>
      <w:r w:rsidRPr="001117C9">
        <w:rPr>
          <w:rFonts w:cs="Calibri"/>
          <w:b/>
          <w:sz w:val="28"/>
          <w:lang w:val="en-AU"/>
        </w:rPr>
        <w:lastRenderedPageBreak/>
        <w:t>Table of Contents</w:t>
      </w:r>
    </w:p>
    <w:p w:rsidR="00152F0D" w:rsidRDefault="008E3777">
      <w:pPr>
        <w:pStyle w:val="TOC1"/>
        <w:tabs>
          <w:tab w:val="left" w:pos="480"/>
          <w:tab w:val="right" w:leader="dot" w:pos="9345"/>
        </w:tabs>
        <w:rPr>
          <w:rFonts w:asciiTheme="minorHAnsi" w:eastAsiaTheme="minorEastAsia" w:hAnsiTheme="minorHAnsi" w:cstheme="minorBidi"/>
          <w:b w:val="0"/>
          <w:caps w:val="0"/>
          <w:noProof/>
          <w:szCs w:val="22"/>
          <w:lang w:val="en-AU"/>
        </w:rPr>
      </w:pPr>
      <w:r w:rsidRPr="001117C9">
        <w:rPr>
          <w:rFonts w:cs="Calibri"/>
          <w:sz w:val="30"/>
          <w:lang w:val="en-AU"/>
        </w:rPr>
        <w:fldChar w:fldCharType="begin"/>
      </w:r>
      <w:r w:rsidR="00094E0C" w:rsidRPr="001117C9">
        <w:rPr>
          <w:rFonts w:cs="Calibri"/>
          <w:sz w:val="30"/>
          <w:lang w:val="en-AU"/>
        </w:rPr>
        <w:instrText xml:space="preserve"> TOC \o "1-3" </w:instrText>
      </w:r>
      <w:r w:rsidRPr="001117C9">
        <w:rPr>
          <w:rFonts w:cs="Calibri"/>
          <w:sz w:val="30"/>
          <w:lang w:val="en-AU"/>
        </w:rPr>
        <w:fldChar w:fldCharType="separate"/>
      </w:r>
      <w:r w:rsidR="00152F0D" w:rsidRPr="00B334F6">
        <w:rPr>
          <w:noProof/>
          <w:lang w:val="en-AU"/>
        </w:rPr>
        <w:t>1</w:t>
      </w:r>
      <w:r w:rsidR="00152F0D">
        <w:rPr>
          <w:rFonts w:asciiTheme="minorHAnsi" w:eastAsiaTheme="minorEastAsia" w:hAnsiTheme="minorHAnsi" w:cstheme="minorBidi"/>
          <w:b w:val="0"/>
          <w:caps w:val="0"/>
          <w:noProof/>
          <w:szCs w:val="22"/>
          <w:lang w:val="en-AU"/>
        </w:rPr>
        <w:tab/>
      </w:r>
      <w:r w:rsidR="00152F0D" w:rsidRPr="00B334F6">
        <w:rPr>
          <w:noProof/>
          <w:lang w:val="en-AU"/>
        </w:rPr>
        <w:t>Introduction</w:t>
      </w:r>
      <w:r w:rsidR="00152F0D">
        <w:rPr>
          <w:noProof/>
        </w:rPr>
        <w:tab/>
      </w:r>
      <w:r w:rsidR="00152F0D">
        <w:rPr>
          <w:noProof/>
        </w:rPr>
        <w:fldChar w:fldCharType="begin"/>
      </w:r>
      <w:r w:rsidR="00152F0D">
        <w:rPr>
          <w:noProof/>
        </w:rPr>
        <w:instrText xml:space="preserve"> PAGEREF _Toc402794157 \h </w:instrText>
      </w:r>
      <w:r w:rsidR="00152F0D">
        <w:rPr>
          <w:noProof/>
        </w:rPr>
      </w:r>
      <w:r w:rsidR="00152F0D">
        <w:rPr>
          <w:noProof/>
        </w:rPr>
        <w:fldChar w:fldCharType="separate"/>
      </w:r>
      <w:r w:rsidR="00C71A98">
        <w:rPr>
          <w:noProof/>
        </w:rPr>
        <w:t>1</w:t>
      </w:r>
      <w:r w:rsidR="00152F0D">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1.1</w:t>
      </w:r>
      <w:r>
        <w:rPr>
          <w:rFonts w:asciiTheme="minorHAnsi" w:eastAsiaTheme="minorEastAsia" w:hAnsiTheme="minorHAnsi" w:cstheme="minorBidi"/>
          <w:smallCaps w:val="0"/>
          <w:noProof/>
          <w:sz w:val="22"/>
          <w:szCs w:val="22"/>
          <w:lang w:val="en-AU"/>
        </w:rPr>
        <w:tab/>
      </w:r>
      <w:r w:rsidRPr="00B334F6">
        <w:rPr>
          <w:noProof/>
          <w:lang w:val="en-AU"/>
        </w:rPr>
        <w:t>Purpose</w:t>
      </w:r>
      <w:r>
        <w:rPr>
          <w:noProof/>
        </w:rPr>
        <w:tab/>
      </w:r>
      <w:r>
        <w:rPr>
          <w:noProof/>
        </w:rPr>
        <w:fldChar w:fldCharType="begin"/>
      </w:r>
      <w:r>
        <w:rPr>
          <w:noProof/>
        </w:rPr>
        <w:instrText xml:space="preserve"> PAGEREF _Toc402794158 \h </w:instrText>
      </w:r>
      <w:r>
        <w:rPr>
          <w:noProof/>
        </w:rPr>
      </w:r>
      <w:r>
        <w:rPr>
          <w:noProof/>
        </w:rPr>
        <w:fldChar w:fldCharType="separate"/>
      </w:r>
      <w:r w:rsidR="00C71A98">
        <w:rPr>
          <w:noProof/>
        </w:rPr>
        <w:t>1</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1.2</w:t>
      </w:r>
      <w:r>
        <w:rPr>
          <w:rFonts w:asciiTheme="minorHAnsi" w:eastAsiaTheme="minorEastAsia" w:hAnsiTheme="minorHAnsi" w:cstheme="minorBidi"/>
          <w:smallCaps w:val="0"/>
          <w:noProof/>
          <w:sz w:val="22"/>
          <w:szCs w:val="22"/>
          <w:lang w:val="en-AU"/>
        </w:rPr>
        <w:tab/>
      </w:r>
      <w:r w:rsidRPr="00B334F6">
        <w:rPr>
          <w:noProof/>
          <w:lang w:val="en-AU"/>
        </w:rPr>
        <w:t>Scope</w:t>
      </w:r>
      <w:r>
        <w:rPr>
          <w:noProof/>
        </w:rPr>
        <w:tab/>
      </w:r>
      <w:r>
        <w:rPr>
          <w:noProof/>
        </w:rPr>
        <w:fldChar w:fldCharType="begin"/>
      </w:r>
      <w:r>
        <w:rPr>
          <w:noProof/>
        </w:rPr>
        <w:instrText xml:space="preserve"> PAGEREF _Toc402794159 \h </w:instrText>
      </w:r>
      <w:r>
        <w:rPr>
          <w:noProof/>
        </w:rPr>
      </w:r>
      <w:r>
        <w:rPr>
          <w:noProof/>
        </w:rPr>
        <w:fldChar w:fldCharType="separate"/>
      </w:r>
      <w:r w:rsidR="00C71A98">
        <w:rPr>
          <w:noProof/>
        </w:rPr>
        <w:t>1</w:t>
      </w:r>
      <w:r>
        <w:rPr>
          <w:noProof/>
        </w:rPr>
        <w:fldChar w:fldCharType="end"/>
      </w:r>
    </w:p>
    <w:p w:rsidR="00152F0D" w:rsidRDefault="00152F0D">
      <w:pPr>
        <w:pStyle w:val="TOC1"/>
        <w:tabs>
          <w:tab w:val="left" w:pos="480"/>
          <w:tab w:val="right" w:leader="dot" w:pos="9345"/>
        </w:tabs>
        <w:rPr>
          <w:rFonts w:asciiTheme="minorHAnsi" w:eastAsiaTheme="minorEastAsia" w:hAnsiTheme="minorHAnsi" w:cstheme="minorBidi"/>
          <w:b w:val="0"/>
          <w:caps w:val="0"/>
          <w:noProof/>
          <w:szCs w:val="22"/>
          <w:lang w:val="en-AU"/>
        </w:rPr>
      </w:pPr>
      <w:r w:rsidRPr="00B334F6">
        <w:rPr>
          <w:noProof/>
          <w:lang w:val="en-AU"/>
        </w:rPr>
        <w:t>2</w:t>
      </w:r>
      <w:r>
        <w:rPr>
          <w:rFonts w:asciiTheme="minorHAnsi" w:eastAsiaTheme="minorEastAsia" w:hAnsiTheme="minorHAnsi" w:cstheme="minorBidi"/>
          <w:b w:val="0"/>
          <w:caps w:val="0"/>
          <w:noProof/>
          <w:szCs w:val="22"/>
          <w:lang w:val="en-AU"/>
        </w:rPr>
        <w:tab/>
      </w:r>
      <w:r w:rsidRPr="00B334F6">
        <w:rPr>
          <w:noProof/>
          <w:lang w:val="en-AU"/>
        </w:rPr>
        <w:t>Background</w:t>
      </w:r>
      <w:r>
        <w:rPr>
          <w:noProof/>
        </w:rPr>
        <w:tab/>
      </w:r>
      <w:r>
        <w:rPr>
          <w:noProof/>
        </w:rPr>
        <w:fldChar w:fldCharType="begin"/>
      </w:r>
      <w:r>
        <w:rPr>
          <w:noProof/>
        </w:rPr>
        <w:instrText xml:space="preserve"> PAGEREF _Toc402794160 \h </w:instrText>
      </w:r>
      <w:r>
        <w:rPr>
          <w:noProof/>
        </w:rPr>
      </w:r>
      <w:r>
        <w:rPr>
          <w:noProof/>
        </w:rPr>
        <w:fldChar w:fldCharType="separate"/>
      </w:r>
      <w:r w:rsidR="00C71A98">
        <w:rPr>
          <w:noProof/>
        </w:rPr>
        <w:t>3</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2.1</w:t>
      </w:r>
      <w:r>
        <w:rPr>
          <w:rFonts w:asciiTheme="minorHAnsi" w:eastAsiaTheme="minorEastAsia" w:hAnsiTheme="minorHAnsi" w:cstheme="minorBidi"/>
          <w:smallCaps w:val="0"/>
          <w:noProof/>
          <w:sz w:val="22"/>
          <w:szCs w:val="22"/>
          <w:lang w:val="en-AU"/>
        </w:rPr>
        <w:tab/>
      </w:r>
      <w:r w:rsidRPr="00B334F6">
        <w:rPr>
          <w:noProof/>
          <w:lang w:val="en-AU"/>
        </w:rPr>
        <w:t>Wireless audio devices and apparatus licensing</w:t>
      </w:r>
      <w:r>
        <w:rPr>
          <w:noProof/>
        </w:rPr>
        <w:tab/>
      </w:r>
      <w:r>
        <w:rPr>
          <w:noProof/>
        </w:rPr>
        <w:fldChar w:fldCharType="begin"/>
      </w:r>
      <w:r>
        <w:rPr>
          <w:noProof/>
        </w:rPr>
        <w:instrText xml:space="preserve"> PAGEREF _Toc402794161 \h </w:instrText>
      </w:r>
      <w:r>
        <w:rPr>
          <w:noProof/>
        </w:rPr>
      </w:r>
      <w:r>
        <w:rPr>
          <w:noProof/>
        </w:rPr>
        <w:fldChar w:fldCharType="separate"/>
      </w:r>
      <w:r w:rsidR="00C71A98">
        <w:rPr>
          <w:noProof/>
        </w:rPr>
        <w:t>3</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2.2</w:t>
      </w:r>
      <w:r>
        <w:rPr>
          <w:rFonts w:asciiTheme="minorHAnsi" w:eastAsiaTheme="minorEastAsia" w:hAnsiTheme="minorHAnsi" w:cstheme="minorBidi"/>
          <w:smallCaps w:val="0"/>
          <w:noProof/>
          <w:sz w:val="22"/>
          <w:szCs w:val="22"/>
          <w:lang w:val="en-AU"/>
        </w:rPr>
        <w:tab/>
      </w:r>
      <w:r w:rsidRPr="00B334F6">
        <w:rPr>
          <w:noProof/>
          <w:lang w:val="en-AU"/>
        </w:rPr>
        <w:t>Wireless audio devices in broadcasting services bands</w:t>
      </w:r>
      <w:r>
        <w:rPr>
          <w:noProof/>
        </w:rPr>
        <w:tab/>
      </w:r>
      <w:r>
        <w:rPr>
          <w:noProof/>
        </w:rPr>
        <w:fldChar w:fldCharType="begin"/>
      </w:r>
      <w:r>
        <w:rPr>
          <w:noProof/>
        </w:rPr>
        <w:instrText xml:space="preserve"> PAGEREF _Toc402794162 \h </w:instrText>
      </w:r>
      <w:r>
        <w:rPr>
          <w:noProof/>
        </w:rPr>
      </w:r>
      <w:r>
        <w:rPr>
          <w:noProof/>
        </w:rPr>
        <w:fldChar w:fldCharType="separate"/>
      </w:r>
      <w:r w:rsidR="00C71A98">
        <w:rPr>
          <w:noProof/>
        </w:rPr>
        <w:t>4</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2.3</w:t>
      </w:r>
      <w:r>
        <w:rPr>
          <w:rFonts w:asciiTheme="minorHAnsi" w:eastAsiaTheme="minorEastAsia" w:hAnsiTheme="minorHAnsi" w:cstheme="minorBidi"/>
          <w:smallCaps w:val="0"/>
          <w:noProof/>
          <w:sz w:val="22"/>
          <w:szCs w:val="22"/>
          <w:lang w:val="en-AU"/>
        </w:rPr>
        <w:tab/>
      </w:r>
      <w:r w:rsidRPr="00B334F6">
        <w:rPr>
          <w:noProof/>
          <w:lang w:val="en-AU"/>
        </w:rPr>
        <w:t>Apparatus licence tax and fees</w:t>
      </w:r>
      <w:r>
        <w:rPr>
          <w:noProof/>
        </w:rPr>
        <w:tab/>
      </w:r>
      <w:r>
        <w:rPr>
          <w:noProof/>
        </w:rPr>
        <w:fldChar w:fldCharType="begin"/>
      </w:r>
      <w:r>
        <w:rPr>
          <w:noProof/>
        </w:rPr>
        <w:instrText xml:space="preserve"> PAGEREF _Toc402794163 \h </w:instrText>
      </w:r>
      <w:r>
        <w:rPr>
          <w:noProof/>
        </w:rPr>
      </w:r>
      <w:r>
        <w:rPr>
          <w:noProof/>
        </w:rPr>
        <w:fldChar w:fldCharType="separate"/>
      </w:r>
      <w:r w:rsidR="00C71A98">
        <w:rPr>
          <w:noProof/>
        </w:rPr>
        <w:t>4</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2.4</w:t>
      </w:r>
      <w:r>
        <w:rPr>
          <w:rFonts w:asciiTheme="minorHAnsi" w:eastAsiaTheme="minorEastAsia" w:hAnsiTheme="minorHAnsi" w:cstheme="minorBidi"/>
          <w:smallCaps w:val="0"/>
          <w:noProof/>
          <w:sz w:val="22"/>
          <w:szCs w:val="22"/>
          <w:lang w:val="en-AU"/>
        </w:rPr>
        <w:tab/>
      </w:r>
      <w:r w:rsidRPr="00B334F6">
        <w:rPr>
          <w:noProof/>
          <w:lang w:val="en-AU"/>
        </w:rPr>
        <w:t>Licence period and renewal</w:t>
      </w:r>
      <w:r>
        <w:rPr>
          <w:noProof/>
        </w:rPr>
        <w:tab/>
      </w:r>
      <w:r>
        <w:rPr>
          <w:noProof/>
        </w:rPr>
        <w:fldChar w:fldCharType="begin"/>
      </w:r>
      <w:r>
        <w:rPr>
          <w:noProof/>
        </w:rPr>
        <w:instrText xml:space="preserve"> PAGEREF _Toc402794164 \h </w:instrText>
      </w:r>
      <w:r>
        <w:rPr>
          <w:noProof/>
        </w:rPr>
      </w:r>
      <w:r>
        <w:rPr>
          <w:noProof/>
        </w:rPr>
        <w:fldChar w:fldCharType="separate"/>
      </w:r>
      <w:r w:rsidR="00C71A98">
        <w:rPr>
          <w:noProof/>
        </w:rPr>
        <w:t>4</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2.5</w:t>
      </w:r>
      <w:r>
        <w:rPr>
          <w:rFonts w:asciiTheme="minorHAnsi" w:eastAsiaTheme="minorEastAsia" w:hAnsiTheme="minorHAnsi" w:cstheme="minorBidi"/>
          <w:smallCaps w:val="0"/>
          <w:noProof/>
          <w:sz w:val="22"/>
          <w:szCs w:val="22"/>
          <w:lang w:val="en-AU"/>
        </w:rPr>
        <w:tab/>
      </w:r>
      <w:r w:rsidRPr="00B334F6">
        <w:rPr>
          <w:noProof/>
          <w:lang w:val="en-AU"/>
        </w:rPr>
        <w:t>Licence conditions &amp; advisory notes</w:t>
      </w:r>
      <w:r>
        <w:rPr>
          <w:noProof/>
        </w:rPr>
        <w:tab/>
      </w:r>
      <w:r>
        <w:rPr>
          <w:noProof/>
        </w:rPr>
        <w:fldChar w:fldCharType="begin"/>
      </w:r>
      <w:r>
        <w:rPr>
          <w:noProof/>
        </w:rPr>
        <w:instrText xml:space="preserve"> PAGEREF _Toc402794165 \h </w:instrText>
      </w:r>
      <w:r>
        <w:rPr>
          <w:noProof/>
        </w:rPr>
      </w:r>
      <w:r>
        <w:rPr>
          <w:noProof/>
        </w:rPr>
        <w:fldChar w:fldCharType="separate"/>
      </w:r>
      <w:r w:rsidR="00C71A98">
        <w:rPr>
          <w:noProof/>
        </w:rPr>
        <w:t>5</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2.6</w:t>
      </w:r>
      <w:r>
        <w:rPr>
          <w:rFonts w:asciiTheme="minorHAnsi" w:eastAsiaTheme="minorEastAsia" w:hAnsiTheme="minorHAnsi" w:cstheme="minorBidi"/>
          <w:smallCaps w:val="0"/>
          <w:noProof/>
          <w:sz w:val="22"/>
          <w:szCs w:val="22"/>
          <w:lang w:val="en-AU"/>
        </w:rPr>
        <w:tab/>
      </w:r>
      <w:r w:rsidRPr="00B334F6">
        <w:rPr>
          <w:noProof/>
          <w:lang w:val="en-AU"/>
        </w:rPr>
        <w:t>Standards</w:t>
      </w:r>
      <w:r>
        <w:rPr>
          <w:noProof/>
        </w:rPr>
        <w:tab/>
      </w:r>
      <w:r>
        <w:rPr>
          <w:noProof/>
        </w:rPr>
        <w:fldChar w:fldCharType="begin"/>
      </w:r>
      <w:r>
        <w:rPr>
          <w:noProof/>
        </w:rPr>
        <w:instrText xml:space="preserve"> PAGEREF _Toc402794166 \h </w:instrText>
      </w:r>
      <w:r>
        <w:rPr>
          <w:noProof/>
        </w:rPr>
      </w:r>
      <w:r>
        <w:rPr>
          <w:noProof/>
        </w:rPr>
        <w:fldChar w:fldCharType="separate"/>
      </w:r>
      <w:r w:rsidR="00C71A98">
        <w:rPr>
          <w:noProof/>
        </w:rPr>
        <w:t>6</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2.7</w:t>
      </w:r>
      <w:r>
        <w:rPr>
          <w:rFonts w:asciiTheme="minorHAnsi" w:eastAsiaTheme="minorEastAsia" w:hAnsiTheme="minorHAnsi" w:cstheme="minorBidi"/>
          <w:smallCaps w:val="0"/>
          <w:noProof/>
          <w:sz w:val="22"/>
          <w:szCs w:val="22"/>
          <w:lang w:val="en-AU"/>
        </w:rPr>
        <w:tab/>
      </w:r>
      <w:r w:rsidRPr="00B334F6">
        <w:rPr>
          <w:noProof/>
          <w:lang w:val="en-AU"/>
        </w:rPr>
        <w:t>Coordination, sharing and interference managements principles</w:t>
      </w:r>
      <w:r>
        <w:rPr>
          <w:noProof/>
        </w:rPr>
        <w:tab/>
      </w:r>
      <w:r>
        <w:rPr>
          <w:noProof/>
        </w:rPr>
        <w:fldChar w:fldCharType="begin"/>
      </w:r>
      <w:r>
        <w:rPr>
          <w:noProof/>
        </w:rPr>
        <w:instrText xml:space="preserve"> PAGEREF _Toc402794167 \h </w:instrText>
      </w:r>
      <w:r>
        <w:rPr>
          <w:noProof/>
        </w:rPr>
      </w:r>
      <w:r>
        <w:rPr>
          <w:noProof/>
        </w:rPr>
        <w:fldChar w:fldCharType="separate"/>
      </w:r>
      <w:r w:rsidR="00C71A98">
        <w:rPr>
          <w:noProof/>
        </w:rPr>
        <w:t>6</w:t>
      </w:r>
      <w:r>
        <w:rPr>
          <w:noProof/>
        </w:rPr>
        <w:fldChar w:fldCharType="end"/>
      </w:r>
    </w:p>
    <w:p w:rsidR="00152F0D" w:rsidRDefault="00152F0D">
      <w:pPr>
        <w:pStyle w:val="TOC1"/>
        <w:tabs>
          <w:tab w:val="left" w:pos="480"/>
          <w:tab w:val="right" w:leader="dot" w:pos="9345"/>
        </w:tabs>
        <w:rPr>
          <w:rFonts w:asciiTheme="minorHAnsi" w:eastAsiaTheme="minorEastAsia" w:hAnsiTheme="minorHAnsi" w:cstheme="minorBidi"/>
          <w:b w:val="0"/>
          <w:caps w:val="0"/>
          <w:noProof/>
          <w:szCs w:val="22"/>
          <w:lang w:val="en-AU"/>
        </w:rPr>
      </w:pPr>
      <w:r w:rsidRPr="00B334F6">
        <w:rPr>
          <w:rFonts w:cs="Calibri"/>
          <w:noProof/>
          <w:lang w:val="en-AU"/>
        </w:rPr>
        <w:t>3</w:t>
      </w:r>
      <w:r>
        <w:rPr>
          <w:rFonts w:asciiTheme="minorHAnsi" w:eastAsiaTheme="minorEastAsia" w:hAnsiTheme="minorHAnsi" w:cstheme="minorBidi"/>
          <w:b w:val="0"/>
          <w:caps w:val="0"/>
          <w:noProof/>
          <w:szCs w:val="22"/>
          <w:lang w:val="en-AU"/>
        </w:rPr>
        <w:tab/>
      </w:r>
      <w:r w:rsidRPr="00B334F6">
        <w:rPr>
          <w:rFonts w:cs="Calibri"/>
          <w:noProof/>
          <w:lang w:val="en-AU"/>
        </w:rPr>
        <w:t>Coordination criteria</w:t>
      </w:r>
      <w:r>
        <w:rPr>
          <w:noProof/>
        </w:rPr>
        <w:tab/>
      </w:r>
      <w:r>
        <w:rPr>
          <w:noProof/>
        </w:rPr>
        <w:fldChar w:fldCharType="begin"/>
      </w:r>
      <w:r>
        <w:rPr>
          <w:noProof/>
        </w:rPr>
        <w:instrText xml:space="preserve"> PAGEREF _Toc402794168 \h </w:instrText>
      </w:r>
      <w:r>
        <w:rPr>
          <w:noProof/>
        </w:rPr>
      </w:r>
      <w:r>
        <w:rPr>
          <w:noProof/>
        </w:rPr>
        <w:fldChar w:fldCharType="separate"/>
      </w:r>
      <w:r w:rsidR="00C71A98">
        <w:rPr>
          <w:noProof/>
        </w:rPr>
        <w:t>7</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3.1</w:t>
      </w:r>
      <w:r>
        <w:rPr>
          <w:rFonts w:asciiTheme="minorHAnsi" w:eastAsiaTheme="minorEastAsia" w:hAnsiTheme="minorHAnsi" w:cstheme="minorBidi"/>
          <w:smallCaps w:val="0"/>
          <w:noProof/>
          <w:sz w:val="22"/>
          <w:szCs w:val="22"/>
          <w:lang w:val="en-AU"/>
        </w:rPr>
        <w:tab/>
      </w:r>
      <w:r w:rsidRPr="00B334F6">
        <w:rPr>
          <w:noProof/>
          <w:lang w:val="en-AU"/>
        </w:rPr>
        <w:t>520-694 MHz</w:t>
      </w:r>
      <w:r>
        <w:rPr>
          <w:noProof/>
        </w:rPr>
        <w:tab/>
      </w:r>
      <w:r>
        <w:rPr>
          <w:noProof/>
        </w:rPr>
        <w:fldChar w:fldCharType="begin"/>
      </w:r>
      <w:r>
        <w:rPr>
          <w:noProof/>
        </w:rPr>
        <w:instrText xml:space="preserve"> PAGEREF _Toc402794169 \h </w:instrText>
      </w:r>
      <w:r>
        <w:rPr>
          <w:noProof/>
        </w:rPr>
      </w:r>
      <w:r>
        <w:rPr>
          <w:noProof/>
        </w:rPr>
        <w:fldChar w:fldCharType="separate"/>
      </w:r>
      <w:r w:rsidR="00C71A98">
        <w:rPr>
          <w:noProof/>
        </w:rPr>
        <w:t>7</w:t>
      </w:r>
      <w:r>
        <w:rPr>
          <w:noProof/>
        </w:rPr>
        <w:fldChar w:fldCharType="end"/>
      </w:r>
    </w:p>
    <w:p w:rsidR="00152F0D" w:rsidRDefault="00152F0D">
      <w:pPr>
        <w:pStyle w:val="TOC2"/>
        <w:tabs>
          <w:tab w:val="left" w:pos="960"/>
          <w:tab w:val="right" w:leader="dot" w:pos="9345"/>
        </w:tabs>
        <w:rPr>
          <w:rFonts w:asciiTheme="minorHAnsi" w:eastAsiaTheme="minorEastAsia" w:hAnsiTheme="minorHAnsi" w:cstheme="minorBidi"/>
          <w:smallCaps w:val="0"/>
          <w:noProof/>
          <w:sz w:val="22"/>
          <w:szCs w:val="22"/>
          <w:lang w:val="en-AU"/>
        </w:rPr>
      </w:pPr>
      <w:r w:rsidRPr="00B334F6">
        <w:rPr>
          <w:noProof/>
          <w:lang w:val="en-AU"/>
        </w:rPr>
        <w:t>3.2</w:t>
      </w:r>
      <w:r>
        <w:rPr>
          <w:rFonts w:asciiTheme="minorHAnsi" w:eastAsiaTheme="minorEastAsia" w:hAnsiTheme="minorHAnsi" w:cstheme="minorBidi"/>
          <w:smallCaps w:val="0"/>
          <w:noProof/>
          <w:sz w:val="22"/>
          <w:szCs w:val="22"/>
          <w:lang w:val="en-AU"/>
        </w:rPr>
        <w:tab/>
      </w:r>
      <w:r w:rsidRPr="00B334F6">
        <w:rPr>
          <w:noProof/>
          <w:lang w:val="en-AU"/>
        </w:rPr>
        <w:t>Other bands</w:t>
      </w:r>
      <w:r>
        <w:rPr>
          <w:noProof/>
        </w:rPr>
        <w:tab/>
      </w:r>
      <w:r>
        <w:rPr>
          <w:noProof/>
        </w:rPr>
        <w:fldChar w:fldCharType="begin"/>
      </w:r>
      <w:r>
        <w:rPr>
          <w:noProof/>
        </w:rPr>
        <w:instrText xml:space="preserve"> PAGEREF _Toc402794170 \h </w:instrText>
      </w:r>
      <w:r>
        <w:rPr>
          <w:noProof/>
        </w:rPr>
      </w:r>
      <w:r>
        <w:rPr>
          <w:noProof/>
        </w:rPr>
        <w:fldChar w:fldCharType="separate"/>
      </w:r>
      <w:r w:rsidR="00C71A98">
        <w:rPr>
          <w:noProof/>
        </w:rPr>
        <w:t>8</w:t>
      </w:r>
      <w:r>
        <w:rPr>
          <w:noProof/>
        </w:rPr>
        <w:fldChar w:fldCharType="end"/>
      </w:r>
    </w:p>
    <w:p w:rsidR="00152F0D" w:rsidRDefault="00152F0D">
      <w:pPr>
        <w:pStyle w:val="TOC1"/>
        <w:tabs>
          <w:tab w:val="left" w:pos="480"/>
          <w:tab w:val="right" w:leader="dot" w:pos="9345"/>
        </w:tabs>
        <w:rPr>
          <w:rFonts w:asciiTheme="minorHAnsi" w:eastAsiaTheme="minorEastAsia" w:hAnsiTheme="minorHAnsi" w:cstheme="minorBidi"/>
          <w:b w:val="0"/>
          <w:caps w:val="0"/>
          <w:noProof/>
          <w:szCs w:val="22"/>
          <w:lang w:val="en-AU"/>
        </w:rPr>
      </w:pPr>
      <w:r w:rsidRPr="00B334F6">
        <w:rPr>
          <w:rFonts w:cs="Calibri"/>
          <w:noProof/>
          <w:lang w:val="en-AU"/>
        </w:rPr>
        <w:t>4</w:t>
      </w:r>
      <w:r>
        <w:rPr>
          <w:rFonts w:asciiTheme="minorHAnsi" w:eastAsiaTheme="minorEastAsia" w:hAnsiTheme="minorHAnsi" w:cstheme="minorBidi"/>
          <w:b w:val="0"/>
          <w:caps w:val="0"/>
          <w:noProof/>
          <w:szCs w:val="22"/>
          <w:lang w:val="en-AU"/>
        </w:rPr>
        <w:tab/>
      </w:r>
      <w:r w:rsidRPr="00B334F6">
        <w:rPr>
          <w:rFonts w:cs="Calibri"/>
          <w:noProof/>
          <w:lang w:val="en-AU"/>
        </w:rPr>
        <w:t>RALI Authorisation</w:t>
      </w:r>
      <w:r>
        <w:rPr>
          <w:noProof/>
        </w:rPr>
        <w:tab/>
      </w:r>
      <w:r>
        <w:rPr>
          <w:noProof/>
        </w:rPr>
        <w:fldChar w:fldCharType="begin"/>
      </w:r>
      <w:r>
        <w:rPr>
          <w:noProof/>
        </w:rPr>
        <w:instrText xml:space="preserve"> PAGEREF _Toc402794171 \h </w:instrText>
      </w:r>
      <w:r>
        <w:rPr>
          <w:noProof/>
        </w:rPr>
      </w:r>
      <w:r>
        <w:rPr>
          <w:noProof/>
        </w:rPr>
        <w:fldChar w:fldCharType="separate"/>
      </w:r>
      <w:r w:rsidR="00C71A98">
        <w:rPr>
          <w:noProof/>
        </w:rPr>
        <w:t>8</w:t>
      </w:r>
      <w:r>
        <w:rPr>
          <w:noProof/>
        </w:rPr>
        <w:fldChar w:fldCharType="end"/>
      </w:r>
    </w:p>
    <w:p w:rsidR="00152F0D" w:rsidRDefault="00152F0D">
      <w:pPr>
        <w:pStyle w:val="TOC1"/>
        <w:tabs>
          <w:tab w:val="right" w:leader="dot" w:pos="9345"/>
        </w:tabs>
        <w:rPr>
          <w:rFonts w:asciiTheme="minorHAnsi" w:eastAsiaTheme="minorEastAsia" w:hAnsiTheme="minorHAnsi" w:cstheme="minorBidi"/>
          <w:b w:val="0"/>
          <w:caps w:val="0"/>
          <w:noProof/>
          <w:szCs w:val="22"/>
          <w:lang w:val="en-AU"/>
        </w:rPr>
      </w:pPr>
      <w:r w:rsidRPr="00B334F6">
        <w:rPr>
          <w:noProof/>
          <w:lang w:val="en-AU"/>
        </w:rPr>
        <w:t>Annex A: Reference information</w:t>
      </w:r>
      <w:r>
        <w:rPr>
          <w:noProof/>
        </w:rPr>
        <w:tab/>
      </w:r>
      <w:r>
        <w:rPr>
          <w:noProof/>
        </w:rPr>
        <w:fldChar w:fldCharType="begin"/>
      </w:r>
      <w:r>
        <w:rPr>
          <w:noProof/>
        </w:rPr>
        <w:instrText xml:space="preserve"> PAGEREF _Toc402794172 \h </w:instrText>
      </w:r>
      <w:r>
        <w:rPr>
          <w:noProof/>
        </w:rPr>
      </w:r>
      <w:r>
        <w:rPr>
          <w:noProof/>
        </w:rPr>
        <w:fldChar w:fldCharType="separate"/>
      </w:r>
      <w:r w:rsidR="00C71A98">
        <w:rPr>
          <w:noProof/>
        </w:rPr>
        <w:t>9</w:t>
      </w:r>
      <w:r>
        <w:rPr>
          <w:noProof/>
        </w:rPr>
        <w:fldChar w:fldCharType="end"/>
      </w:r>
    </w:p>
    <w:p w:rsidR="00152F0D" w:rsidRDefault="00152F0D">
      <w:pPr>
        <w:pStyle w:val="TOC2"/>
        <w:tabs>
          <w:tab w:val="right" w:leader="dot" w:pos="9345"/>
        </w:tabs>
        <w:rPr>
          <w:rFonts w:asciiTheme="minorHAnsi" w:eastAsiaTheme="minorEastAsia" w:hAnsiTheme="minorHAnsi" w:cstheme="minorBidi"/>
          <w:smallCaps w:val="0"/>
          <w:noProof/>
          <w:sz w:val="22"/>
          <w:szCs w:val="22"/>
          <w:lang w:val="en-AU"/>
        </w:rPr>
      </w:pPr>
      <w:r w:rsidRPr="00B334F6">
        <w:rPr>
          <w:noProof/>
          <w:lang w:val="en-AU"/>
        </w:rPr>
        <w:t>A1.    Low interference potential devices class licence</w:t>
      </w:r>
      <w:r>
        <w:rPr>
          <w:noProof/>
        </w:rPr>
        <w:tab/>
      </w:r>
      <w:r>
        <w:rPr>
          <w:noProof/>
        </w:rPr>
        <w:fldChar w:fldCharType="begin"/>
      </w:r>
      <w:r>
        <w:rPr>
          <w:noProof/>
        </w:rPr>
        <w:instrText xml:space="preserve"> PAGEREF _Toc402794173 \h </w:instrText>
      </w:r>
      <w:r>
        <w:rPr>
          <w:noProof/>
        </w:rPr>
      </w:r>
      <w:r>
        <w:rPr>
          <w:noProof/>
        </w:rPr>
        <w:fldChar w:fldCharType="separate"/>
      </w:r>
      <w:r w:rsidR="00C71A98">
        <w:rPr>
          <w:noProof/>
        </w:rPr>
        <w:t>9</w:t>
      </w:r>
      <w:r>
        <w:rPr>
          <w:noProof/>
        </w:rPr>
        <w:fldChar w:fldCharType="end"/>
      </w:r>
    </w:p>
    <w:p w:rsidR="00094E0C" w:rsidRPr="001117C9" w:rsidRDefault="008E3777">
      <w:pPr>
        <w:rPr>
          <w:rFonts w:cs="Calibri"/>
          <w:b/>
          <w:sz w:val="30"/>
          <w:lang w:val="en-AU"/>
        </w:rPr>
      </w:pPr>
      <w:r w:rsidRPr="001117C9">
        <w:rPr>
          <w:rFonts w:cs="Calibri"/>
          <w:b/>
          <w:sz w:val="30"/>
          <w:lang w:val="en-AU"/>
        </w:rPr>
        <w:fldChar w:fldCharType="end"/>
      </w:r>
    </w:p>
    <w:p w:rsidR="00094E0C" w:rsidRPr="001117C9" w:rsidRDefault="00094E0C">
      <w:pPr>
        <w:rPr>
          <w:rFonts w:cs="Calibri"/>
          <w:b/>
          <w:sz w:val="30"/>
          <w:lang w:val="en-AU"/>
        </w:rPr>
        <w:sectPr w:rsidR="00094E0C" w:rsidRPr="001117C9" w:rsidSect="009811DB">
          <w:headerReference w:type="even" r:id="rId21"/>
          <w:headerReference w:type="default" r:id="rId22"/>
          <w:headerReference w:type="first" r:id="rId23"/>
          <w:footerReference w:type="first" r:id="rId24"/>
          <w:pgSz w:w="11907" w:h="16840" w:code="9"/>
          <w:pgMar w:top="1134" w:right="1134" w:bottom="1134" w:left="1418" w:header="720" w:footer="720" w:gutter="0"/>
          <w:pgNumType w:fmt="lowerRoman"/>
          <w:cols w:space="720"/>
          <w:titlePg/>
        </w:sectPr>
      </w:pPr>
    </w:p>
    <w:p w:rsidR="00094E0C" w:rsidRPr="001117C9" w:rsidRDefault="00206935" w:rsidP="00986C73">
      <w:pPr>
        <w:pStyle w:val="TITLEOFRALI"/>
        <w:pBdr>
          <w:top w:val="single" w:sz="12" w:space="1" w:color="auto"/>
        </w:pBdr>
        <w:rPr>
          <w:rFonts w:cs="Calibri"/>
          <w:sz w:val="32"/>
          <w:lang w:val="en-AU"/>
        </w:rPr>
      </w:pPr>
      <w:bookmarkStart w:id="1" w:name="_Toc354542247"/>
      <w:bookmarkStart w:id="2" w:name="_Toc354542602"/>
      <w:bookmarkStart w:id="3" w:name="_Toc355509340"/>
      <w:bookmarkStart w:id="4" w:name="_Toc355509423"/>
      <w:bookmarkStart w:id="5" w:name="_Toc355509453"/>
      <w:bookmarkStart w:id="6" w:name="_Toc356902065"/>
      <w:bookmarkStart w:id="7" w:name="_Toc356902215"/>
      <w:bookmarkStart w:id="8" w:name="_Toc356966853"/>
      <w:bookmarkStart w:id="9" w:name="_Toc356966994"/>
      <w:bookmarkStart w:id="10" w:name="_Toc356967138"/>
      <w:bookmarkStart w:id="11" w:name="_Toc357236357"/>
      <w:bookmarkStart w:id="12" w:name="_Toc357840726"/>
      <w:bookmarkStart w:id="13" w:name="_Toc358801884"/>
      <w:bookmarkStart w:id="14" w:name="_Toc360872973"/>
      <w:bookmarkStart w:id="15" w:name="_Toc363618265"/>
      <w:bookmarkStart w:id="16" w:name="_Toc364676571"/>
      <w:bookmarkStart w:id="17" w:name="_Toc365446713"/>
      <w:bookmarkStart w:id="18" w:name="_Toc365450587"/>
      <w:bookmarkStart w:id="19" w:name="_Toc365879156"/>
      <w:bookmarkStart w:id="20" w:name="_Toc365879286"/>
      <w:bookmarkStart w:id="21" w:name="_Toc365879365"/>
      <w:bookmarkStart w:id="22" w:name="_Toc365879982"/>
      <w:bookmarkStart w:id="23" w:name="_Toc366898523"/>
      <w:bookmarkStart w:id="24" w:name="_Toc366902043"/>
      <w:bookmarkStart w:id="25" w:name="_Toc367202232"/>
      <w:bookmarkStart w:id="26" w:name="_Toc367243017"/>
      <w:bookmarkStart w:id="27" w:name="_Toc367246575"/>
      <w:bookmarkStart w:id="28" w:name="_Toc368208881"/>
      <w:bookmarkStart w:id="29" w:name="_Toc368217883"/>
      <w:r w:rsidRPr="001117C9">
        <w:rPr>
          <w:rFonts w:cs="Calibri"/>
          <w:sz w:val="32"/>
          <w:lang w:val="en-AU"/>
        </w:rPr>
        <w:t xml:space="preserve">wireless audio devices: </w:t>
      </w:r>
      <w:r w:rsidRPr="001117C9">
        <w:rPr>
          <w:rFonts w:cs="Calibri"/>
          <w:sz w:val="32"/>
          <w:lang w:val="en-AU"/>
        </w:rPr>
        <w:br/>
      </w:r>
      <w:r w:rsidR="00B61DFB">
        <w:rPr>
          <w:rFonts w:cs="Calibri"/>
          <w:sz w:val="32"/>
          <w:lang w:val="en-AU"/>
        </w:rPr>
        <w:t>apparatus LICENSING frequency COORDINATION PROCEDURES</w:t>
      </w:r>
    </w:p>
    <w:p w:rsidR="00094E0C" w:rsidRPr="001117C9" w:rsidRDefault="00BE7423" w:rsidP="00EA7152">
      <w:pPr>
        <w:pStyle w:val="Heading1"/>
        <w:rPr>
          <w:lang w:val="en-AU"/>
        </w:rPr>
      </w:pPr>
      <w:bookmarkStart w:id="30" w:name="_Toc402794157"/>
      <w:bookmarkEnd w:id="1"/>
      <w:bookmarkEnd w:id="2"/>
      <w:bookmarkEnd w:id="3"/>
      <w:bookmarkEnd w:id="4"/>
      <w:bookmarkEnd w:id="5"/>
      <w:bookmarkEnd w:id="6"/>
      <w:bookmarkEnd w:id="7"/>
      <w:bookmarkEnd w:id="8"/>
      <w:bookmarkEnd w:id="9"/>
      <w:bookmarkEnd w:id="10"/>
      <w:bookmarkEnd w:id="11"/>
      <w:bookmarkEnd w:id="12"/>
      <w:bookmarkEnd w:id="13"/>
      <w:bookmarkEnd w:id="14"/>
      <w:bookmarkEnd w:id="15"/>
      <w:bookmarkEnd w:id="16"/>
      <w:bookmarkEnd w:id="17"/>
      <w:bookmarkEnd w:id="18"/>
      <w:bookmarkEnd w:id="19"/>
      <w:bookmarkEnd w:id="20"/>
      <w:bookmarkEnd w:id="21"/>
      <w:bookmarkEnd w:id="22"/>
      <w:bookmarkEnd w:id="23"/>
      <w:bookmarkEnd w:id="24"/>
      <w:bookmarkEnd w:id="25"/>
      <w:bookmarkEnd w:id="26"/>
      <w:bookmarkEnd w:id="27"/>
      <w:bookmarkEnd w:id="28"/>
      <w:bookmarkEnd w:id="29"/>
      <w:r w:rsidRPr="001117C9">
        <w:rPr>
          <w:lang w:val="en-AU"/>
        </w:rPr>
        <w:t>Introduction</w:t>
      </w:r>
      <w:bookmarkEnd w:id="30"/>
    </w:p>
    <w:p w:rsidR="00715E72" w:rsidRPr="001117C9" w:rsidRDefault="00715E72" w:rsidP="00EA7152">
      <w:pPr>
        <w:pStyle w:val="Heading2"/>
        <w:rPr>
          <w:lang w:val="en-AU"/>
        </w:rPr>
      </w:pPr>
      <w:bookmarkStart w:id="31" w:name="_Toc402794158"/>
      <w:r w:rsidRPr="001117C9">
        <w:rPr>
          <w:lang w:val="en-AU"/>
        </w:rPr>
        <w:t>Purpose</w:t>
      </w:r>
      <w:bookmarkEnd w:id="31"/>
      <w:r w:rsidRPr="001117C9">
        <w:rPr>
          <w:lang w:val="en-AU"/>
        </w:rPr>
        <w:t xml:space="preserve"> </w:t>
      </w:r>
    </w:p>
    <w:p w:rsidR="006833FC" w:rsidRDefault="00094E0C" w:rsidP="00C35E41">
      <w:pPr>
        <w:rPr>
          <w:rFonts w:cs="Calibri"/>
          <w:lang w:val="en-AU"/>
        </w:rPr>
      </w:pPr>
      <w:r w:rsidRPr="001117C9">
        <w:rPr>
          <w:rFonts w:cs="Calibri"/>
          <w:lang w:val="en-AU"/>
        </w:rPr>
        <w:t>Th</w:t>
      </w:r>
      <w:r w:rsidR="00715E72" w:rsidRPr="001117C9">
        <w:rPr>
          <w:rFonts w:cs="Calibri"/>
          <w:lang w:val="en-AU"/>
        </w:rPr>
        <w:t xml:space="preserve">e purpose of this </w:t>
      </w:r>
      <w:r w:rsidRPr="001117C9">
        <w:rPr>
          <w:rFonts w:cs="Calibri"/>
          <w:lang w:val="en-AU"/>
        </w:rPr>
        <w:t>Radiocommunications Assignment and Licensing Instruction (</w:t>
      </w:r>
      <w:proofErr w:type="spellStart"/>
      <w:r w:rsidRPr="001117C9">
        <w:rPr>
          <w:rFonts w:cs="Calibri"/>
          <w:lang w:val="en-AU"/>
        </w:rPr>
        <w:t>RALI</w:t>
      </w:r>
      <w:proofErr w:type="spellEnd"/>
      <w:r w:rsidRPr="001117C9">
        <w:rPr>
          <w:rFonts w:cs="Calibri"/>
          <w:lang w:val="en-AU"/>
        </w:rPr>
        <w:t xml:space="preserve">) </w:t>
      </w:r>
      <w:r w:rsidR="00715E72" w:rsidRPr="001117C9">
        <w:rPr>
          <w:rFonts w:cs="Calibri"/>
          <w:lang w:val="en-AU"/>
        </w:rPr>
        <w:t xml:space="preserve">is to provide </w:t>
      </w:r>
      <w:r w:rsidR="006833FC">
        <w:rPr>
          <w:rFonts w:cs="Calibri"/>
          <w:lang w:val="en-AU"/>
        </w:rPr>
        <w:t xml:space="preserve">information </w:t>
      </w:r>
      <w:r w:rsidR="00523355" w:rsidRPr="001117C9">
        <w:rPr>
          <w:rFonts w:cs="Calibri"/>
          <w:lang w:val="en-AU"/>
        </w:rPr>
        <w:t>on the frequency coordination arrangements</w:t>
      </w:r>
      <w:r w:rsidR="0070660E" w:rsidRPr="001117C9">
        <w:rPr>
          <w:rFonts w:cs="Calibri"/>
          <w:lang w:val="en-AU"/>
        </w:rPr>
        <w:t xml:space="preserve"> </w:t>
      </w:r>
      <w:r w:rsidR="006833FC">
        <w:rPr>
          <w:rFonts w:cs="Calibri"/>
          <w:lang w:val="en-AU"/>
        </w:rPr>
        <w:t xml:space="preserve">supporting </w:t>
      </w:r>
      <w:r w:rsidR="00793FC7">
        <w:rPr>
          <w:rFonts w:cs="Calibri"/>
          <w:lang w:val="en-AU"/>
        </w:rPr>
        <w:t xml:space="preserve">the </w:t>
      </w:r>
      <w:r w:rsidR="006833FC">
        <w:rPr>
          <w:rFonts w:cs="Calibri"/>
          <w:lang w:val="en-AU"/>
        </w:rPr>
        <w:t xml:space="preserve">apparatus licensing of </w:t>
      </w:r>
      <w:r w:rsidR="00523355" w:rsidRPr="001117C9">
        <w:rPr>
          <w:rFonts w:cs="Calibri"/>
          <w:lang w:val="en-AU"/>
        </w:rPr>
        <w:t>wireless audio devices</w:t>
      </w:r>
      <w:r w:rsidR="00B61DFB">
        <w:rPr>
          <w:rFonts w:cs="Calibri"/>
          <w:lang w:val="en-AU"/>
        </w:rPr>
        <w:t>.</w:t>
      </w:r>
      <w:r w:rsidR="00523355" w:rsidRPr="001117C9">
        <w:rPr>
          <w:rFonts w:cs="Calibri"/>
          <w:lang w:val="en-AU"/>
        </w:rPr>
        <w:t xml:space="preserve"> </w:t>
      </w:r>
      <w:r w:rsidR="00B61DFB">
        <w:rPr>
          <w:rFonts w:cs="Calibri"/>
          <w:lang w:val="en-AU"/>
        </w:rPr>
        <w:t xml:space="preserve"> It is expected that the apparatus licensing of wireless audio devices will be </w:t>
      </w:r>
      <w:r w:rsidR="00C71A98">
        <w:rPr>
          <w:rFonts w:cs="Calibri"/>
          <w:lang w:val="en-AU"/>
        </w:rPr>
        <w:t xml:space="preserve">mostly </w:t>
      </w:r>
      <w:r w:rsidR="006833FC">
        <w:rPr>
          <w:rFonts w:cs="Calibri"/>
          <w:lang w:val="en-AU"/>
        </w:rPr>
        <w:t>use</w:t>
      </w:r>
      <w:r w:rsidR="00BA68E3">
        <w:rPr>
          <w:rFonts w:cs="Calibri"/>
          <w:lang w:val="en-AU"/>
        </w:rPr>
        <w:t>d</w:t>
      </w:r>
      <w:r w:rsidR="006833FC">
        <w:rPr>
          <w:rFonts w:cs="Calibri"/>
          <w:lang w:val="en-AU"/>
        </w:rPr>
        <w:t xml:space="preserve"> </w:t>
      </w:r>
      <w:r w:rsidR="00AC1749">
        <w:rPr>
          <w:rFonts w:cs="Calibri"/>
          <w:lang w:val="en-AU"/>
        </w:rPr>
        <w:t xml:space="preserve">for </w:t>
      </w:r>
      <w:r w:rsidR="006833FC" w:rsidRPr="001117C9">
        <w:rPr>
          <w:rFonts w:cs="Calibri"/>
          <w:lang w:val="en-AU"/>
        </w:rPr>
        <w:t xml:space="preserve">major events </w:t>
      </w:r>
      <w:r w:rsidR="006833FC">
        <w:rPr>
          <w:rFonts w:cs="Calibri"/>
          <w:lang w:val="en-AU"/>
        </w:rPr>
        <w:t xml:space="preserve">or </w:t>
      </w:r>
      <w:r w:rsidR="006833FC" w:rsidRPr="001117C9">
        <w:rPr>
          <w:rFonts w:cs="Calibri"/>
          <w:lang w:val="en-AU"/>
        </w:rPr>
        <w:t xml:space="preserve">by professional </w:t>
      </w:r>
      <w:r w:rsidR="006833FC">
        <w:rPr>
          <w:rFonts w:cs="Calibri"/>
          <w:lang w:val="en-AU"/>
        </w:rPr>
        <w:t xml:space="preserve">users. </w:t>
      </w:r>
    </w:p>
    <w:p w:rsidR="006833FC" w:rsidRDefault="006833FC" w:rsidP="00C35E41">
      <w:pPr>
        <w:rPr>
          <w:rFonts w:cs="Calibri"/>
          <w:lang w:val="en-AU"/>
        </w:rPr>
      </w:pPr>
    </w:p>
    <w:p w:rsidR="006833FC" w:rsidRPr="0097257C" w:rsidRDefault="0096139F" w:rsidP="008B38DF">
      <w:pPr>
        <w:pBdr>
          <w:top w:val="single" w:sz="4" w:space="1" w:color="auto"/>
          <w:left w:val="single" w:sz="4" w:space="4" w:color="auto"/>
          <w:bottom w:val="single" w:sz="4" w:space="1" w:color="auto"/>
          <w:right w:val="single" w:sz="4" w:space="4" w:color="auto"/>
        </w:pBdr>
        <w:rPr>
          <w:rFonts w:cs="Calibri"/>
          <w:color w:val="FF0000"/>
          <w:lang w:val="en-AU"/>
        </w:rPr>
      </w:pPr>
      <w:r w:rsidRPr="0097257C">
        <w:rPr>
          <w:rFonts w:cs="Calibri"/>
          <w:color w:val="FF0000"/>
          <w:lang w:val="en-AU"/>
        </w:rPr>
        <w:t xml:space="preserve">Note: </w:t>
      </w:r>
      <w:r w:rsidR="0097257C">
        <w:rPr>
          <w:rFonts w:cs="Calibri"/>
          <w:color w:val="FF0000"/>
          <w:lang w:val="en-AU"/>
        </w:rPr>
        <w:tab/>
      </w:r>
      <w:r w:rsidR="006833FC" w:rsidRPr="0097257C">
        <w:rPr>
          <w:rFonts w:cs="Calibri"/>
          <w:color w:val="FF0000"/>
          <w:lang w:val="en-AU"/>
        </w:rPr>
        <w:t xml:space="preserve">Typically the operation of wireless audio devices is authorised under the </w:t>
      </w:r>
      <w:bookmarkStart w:id="32" w:name="Citation"/>
      <w:r w:rsidR="006833FC" w:rsidRPr="0097257C">
        <w:rPr>
          <w:color w:val="FF0000"/>
          <w:lang w:val="en-AU"/>
        </w:rPr>
        <w:t>Radiocommunications (Low Interference Potential Devices) Class Licence 2000</w:t>
      </w:r>
      <w:bookmarkEnd w:id="32"/>
      <w:r w:rsidR="006833FC" w:rsidRPr="0097257C">
        <w:rPr>
          <w:rStyle w:val="FootnoteReference"/>
          <w:color w:val="FF0000"/>
          <w:lang w:val="en-AU"/>
        </w:rPr>
        <w:footnoteReference w:id="1"/>
      </w:r>
      <w:r w:rsidR="006833FC" w:rsidRPr="0097257C">
        <w:rPr>
          <w:color w:val="FF0000"/>
          <w:lang w:val="en-AU"/>
        </w:rPr>
        <w:t xml:space="preserve"> (the </w:t>
      </w:r>
      <w:proofErr w:type="spellStart"/>
      <w:r w:rsidR="006833FC" w:rsidRPr="0097257C">
        <w:rPr>
          <w:color w:val="FF0000"/>
          <w:lang w:val="en-AU"/>
        </w:rPr>
        <w:t>LIPD</w:t>
      </w:r>
      <w:proofErr w:type="spellEnd"/>
      <w:r w:rsidR="006833FC" w:rsidRPr="0097257C">
        <w:rPr>
          <w:color w:val="FF0000"/>
          <w:lang w:val="en-AU"/>
        </w:rPr>
        <w:t xml:space="preserve"> class licence)</w:t>
      </w:r>
      <w:r w:rsidR="002D0AD2" w:rsidRPr="0097257C">
        <w:rPr>
          <w:color w:val="FF0000"/>
          <w:lang w:val="en-AU"/>
        </w:rPr>
        <w:t xml:space="preserve"> </w:t>
      </w:r>
      <w:r w:rsidR="002D0AD2" w:rsidRPr="008B38DF">
        <w:rPr>
          <w:rFonts w:cs="Calibri"/>
          <w:color w:val="FF0000"/>
          <w:lang w:val="en-AU"/>
        </w:rPr>
        <w:t xml:space="preserve">and operation under the class licence is not affected by the arrangements outlined in this document. </w:t>
      </w:r>
      <w:r w:rsidR="002D0AD2" w:rsidRPr="0097257C">
        <w:rPr>
          <w:rFonts w:cs="Calibri"/>
          <w:color w:val="FF0000"/>
          <w:lang w:val="en-AU"/>
        </w:rPr>
        <w:t xml:space="preserve"> </w:t>
      </w:r>
      <w:r w:rsidR="006833FC" w:rsidRPr="00671D06">
        <w:rPr>
          <w:rFonts w:cs="Calibri"/>
          <w:color w:val="FF0000"/>
          <w:lang w:val="en-AU"/>
        </w:rPr>
        <w:t xml:space="preserve">The </w:t>
      </w:r>
      <w:proofErr w:type="spellStart"/>
      <w:r w:rsidR="006833FC" w:rsidRPr="00671D06">
        <w:rPr>
          <w:rFonts w:cs="Calibri"/>
          <w:color w:val="FF0000"/>
          <w:lang w:val="en-AU"/>
        </w:rPr>
        <w:t>LIPD</w:t>
      </w:r>
      <w:proofErr w:type="spellEnd"/>
      <w:r w:rsidR="006833FC" w:rsidRPr="00671D06">
        <w:rPr>
          <w:rFonts w:cs="Calibri"/>
          <w:color w:val="FF0000"/>
          <w:lang w:val="en-AU"/>
        </w:rPr>
        <w:t xml:space="preserve"> class licence should be referred initially to determine whether the intended operation is covered under the </w:t>
      </w:r>
      <w:proofErr w:type="spellStart"/>
      <w:r w:rsidR="00EB002C" w:rsidRPr="00671D06">
        <w:rPr>
          <w:rFonts w:cs="Calibri"/>
          <w:color w:val="FF0000"/>
          <w:lang w:val="en-AU"/>
        </w:rPr>
        <w:t>LIPD</w:t>
      </w:r>
      <w:proofErr w:type="spellEnd"/>
      <w:r w:rsidR="00EB002C" w:rsidRPr="00671D06">
        <w:rPr>
          <w:rFonts w:cs="Calibri"/>
          <w:color w:val="FF0000"/>
          <w:lang w:val="en-AU"/>
        </w:rPr>
        <w:t xml:space="preserve"> </w:t>
      </w:r>
      <w:r w:rsidR="006833FC" w:rsidRPr="00671D06">
        <w:rPr>
          <w:rFonts w:cs="Calibri"/>
          <w:color w:val="FF0000"/>
          <w:lang w:val="en-AU"/>
        </w:rPr>
        <w:t xml:space="preserve">class licence before considering the option of authorisation under a land mobile apparatus licence.  </w:t>
      </w:r>
      <w:r w:rsidR="002D0AD2" w:rsidRPr="008B38DF">
        <w:rPr>
          <w:rFonts w:cs="Calibri"/>
          <w:color w:val="FF0000"/>
          <w:lang w:val="en-AU"/>
        </w:rPr>
        <w:t xml:space="preserve">For information on spectrum that is available under class licence see the </w:t>
      </w:r>
      <w:proofErr w:type="spellStart"/>
      <w:r w:rsidR="002D0AD2" w:rsidRPr="008B38DF">
        <w:rPr>
          <w:rFonts w:cs="Calibri"/>
          <w:color w:val="FF0000"/>
          <w:lang w:val="en-AU"/>
        </w:rPr>
        <w:t>ACMA’s</w:t>
      </w:r>
      <w:proofErr w:type="spellEnd"/>
      <w:r w:rsidR="002D0AD2" w:rsidRPr="008B38DF">
        <w:rPr>
          <w:rFonts w:cs="Calibri"/>
          <w:color w:val="FF0000"/>
          <w:lang w:val="en-AU"/>
        </w:rPr>
        <w:t xml:space="preserve"> </w:t>
      </w:r>
      <w:hyperlink r:id="rId25" w:history="1">
        <w:r w:rsidR="002D0AD2" w:rsidRPr="008B38DF">
          <w:rPr>
            <w:rStyle w:val="Hyperlink"/>
            <w:rFonts w:cs="Calibri"/>
            <w:lang w:val="en-AU"/>
          </w:rPr>
          <w:t>online channel finder and factsheets</w:t>
        </w:r>
      </w:hyperlink>
      <w:r w:rsidR="002D0AD2">
        <w:rPr>
          <w:rStyle w:val="FootnoteReference"/>
          <w:rFonts w:cs="Calibri"/>
          <w:color w:val="FF0000"/>
          <w:lang w:val="en-AU"/>
        </w:rPr>
        <w:footnoteReference w:id="2"/>
      </w:r>
      <w:r w:rsidR="002D0AD2">
        <w:rPr>
          <w:rFonts w:cs="Calibri"/>
          <w:color w:val="FF0000"/>
          <w:lang w:val="en-AU"/>
        </w:rPr>
        <w:t xml:space="preserve">.  For </w:t>
      </w:r>
      <w:r w:rsidRPr="0097257C">
        <w:rPr>
          <w:rFonts w:cs="Calibri"/>
          <w:color w:val="FF0000"/>
          <w:lang w:val="en-AU"/>
        </w:rPr>
        <w:t>information about class licences is available on the ACMA website</w:t>
      </w:r>
      <w:r w:rsidRPr="0097257C">
        <w:rPr>
          <w:rStyle w:val="FootnoteReference"/>
          <w:rFonts w:cs="Calibri"/>
          <w:color w:val="FF0000"/>
          <w:lang w:val="en-AU"/>
        </w:rPr>
        <w:footnoteReference w:id="3"/>
      </w:r>
      <w:r w:rsidRPr="0097257C">
        <w:rPr>
          <w:rFonts w:cs="Calibri"/>
          <w:color w:val="FF0000"/>
          <w:lang w:val="en-AU"/>
        </w:rPr>
        <w:t>.</w:t>
      </w:r>
    </w:p>
    <w:p w:rsidR="002D0AD2" w:rsidRDefault="002D0AD2" w:rsidP="008B38DF">
      <w:pPr>
        <w:pBdr>
          <w:top w:val="single" w:sz="4" w:space="1" w:color="auto"/>
          <w:left w:val="single" w:sz="4" w:space="4" w:color="auto"/>
          <w:bottom w:val="single" w:sz="4" w:space="1" w:color="auto"/>
          <w:right w:val="single" w:sz="4" w:space="4" w:color="auto"/>
        </w:pBdr>
        <w:rPr>
          <w:rFonts w:cs="Calibri"/>
          <w:color w:val="FF0000"/>
          <w:lang w:val="en-AU"/>
        </w:rPr>
      </w:pPr>
    </w:p>
    <w:p w:rsidR="0097257C" w:rsidRDefault="0097257C" w:rsidP="008B38DF">
      <w:pPr>
        <w:pBdr>
          <w:top w:val="single" w:sz="4" w:space="1" w:color="auto"/>
          <w:left w:val="single" w:sz="4" w:space="4" w:color="auto"/>
          <w:bottom w:val="single" w:sz="4" w:space="1" w:color="auto"/>
          <w:right w:val="single" w:sz="4" w:space="4" w:color="auto"/>
        </w:pBdr>
        <w:rPr>
          <w:rFonts w:cs="Calibri"/>
          <w:color w:val="FF0000"/>
          <w:lang w:val="en-AU"/>
        </w:rPr>
      </w:pPr>
      <w:r w:rsidRPr="0097257C">
        <w:rPr>
          <w:rFonts w:cs="Calibri"/>
          <w:color w:val="FF0000"/>
          <w:lang w:val="en-AU"/>
        </w:rPr>
        <w:t>The arrangements outlined in this document are intended to provide additional spectrum options for scenarios that are not covered by the class licence, but operation can otherwise be technically configured so not to cause interference to other services supporting.   Possible applications include providing additional spectrum options and flexibility in the use of wireless devices audio at major events or by professional users</w:t>
      </w:r>
    </w:p>
    <w:p w:rsidR="001135DA" w:rsidRPr="001117C9" w:rsidRDefault="001135DA" w:rsidP="00C35E41">
      <w:pPr>
        <w:rPr>
          <w:rFonts w:cs="Calibri"/>
          <w:lang w:val="en-AU"/>
        </w:rPr>
      </w:pPr>
    </w:p>
    <w:p w:rsidR="00094E0C" w:rsidRPr="001117C9" w:rsidRDefault="00094E0C">
      <w:pPr>
        <w:rPr>
          <w:rFonts w:asciiTheme="minorHAnsi" w:hAnsiTheme="minorHAnsi" w:cstheme="minorHAnsi"/>
          <w:lang w:val="en-AU"/>
        </w:rPr>
      </w:pPr>
      <w:r w:rsidRPr="001117C9">
        <w:rPr>
          <w:rFonts w:cs="Calibri"/>
          <w:lang w:val="en-AU"/>
        </w:rPr>
        <w:t xml:space="preserve">The information in this document reflects </w:t>
      </w:r>
      <w:r w:rsidR="001E7620" w:rsidRPr="001117C9">
        <w:rPr>
          <w:rFonts w:cs="Calibri"/>
          <w:lang w:val="en-AU"/>
        </w:rPr>
        <w:t xml:space="preserve">the </w:t>
      </w:r>
      <w:proofErr w:type="spellStart"/>
      <w:r w:rsidRPr="001117C9">
        <w:rPr>
          <w:rFonts w:cs="Calibri"/>
          <w:lang w:val="en-AU"/>
        </w:rPr>
        <w:t>AC</w:t>
      </w:r>
      <w:r w:rsidR="00FE1D4D" w:rsidRPr="001117C9">
        <w:rPr>
          <w:rFonts w:cs="Calibri"/>
          <w:lang w:val="en-AU"/>
        </w:rPr>
        <w:t>M</w:t>
      </w:r>
      <w:r w:rsidRPr="001117C9">
        <w:rPr>
          <w:rFonts w:cs="Calibri"/>
          <w:lang w:val="en-AU"/>
        </w:rPr>
        <w:t>A's</w:t>
      </w:r>
      <w:proofErr w:type="spellEnd"/>
      <w:r w:rsidRPr="001117C9">
        <w:rPr>
          <w:rFonts w:cs="Calibri"/>
          <w:lang w:val="en-AU"/>
        </w:rPr>
        <w:t xml:space="preserve"> statement of current policy in relation to </w:t>
      </w:r>
      <w:r w:rsidR="00B00554" w:rsidRPr="001117C9">
        <w:rPr>
          <w:rFonts w:cs="Calibri"/>
          <w:lang w:val="en-AU"/>
        </w:rPr>
        <w:t xml:space="preserve">frequency coordination arrangements for wireless audio devices </w:t>
      </w:r>
      <w:r w:rsidR="00523355" w:rsidRPr="001117C9">
        <w:rPr>
          <w:rFonts w:cs="Calibri"/>
          <w:lang w:val="en-AU"/>
        </w:rPr>
        <w:t xml:space="preserve">apparatus </w:t>
      </w:r>
      <w:r w:rsidR="00B00554" w:rsidRPr="001117C9">
        <w:rPr>
          <w:rFonts w:cs="Calibri"/>
          <w:lang w:val="en-AU"/>
        </w:rPr>
        <w:t xml:space="preserve">to be operated under </w:t>
      </w:r>
      <w:r w:rsidR="00620969">
        <w:rPr>
          <w:rFonts w:cs="Calibri"/>
          <w:lang w:val="en-AU"/>
        </w:rPr>
        <w:t>a</w:t>
      </w:r>
      <w:r w:rsidR="00B00554" w:rsidRPr="001117C9">
        <w:rPr>
          <w:rFonts w:cs="Calibri"/>
          <w:lang w:val="en-AU"/>
        </w:rPr>
        <w:t xml:space="preserve"> land mobile apparatus licence. </w:t>
      </w:r>
      <w:r w:rsidRPr="001117C9">
        <w:rPr>
          <w:rFonts w:cs="Calibri"/>
          <w:lang w:val="en-AU"/>
        </w:rPr>
        <w:t xml:space="preserve"> In making decisions, </w:t>
      </w:r>
      <w:r w:rsidR="00715E72" w:rsidRPr="001117C9">
        <w:rPr>
          <w:rFonts w:asciiTheme="minorHAnsi" w:hAnsiTheme="minorHAnsi" w:cstheme="minorHAnsi"/>
          <w:lang w:val="en-AU"/>
        </w:rPr>
        <w:t xml:space="preserve">accredited frequency assigners and </w:t>
      </w:r>
      <w:proofErr w:type="spellStart"/>
      <w:r w:rsidR="00715E72" w:rsidRPr="001117C9">
        <w:rPr>
          <w:rFonts w:asciiTheme="minorHAnsi" w:hAnsiTheme="minorHAnsi" w:cstheme="minorHAnsi"/>
          <w:lang w:val="en-AU"/>
        </w:rPr>
        <w:t>ACMA’s</w:t>
      </w:r>
      <w:proofErr w:type="spellEnd"/>
      <w:r w:rsidR="00715E72" w:rsidRPr="001117C9">
        <w:rPr>
          <w:rFonts w:asciiTheme="minorHAnsi" w:hAnsiTheme="minorHAnsi" w:cstheme="minorHAnsi"/>
          <w:lang w:val="en-AU"/>
        </w:rPr>
        <w:t xml:space="preserve"> officers </w:t>
      </w:r>
      <w:r w:rsidRPr="001117C9">
        <w:rPr>
          <w:rFonts w:cs="Calibri"/>
          <w:lang w:val="en-AU"/>
        </w:rPr>
        <w:t xml:space="preserve">should take all relevant factors into account and decide each case on its merits.  Issues relating to this document that appear to fall outside the enunciated </w:t>
      </w:r>
      <w:r w:rsidR="00715E72" w:rsidRPr="001117C9">
        <w:rPr>
          <w:rFonts w:asciiTheme="minorHAnsi" w:hAnsiTheme="minorHAnsi" w:cstheme="minorHAnsi"/>
          <w:lang w:val="en-AU"/>
        </w:rPr>
        <w:t xml:space="preserve">policy should be referred to the Manager, Spectrum Engineering Section, PO Box 78, Belconnen, ACT, 2616, or by e-mail to </w:t>
      </w:r>
      <w:hyperlink r:id="rId26" w:history="1">
        <w:r w:rsidR="00790F2F" w:rsidRPr="001117C9">
          <w:rPr>
            <w:rStyle w:val="Hyperlink"/>
            <w:rFonts w:asciiTheme="minorHAnsi" w:hAnsiTheme="minorHAnsi" w:cstheme="minorHAnsi"/>
            <w:lang w:val="en-AU"/>
          </w:rPr>
          <w:t>freqplan@acma.gov.au</w:t>
        </w:r>
      </w:hyperlink>
      <w:r w:rsidR="00790F2F" w:rsidRPr="001117C9">
        <w:rPr>
          <w:rFonts w:asciiTheme="minorHAnsi" w:hAnsiTheme="minorHAnsi" w:cstheme="minorHAnsi"/>
          <w:lang w:val="en-AU"/>
        </w:rPr>
        <w:t xml:space="preserve">. </w:t>
      </w:r>
    </w:p>
    <w:p w:rsidR="00B822AE" w:rsidRPr="001117C9" w:rsidRDefault="00B822AE" w:rsidP="00152F0D">
      <w:pPr>
        <w:jc w:val="center"/>
        <w:rPr>
          <w:rFonts w:cs="Calibri"/>
          <w:lang w:val="en-AU"/>
        </w:rPr>
      </w:pPr>
    </w:p>
    <w:p w:rsidR="00C74FE0" w:rsidRPr="001117C9" w:rsidRDefault="00C74FE0" w:rsidP="00C74FE0">
      <w:pPr>
        <w:pStyle w:val="Heading2"/>
        <w:rPr>
          <w:lang w:val="en-AU"/>
        </w:rPr>
      </w:pPr>
      <w:bookmarkStart w:id="33" w:name="_Toc402794159"/>
      <w:r w:rsidRPr="001117C9">
        <w:rPr>
          <w:lang w:val="en-AU"/>
        </w:rPr>
        <w:t>Scope</w:t>
      </w:r>
      <w:bookmarkEnd w:id="33"/>
    </w:p>
    <w:p w:rsidR="006833FC" w:rsidRDefault="00C74FE0" w:rsidP="006833FC">
      <w:pPr>
        <w:rPr>
          <w:rFonts w:cs="Calibri"/>
          <w:lang w:val="en-AU"/>
        </w:rPr>
      </w:pPr>
      <w:r w:rsidRPr="001117C9">
        <w:rPr>
          <w:rFonts w:cs="Calibri"/>
          <w:lang w:val="en-AU"/>
        </w:rPr>
        <w:t xml:space="preserve">This </w:t>
      </w:r>
      <w:proofErr w:type="spellStart"/>
      <w:r w:rsidRPr="001117C9">
        <w:rPr>
          <w:rFonts w:cs="Calibri"/>
          <w:lang w:val="en-AU"/>
        </w:rPr>
        <w:t>RALI</w:t>
      </w:r>
      <w:proofErr w:type="spellEnd"/>
      <w:r w:rsidRPr="001117C9">
        <w:rPr>
          <w:rFonts w:cs="Calibri"/>
          <w:lang w:val="en-AU"/>
        </w:rPr>
        <w:t xml:space="preserve"> details the frequency coordination requirements for </w:t>
      </w:r>
      <w:r w:rsidR="007A1251" w:rsidRPr="001117C9">
        <w:rPr>
          <w:rFonts w:cs="Calibri"/>
          <w:lang w:val="en-AU"/>
        </w:rPr>
        <w:t xml:space="preserve">proposed </w:t>
      </w:r>
      <w:r w:rsidRPr="001117C9">
        <w:rPr>
          <w:rFonts w:cs="Calibri"/>
          <w:lang w:val="en-AU"/>
        </w:rPr>
        <w:t>apparatus licensed wireless audio devices.</w:t>
      </w:r>
    </w:p>
    <w:p w:rsidR="006833FC" w:rsidRDefault="006833FC" w:rsidP="006833FC">
      <w:pPr>
        <w:rPr>
          <w:rFonts w:cs="Calibri"/>
          <w:lang w:val="en-AU"/>
        </w:rPr>
      </w:pPr>
    </w:p>
    <w:p w:rsidR="00E10D47" w:rsidRDefault="006833FC" w:rsidP="00E10D47">
      <w:pPr>
        <w:rPr>
          <w:rFonts w:cs="Calibri"/>
          <w:lang w:val="en-AU"/>
        </w:rPr>
      </w:pPr>
      <w:r>
        <w:rPr>
          <w:rFonts w:cs="Calibri"/>
          <w:lang w:val="en-AU"/>
        </w:rPr>
        <w:t xml:space="preserve">The arrangements in this </w:t>
      </w:r>
      <w:proofErr w:type="spellStart"/>
      <w:r>
        <w:rPr>
          <w:rFonts w:cs="Calibri"/>
          <w:lang w:val="en-AU"/>
        </w:rPr>
        <w:t>RALI</w:t>
      </w:r>
      <w:proofErr w:type="spellEnd"/>
      <w:r>
        <w:rPr>
          <w:rFonts w:cs="Calibri"/>
          <w:lang w:val="en-AU"/>
        </w:rPr>
        <w:t xml:space="preserve"> are intended to provide additional spectrum options </w:t>
      </w:r>
      <w:r w:rsidRPr="001117C9">
        <w:rPr>
          <w:rFonts w:cs="Calibri"/>
          <w:lang w:val="en-AU"/>
        </w:rPr>
        <w:t xml:space="preserve">when operation </w:t>
      </w:r>
      <w:r>
        <w:rPr>
          <w:rFonts w:cs="Calibri"/>
          <w:lang w:val="en-AU"/>
        </w:rPr>
        <w:t xml:space="preserve">of wireless audio devices </w:t>
      </w:r>
      <w:r w:rsidR="00D53309">
        <w:rPr>
          <w:rFonts w:cs="Calibri"/>
          <w:lang w:val="en-AU"/>
        </w:rPr>
        <w:t>in the frequency range 52</w:t>
      </w:r>
      <w:r w:rsidR="00E10D47">
        <w:rPr>
          <w:rFonts w:cs="Calibri"/>
          <w:lang w:val="en-AU"/>
        </w:rPr>
        <w:t>0</w:t>
      </w:r>
      <w:r w:rsidR="00D53309">
        <w:rPr>
          <w:rFonts w:cs="Calibri"/>
          <w:lang w:val="en-AU"/>
        </w:rPr>
        <w:t xml:space="preserve">-694 MHz </w:t>
      </w:r>
      <w:r w:rsidRPr="001117C9">
        <w:rPr>
          <w:rFonts w:cs="Calibri"/>
          <w:lang w:val="en-AU"/>
        </w:rPr>
        <w:t xml:space="preserve">under the conditions set out in the </w:t>
      </w:r>
      <w:proofErr w:type="spellStart"/>
      <w:r w:rsidRPr="001117C9">
        <w:rPr>
          <w:rFonts w:cs="Calibri"/>
          <w:lang w:val="en-AU"/>
        </w:rPr>
        <w:t>LIPD</w:t>
      </w:r>
      <w:proofErr w:type="spellEnd"/>
      <w:r w:rsidRPr="001117C9">
        <w:rPr>
          <w:rFonts w:cs="Calibri"/>
          <w:lang w:val="en-AU"/>
        </w:rPr>
        <w:t xml:space="preserve"> class licence </w:t>
      </w:r>
      <w:r w:rsidR="00B61DFB">
        <w:rPr>
          <w:rFonts w:cs="Calibri"/>
          <w:lang w:val="en-AU"/>
        </w:rPr>
        <w:t>is</w:t>
      </w:r>
      <w:r w:rsidR="00B61DFB" w:rsidRPr="001117C9">
        <w:rPr>
          <w:rFonts w:cs="Calibri"/>
          <w:lang w:val="en-AU"/>
        </w:rPr>
        <w:t xml:space="preserve"> </w:t>
      </w:r>
      <w:r w:rsidRPr="001117C9">
        <w:rPr>
          <w:rFonts w:cs="Calibri"/>
          <w:lang w:val="en-AU"/>
        </w:rPr>
        <w:t>unable to be achieved</w:t>
      </w:r>
      <w:r>
        <w:rPr>
          <w:rFonts w:cs="Calibri"/>
          <w:lang w:val="en-AU"/>
        </w:rPr>
        <w:t>, but operation can be technically configured so not to cause interference</w:t>
      </w:r>
      <w:r w:rsidR="00C850E1">
        <w:rPr>
          <w:rFonts w:cs="Calibri"/>
          <w:lang w:val="en-AU"/>
        </w:rPr>
        <w:t xml:space="preserve"> to other services</w:t>
      </w:r>
      <w:r w:rsidR="00BF0492">
        <w:rPr>
          <w:rFonts w:cs="Calibri"/>
          <w:lang w:val="en-AU"/>
        </w:rPr>
        <w:t xml:space="preserve">. </w:t>
      </w:r>
      <w:r w:rsidR="00C90B9F">
        <w:rPr>
          <w:rFonts w:cs="Calibri"/>
          <w:lang w:val="en-AU"/>
        </w:rPr>
        <w:t xml:space="preserve">These arrangements are intended to </w:t>
      </w:r>
      <w:r w:rsidR="00437F68">
        <w:rPr>
          <w:rFonts w:cs="Calibri"/>
          <w:lang w:val="en-AU"/>
        </w:rPr>
        <w:t>support wireless</w:t>
      </w:r>
      <w:r w:rsidR="00C90B9F">
        <w:rPr>
          <w:rFonts w:cs="Calibri"/>
          <w:lang w:val="en-AU"/>
        </w:rPr>
        <w:t xml:space="preserve"> audio devices </w:t>
      </w:r>
      <w:r w:rsidR="00437F68">
        <w:rPr>
          <w:rFonts w:cs="Calibri"/>
          <w:lang w:val="en-AU"/>
        </w:rPr>
        <w:t>operating in</w:t>
      </w:r>
      <w:r w:rsidR="00C90B9F">
        <w:rPr>
          <w:rFonts w:cs="Calibri"/>
          <w:lang w:val="en-AU"/>
        </w:rPr>
        <w:t xml:space="preserve"> the frequency range 520-694 MHz, </w:t>
      </w:r>
      <w:r w:rsidR="00C90B9F" w:rsidRPr="001117C9">
        <w:rPr>
          <w:rFonts w:cs="Calibri"/>
          <w:lang w:val="en-AU"/>
        </w:rPr>
        <w:t>out</w:t>
      </w:r>
      <w:r w:rsidR="00C90B9F">
        <w:rPr>
          <w:rFonts w:cs="Calibri"/>
          <w:lang w:val="en-AU"/>
        </w:rPr>
        <w:t>doors</w:t>
      </w:r>
      <w:r w:rsidR="00C90B9F" w:rsidRPr="001117C9">
        <w:rPr>
          <w:rFonts w:cs="Calibri"/>
          <w:lang w:val="en-AU"/>
        </w:rPr>
        <w:t>, co-channel</w:t>
      </w:r>
      <w:r w:rsidR="00C90B9F">
        <w:rPr>
          <w:rFonts w:cs="Calibri"/>
          <w:lang w:val="en-AU"/>
        </w:rPr>
        <w:t xml:space="preserve"> and</w:t>
      </w:r>
      <w:r w:rsidR="00C90B9F" w:rsidRPr="001117C9">
        <w:rPr>
          <w:rFonts w:cs="Calibri"/>
          <w:lang w:val="en-AU"/>
        </w:rPr>
        <w:t xml:space="preserve"> in the coverage area of a broadcast television service</w:t>
      </w:r>
      <w:r w:rsidR="00C90B9F">
        <w:rPr>
          <w:rFonts w:cs="Calibri"/>
          <w:lang w:val="en-AU"/>
        </w:rPr>
        <w:t xml:space="preserve"> (which is not supported by the </w:t>
      </w:r>
      <w:proofErr w:type="spellStart"/>
      <w:r w:rsidR="00C90B9F">
        <w:rPr>
          <w:rFonts w:cs="Calibri"/>
          <w:lang w:val="en-AU"/>
        </w:rPr>
        <w:t>LIPD</w:t>
      </w:r>
      <w:proofErr w:type="spellEnd"/>
      <w:r w:rsidR="00C90B9F">
        <w:rPr>
          <w:rFonts w:cs="Calibri"/>
          <w:lang w:val="en-AU"/>
        </w:rPr>
        <w:t xml:space="preserve"> class licence). In such </w:t>
      </w:r>
      <w:r w:rsidR="00437F68">
        <w:rPr>
          <w:rFonts w:cs="Calibri"/>
          <w:lang w:val="en-AU"/>
        </w:rPr>
        <w:t>cases the</w:t>
      </w:r>
      <w:r w:rsidR="00C90B9F" w:rsidRPr="001117C9">
        <w:rPr>
          <w:rFonts w:cs="Calibri"/>
          <w:lang w:val="en-AU"/>
        </w:rPr>
        <w:t xml:space="preserve"> approval of </w:t>
      </w:r>
      <w:r w:rsidR="00C90B9F">
        <w:rPr>
          <w:rFonts w:cs="Calibri"/>
          <w:lang w:val="en-AU"/>
        </w:rPr>
        <w:t>the</w:t>
      </w:r>
      <w:r w:rsidR="00C90B9F" w:rsidRPr="001117C9">
        <w:rPr>
          <w:rFonts w:cs="Calibri"/>
          <w:lang w:val="en-AU"/>
        </w:rPr>
        <w:t xml:space="preserve"> </w:t>
      </w:r>
      <w:r w:rsidR="00C90B9F">
        <w:rPr>
          <w:rFonts w:cs="Calibri"/>
          <w:lang w:val="en-AU"/>
        </w:rPr>
        <w:t xml:space="preserve">co-channel broadcast television </w:t>
      </w:r>
      <w:r w:rsidR="00C90B9F" w:rsidRPr="001117C9">
        <w:rPr>
          <w:rFonts w:cs="Calibri"/>
          <w:lang w:val="en-AU"/>
        </w:rPr>
        <w:t>licensee</w:t>
      </w:r>
      <w:r w:rsidR="00C90B9F">
        <w:rPr>
          <w:rFonts w:cs="Calibri"/>
          <w:lang w:val="en-AU"/>
        </w:rPr>
        <w:t xml:space="preserve"> is required to demonstrate the operation </w:t>
      </w:r>
      <w:r w:rsidR="00C90B9F" w:rsidRPr="001117C9">
        <w:rPr>
          <w:rFonts w:cs="Calibri"/>
          <w:lang w:val="en-AU"/>
        </w:rPr>
        <w:t xml:space="preserve">can be achieved without causing interference to broadcast television reception. </w:t>
      </w:r>
      <w:r w:rsidR="00C90B9F">
        <w:rPr>
          <w:rFonts w:cs="Calibri"/>
          <w:lang w:val="en-AU"/>
        </w:rPr>
        <w:t xml:space="preserve"> </w:t>
      </w:r>
    </w:p>
    <w:p w:rsidR="00E10D47" w:rsidRDefault="00E10D47" w:rsidP="00E10D47">
      <w:pPr>
        <w:rPr>
          <w:rFonts w:cs="Calibri"/>
          <w:lang w:val="en-AU"/>
        </w:rPr>
      </w:pPr>
    </w:p>
    <w:p w:rsidR="00EB617E" w:rsidRDefault="00EB617E" w:rsidP="006833FC">
      <w:pPr>
        <w:rPr>
          <w:rFonts w:cs="Calibri"/>
        </w:rPr>
      </w:pPr>
      <w:r>
        <w:rPr>
          <w:rFonts w:cs="Calibri"/>
        </w:rPr>
        <w:t xml:space="preserve">Also supported is </w:t>
      </w:r>
      <w:r w:rsidR="00AF5AC3">
        <w:rPr>
          <w:rFonts w:cs="Calibri"/>
        </w:rPr>
        <w:t>the optional</w:t>
      </w:r>
      <w:r>
        <w:rPr>
          <w:rFonts w:cs="Calibri"/>
        </w:rPr>
        <w:t xml:space="preserve"> </w:t>
      </w:r>
      <w:r w:rsidRPr="009C7610">
        <w:rPr>
          <w:rFonts w:cs="Calibri"/>
        </w:rPr>
        <w:t xml:space="preserve">apparatus licensing of wireless audio devices in 520-694 MHz where operation would </w:t>
      </w:r>
      <w:r>
        <w:rPr>
          <w:rFonts w:cs="Calibri"/>
        </w:rPr>
        <w:t xml:space="preserve">typically </w:t>
      </w:r>
      <w:r w:rsidRPr="009C7610">
        <w:rPr>
          <w:rFonts w:cs="Calibri"/>
        </w:rPr>
        <w:t xml:space="preserve">be authorised </w:t>
      </w:r>
      <w:r>
        <w:rPr>
          <w:rFonts w:cs="Calibri"/>
        </w:rPr>
        <w:t>under</w:t>
      </w:r>
      <w:r w:rsidRPr="009C7610">
        <w:rPr>
          <w:rFonts w:cs="Calibri"/>
        </w:rPr>
        <w:t xml:space="preserve"> the </w:t>
      </w:r>
      <w:proofErr w:type="spellStart"/>
      <w:r w:rsidRPr="009C7610">
        <w:rPr>
          <w:rFonts w:cs="Calibri"/>
        </w:rPr>
        <w:t>LIPD</w:t>
      </w:r>
      <w:proofErr w:type="spellEnd"/>
      <w:r w:rsidRPr="009C7610">
        <w:rPr>
          <w:rFonts w:cs="Calibri"/>
        </w:rPr>
        <w:t xml:space="preserve"> class licence (i</w:t>
      </w:r>
      <w:r>
        <w:rPr>
          <w:rFonts w:cs="Calibri"/>
        </w:rPr>
        <w:t>.</w:t>
      </w:r>
      <w:r w:rsidRPr="009C7610">
        <w:rPr>
          <w:rFonts w:cs="Calibri"/>
        </w:rPr>
        <w:t>e</w:t>
      </w:r>
      <w:r>
        <w:rPr>
          <w:rFonts w:cs="Calibri"/>
        </w:rPr>
        <w:t>.</w:t>
      </w:r>
      <w:r w:rsidRPr="009C7610">
        <w:rPr>
          <w:rFonts w:cs="Calibri"/>
        </w:rPr>
        <w:t xml:space="preserve"> </w:t>
      </w:r>
      <w:r>
        <w:rPr>
          <w:rFonts w:cs="Calibri"/>
        </w:rPr>
        <w:t xml:space="preserve">where </w:t>
      </w:r>
      <w:r w:rsidRPr="009C7610">
        <w:rPr>
          <w:rFonts w:cs="Calibri"/>
        </w:rPr>
        <w:t xml:space="preserve">operation </w:t>
      </w:r>
      <w:r>
        <w:rPr>
          <w:rFonts w:cs="Calibri"/>
        </w:rPr>
        <w:t>is</w:t>
      </w:r>
      <w:r w:rsidRPr="009C7610">
        <w:rPr>
          <w:rFonts w:cs="Calibri"/>
        </w:rPr>
        <w:t xml:space="preserve"> in accordance with t</w:t>
      </w:r>
      <w:r w:rsidRPr="00C90B9F">
        <w:rPr>
          <w:rFonts w:cs="Calibri"/>
        </w:rPr>
        <w:t xml:space="preserve">he condition of the </w:t>
      </w:r>
      <w:proofErr w:type="spellStart"/>
      <w:r w:rsidRPr="00C90B9F">
        <w:rPr>
          <w:rFonts w:cs="Calibri"/>
        </w:rPr>
        <w:t>LIPD</w:t>
      </w:r>
      <w:proofErr w:type="spellEnd"/>
      <w:r w:rsidRPr="00C90B9F">
        <w:rPr>
          <w:rFonts w:cs="Calibri"/>
        </w:rPr>
        <w:t xml:space="preserve"> class licence). </w:t>
      </w:r>
      <w:r>
        <w:rPr>
          <w:rFonts w:cs="Calibri"/>
        </w:rPr>
        <w:t>The apparatus licensing of such</w:t>
      </w:r>
      <w:r w:rsidRPr="00C90B9F">
        <w:rPr>
          <w:rFonts w:cs="Calibri"/>
        </w:rPr>
        <w:t xml:space="preserve"> wireless audio </w:t>
      </w:r>
      <w:r>
        <w:rPr>
          <w:rFonts w:cs="Calibri"/>
        </w:rPr>
        <w:t>devices could be used to provide</w:t>
      </w:r>
      <w:r w:rsidRPr="00C90B9F">
        <w:rPr>
          <w:rFonts w:cs="Calibri"/>
        </w:rPr>
        <w:t xml:space="preserve"> visibility of spectrum usage</w:t>
      </w:r>
      <w:r w:rsidRPr="00C002AE">
        <w:rPr>
          <w:rFonts w:cs="Calibri"/>
        </w:rPr>
        <w:t xml:space="preserve"> </w:t>
      </w:r>
      <w:r w:rsidRPr="00C90B9F">
        <w:rPr>
          <w:rFonts w:cs="Calibri"/>
        </w:rPr>
        <w:t>at a</w:t>
      </w:r>
      <w:r>
        <w:rPr>
          <w:rFonts w:cs="Calibri"/>
        </w:rPr>
        <w:t xml:space="preserve"> major events</w:t>
      </w:r>
      <w:r w:rsidRPr="00C90B9F">
        <w:rPr>
          <w:rFonts w:cs="Calibri"/>
        </w:rPr>
        <w:t xml:space="preserve"> to assist coordination with other wireless audio device</w:t>
      </w:r>
      <w:r>
        <w:rPr>
          <w:rFonts w:cs="Calibri"/>
        </w:rPr>
        <w:t xml:space="preserve">s. </w:t>
      </w:r>
    </w:p>
    <w:p w:rsidR="00EB617E" w:rsidRDefault="00EB617E" w:rsidP="006833FC">
      <w:pPr>
        <w:rPr>
          <w:rFonts w:cs="Calibri"/>
        </w:rPr>
      </w:pPr>
    </w:p>
    <w:p w:rsidR="00EB617E" w:rsidRDefault="00EB617E" w:rsidP="006833FC">
      <w:pPr>
        <w:rPr>
          <w:rFonts w:cs="Calibri"/>
        </w:rPr>
      </w:pPr>
      <w:r>
        <w:rPr>
          <w:rFonts w:cs="Calibri"/>
          <w:lang w:val="en-AU"/>
        </w:rPr>
        <w:t>The</w:t>
      </w:r>
      <w:r w:rsidR="000B5BEF">
        <w:rPr>
          <w:rFonts w:cs="Calibri"/>
          <w:lang w:val="en-AU"/>
        </w:rPr>
        <w:t xml:space="preserve"> </w:t>
      </w:r>
      <w:proofErr w:type="spellStart"/>
      <w:r w:rsidR="000B5BEF">
        <w:rPr>
          <w:rFonts w:cs="Calibri"/>
          <w:lang w:val="en-AU"/>
        </w:rPr>
        <w:t>RALI</w:t>
      </w:r>
      <w:proofErr w:type="spellEnd"/>
      <w:r w:rsidR="000B5BEF">
        <w:rPr>
          <w:rFonts w:cs="Calibri"/>
          <w:lang w:val="en-AU"/>
        </w:rPr>
        <w:t xml:space="preserve"> a</w:t>
      </w:r>
      <w:r w:rsidR="00BF0492" w:rsidRPr="009C7610">
        <w:rPr>
          <w:rFonts w:cs="Calibri"/>
          <w:lang w:val="en-AU"/>
        </w:rPr>
        <w:t>lso provide</w:t>
      </w:r>
      <w:r w:rsidR="000B5BEF">
        <w:rPr>
          <w:rFonts w:cs="Calibri"/>
          <w:lang w:val="en-AU"/>
        </w:rPr>
        <w:t>s</w:t>
      </w:r>
      <w:r>
        <w:rPr>
          <w:rFonts w:cs="Calibri"/>
          <w:lang w:val="en-AU"/>
        </w:rPr>
        <w:t xml:space="preserve"> a framework </w:t>
      </w:r>
      <w:r w:rsidR="00AF5AC3">
        <w:rPr>
          <w:rFonts w:cs="Calibri"/>
          <w:lang w:val="en-AU"/>
        </w:rPr>
        <w:t xml:space="preserve">to </w:t>
      </w:r>
      <w:r w:rsidR="00AF5AC3" w:rsidRPr="009C7610">
        <w:rPr>
          <w:rFonts w:cs="Calibri"/>
          <w:lang w:val="en-AU"/>
        </w:rPr>
        <w:t>consider</w:t>
      </w:r>
      <w:r w:rsidR="000B5BEF">
        <w:rPr>
          <w:rFonts w:cs="Calibri"/>
        </w:rPr>
        <w:t xml:space="preserve"> the </w:t>
      </w:r>
      <w:r>
        <w:rPr>
          <w:rFonts w:cs="Calibri"/>
        </w:rPr>
        <w:t xml:space="preserve">apparatus </w:t>
      </w:r>
      <w:r w:rsidR="00AF5AC3">
        <w:rPr>
          <w:rFonts w:cs="Calibri"/>
        </w:rPr>
        <w:t>licensing of</w:t>
      </w:r>
      <w:r w:rsidR="000B5BEF">
        <w:rPr>
          <w:rFonts w:cs="Calibri"/>
        </w:rPr>
        <w:t xml:space="preserve"> wireless </w:t>
      </w:r>
      <w:r>
        <w:rPr>
          <w:rFonts w:cs="Calibri"/>
        </w:rPr>
        <w:t xml:space="preserve">audio devices </w:t>
      </w:r>
      <w:r w:rsidR="000B5BEF">
        <w:rPr>
          <w:rFonts w:cs="Calibri"/>
        </w:rPr>
        <w:t xml:space="preserve"> in</w:t>
      </w:r>
      <w:r w:rsidR="009C7610" w:rsidRPr="009C7610">
        <w:rPr>
          <w:rFonts w:cs="Calibri"/>
        </w:rPr>
        <w:t xml:space="preserve"> other bands on a case-by case basis</w:t>
      </w:r>
      <w:r>
        <w:rPr>
          <w:rFonts w:cs="Calibri"/>
        </w:rPr>
        <w:t>.</w:t>
      </w:r>
    </w:p>
    <w:p w:rsidR="00EB617E" w:rsidRDefault="00EB617E" w:rsidP="006833FC">
      <w:pPr>
        <w:rPr>
          <w:rFonts w:cs="Calibri"/>
        </w:rPr>
      </w:pPr>
    </w:p>
    <w:p w:rsidR="00E10D47" w:rsidRDefault="00E10D47" w:rsidP="00EB617E">
      <w:pPr>
        <w:rPr>
          <w:rFonts w:cs="Calibri"/>
          <w:lang w:val="en-AU"/>
        </w:rPr>
      </w:pPr>
      <w:r>
        <w:rPr>
          <w:rFonts w:cs="Calibri"/>
          <w:lang w:val="en-AU"/>
        </w:rPr>
        <w:t xml:space="preserve">Note that interference between wireless audio devices is not considered by the ACMA and coordination between wireless audio </w:t>
      </w:r>
      <w:r w:rsidR="00C002AE">
        <w:rPr>
          <w:rFonts w:cs="Calibri"/>
          <w:lang w:val="en-AU"/>
        </w:rPr>
        <w:t xml:space="preserve">devices </w:t>
      </w:r>
      <w:r>
        <w:rPr>
          <w:rFonts w:cs="Calibri"/>
          <w:lang w:val="en-AU"/>
        </w:rPr>
        <w:t>is a matter for the operators to manage.</w:t>
      </w:r>
    </w:p>
    <w:p w:rsidR="000F1A2A" w:rsidRDefault="000F1A2A" w:rsidP="006833FC">
      <w:pPr>
        <w:rPr>
          <w:rFonts w:cs="Calibri"/>
          <w:lang w:val="en-AU"/>
        </w:rPr>
      </w:pPr>
    </w:p>
    <w:p w:rsidR="00CF2DFA" w:rsidRDefault="00CF2DFA">
      <w:pPr>
        <w:rPr>
          <w:rFonts w:cs="Calibri"/>
          <w:lang w:val="en-AU"/>
        </w:rPr>
      </w:pPr>
    </w:p>
    <w:p w:rsidR="00E10D47" w:rsidRDefault="00C90B9F" w:rsidP="00AF5AC3">
      <w:pPr>
        <w:pStyle w:val="Heading2"/>
        <w:rPr>
          <w:lang w:val="en-AU"/>
        </w:rPr>
      </w:pPr>
      <w:r>
        <w:rPr>
          <w:lang w:val="en-AU"/>
        </w:rPr>
        <w:t>Frequency bands considered</w:t>
      </w:r>
    </w:p>
    <w:p w:rsidR="00885A82" w:rsidRDefault="00054C8E" w:rsidP="00885A82">
      <w:pPr>
        <w:rPr>
          <w:rFonts w:cs="Calibri"/>
          <w:lang w:val="en-AU"/>
        </w:rPr>
      </w:pPr>
      <w:r>
        <w:rPr>
          <w:rFonts w:cs="Calibri"/>
          <w:lang w:val="en-AU"/>
        </w:rPr>
        <w:t>A</w:t>
      </w:r>
      <w:r w:rsidR="00885A82" w:rsidRPr="001117C9">
        <w:rPr>
          <w:rFonts w:cs="Calibri"/>
          <w:lang w:val="en-AU"/>
        </w:rPr>
        <w:t xml:space="preserve">rrangements in this </w:t>
      </w:r>
      <w:proofErr w:type="spellStart"/>
      <w:r w:rsidR="00885A82" w:rsidRPr="001117C9">
        <w:rPr>
          <w:rFonts w:cs="Calibri"/>
          <w:lang w:val="en-AU"/>
        </w:rPr>
        <w:t>RALI</w:t>
      </w:r>
      <w:proofErr w:type="spellEnd"/>
      <w:r w:rsidR="00885A82" w:rsidRPr="001117C9">
        <w:rPr>
          <w:rFonts w:cs="Calibri"/>
          <w:lang w:val="en-AU"/>
        </w:rPr>
        <w:t xml:space="preserve"> are primarily concerned with the frequency range 520-694</w:t>
      </w:r>
      <w:r w:rsidR="00885A82">
        <w:rPr>
          <w:rFonts w:cs="Calibri"/>
          <w:lang w:val="en-AU"/>
        </w:rPr>
        <w:t> </w:t>
      </w:r>
      <w:proofErr w:type="spellStart"/>
      <w:r w:rsidR="00885A82" w:rsidRPr="001117C9">
        <w:rPr>
          <w:rFonts w:cs="Calibri"/>
          <w:lang w:val="en-AU"/>
        </w:rPr>
        <w:t>MH</w:t>
      </w:r>
      <w:r w:rsidR="00885A82">
        <w:rPr>
          <w:rFonts w:cs="Calibri"/>
          <w:lang w:val="en-AU"/>
        </w:rPr>
        <w:t>z</w:t>
      </w:r>
      <w:r>
        <w:rPr>
          <w:rFonts w:cs="Calibri"/>
          <w:lang w:val="en-AU"/>
        </w:rPr>
        <w:t>.</w:t>
      </w:r>
      <w:proofErr w:type="spellEnd"/>
      <w:r>
        <w:rPr>
          <w:rFonts w:cs="Calibri"/>
          <w:lang w:val="en-AU"/>
        </w:rPr>
        <w:t xml:space="preserve">  However, </w:t>
      </w:r>
      <w:r w:rsidR="00F427AF">
        <w:rPr>
          <w:rFonts w:cs="Calibri"/>
          <w:lang w:val="en-AU"/>
        </w:rPr>
        <w:t>w</w:t>
      </w:r>
      <w:r w:rsidR="00885A82" w:rsidRPr="001117C9">
        <w:rPr>
          <w:rFonts w:cs="Calibri"/>
          <w:lang w:val="en-AU"/>
        </w:rPr>
        <w:t xml:space="preserve">here there is no impact on existing services consideration of operation in frequency bands </w:t>
      </w:r>
      <w:r w:rsidR="00EB002C" w:rsidRPr="001117C9">
        <w:rPr>
          <w:rFonts w:cs="Calibri"/>
          <w:lang w:val="en-AU"/>
        </w:rPr>
        <w:t>other</w:t>
      </w:r>
      <w:r w:rsidR="00EB002C">
        <w:rPr>
          <w:rFonts w:cs="Calibri"/>
          <w:lang w:val="en-AU"/>
        </w:rPr>
        <w:t xml:space="preserve"> than </w:t>
      </w:r>
      <w:r w:rsidR="00885A82" w:rsidRPr="001117C9">
        <w:rPr>
          <w:rFonts w:cs="Calibri"/>
          <w:lang w:val="en-AU"/>
        </w:rPr>
        <w:t>520-69</w:t>
      </w:r>
      <w:r w:rsidR="00EB002C">
        <w:rPr>
          <w:rFonts w:cs="Calibri"/>
          <w:lang w:val="en-AU"/>
        </w:rPr>
        <w:t>4</w:t>
      </w:r>
      <w:r w:rsidR="00885A82" w:rsidRPr="001117C9">
        <w:rPr>
          <w:rFonts w:cs="Calibri"/>
          <w:lang w:val="en-AU"/>
        </w:rPr>
        <w:t xml:space="preserve"> MHz can be considered on a case by case basis.</w:t>
      </w:r>
    </w:p>
    <w:p w:rsidR="00E10D47" w:rsidRDefault="00E10D47" w:rsidP="00885A82">
      <w:pPr>
        <w:rPr>
          <w:rFonts w:cs="Calibri"/>
          <w:lang w:val="en-AU"/>
        </w:rPr>
      </w:pPr>
    </w:p>
    <w:p w:rsidR="00F427AF" w:rsidRDefault="00F427AF" w:rsidP="00885A82">
      <w:pPr>
        <w:rPr>
          <w:rFonts w:cs="Calibri"/>
          <w:lang w:val="en-AU"/>
        </w:rPr>
      </w:pPr>
      <w:r>
        <w:rPr>
          <w:rFonts w:cs="Calibri"/>
          <w:lang w:val="en-AU"/>
        </w:rPr>
        <w:t>Relevant scenarios and frequency bands include:</w:t>
      </w:r>
    </w:p>
    <w:p w:rsidR="00EA4388" w:rsidRDefault="00EA4388" w:rsidP="00885A82">
      <w:pPr>
        <w:rPr>
          <w:rFonts w:cs="Calibri"/>
          <w:lang w:val="en-AU"/>
        </w:rPr>
      </w:pPr>
    </w:p>
    <w:p w:rsidR="00F427AF" w:rsidRPr="001B2F31" w:rsidRDefault="00F427AF" w:rsidP="00F427AF">
      <w:pPr>
        <w:pStyle w:val="ListParagraph"/>
        <w:numPr>
          <w:ilvl w:val="0"/>
          <w:numId w:val="18"/>
        </w:numPr>
        <w:rPr>
          <w:rFonts w:cs="Calibri"/>
          <w:sz w:val="24"/>
        </w:rPr>
      </w:pPr>
      <w:r w:rsidRPr="001B2F31">
        <w:rPr>
          <w:rFonts w:cs="Calibri"/>
          <w:sz w:val="24"/>
          <w:lang w:val="en-GB"/>
        </w:rPr>
        <w:t>Major events, particularly of international significant, can result in requests for short term access to spectrum that is not identified in Australia for wireless audio devices but is supported in other countries.</w:t>
      </w:r>
    </w:p>
    <w:p w:rsidR="00F427AF" w:rsidRPr="001B2F31" w:rsidRDefault="00C850E1" w:rsidP="00F427AF">
      <w:pPr>
        <w:pStyle w:val="ListParagraph"/>
        <w:numPr>
          <w:ilvl w:val="0"/>
          <w:numId w:val="18"/>
        </w:numPr>
        <w:rPr>
          <w:rFonts w:cs="Calibri"/>
          <w:sz w:val="24"/>
        </w:rPr>
      </w:pPr>
      <w:r w:rsidRPr="001B2F31">
        <w:rPr>
          <w:rFonts w:cs="Calibri"/>
          <w:sz w:val="24"/>
          <w:lang w:val="en-GB"/>
        </w:rPr>
        <w:t>Use of 694-703</w:t>
      </w:r>
      <w:r w:rsidR="00F427AF" w:rsidRPr="001B2F31">
        <w:rPr>
          <w:rFonts w:cs="Calibri"/>
          <w:sz w:val="24"/>
          <w:lang w:val="en-GB"/>
        </w:rPr>
        <w:t>MHz</w:t>
      </w:r>
      <w:r w:rsidRPr="001B2F31">
        <w:rPr>
          <w:rFonts w:cs="Calibri"/>
          <w:sz w:val="24"/>
          <w:lang w:val="en-GB"/>
        </w:rPr>
        <w:t>, 748-758 MHz and 803-820 MHz on</w:t>
      </w:r>
      <w:r w:rsidR="00E15BDD" w:rsidRPr="001B2F31">
        <w:rPr>
          <w:rFonts w:cs="Calibri"/>
          <w:sz w:val="24"/>
          <w:lang w:val="en-GB"/>
        </w:rPr>
        <w:t xml:space="preserve"> an interim basis</w:t>
      </w:r>
      <w:r w:rsidRPr="001B2F31">
        <w:rPr>
          <w:rFonts w:cs="Calibri"/>
          <w:sz w:val="24"/>
          <w:lang w:val="en-GB"/>
        </w:rPr>
        <w:t xml:space="preserve">.  </w:t>
      </w:r>
      <w:r w:rsidR="004A3682" w:rsidRPr="001B2F31">
        <w:rPr>
          <w:rFonts w:cs="Calibri"/>
          <w:sz w:val="24"/>
          <w:lang w:val="en-GB"/>
        </w:rPr>
        <w:t xml:space="preserve">Longer term planning arrangements of these segments have yet to be determined, hence any use by wireless audio devices </w:t>
      </w:r>
      <w:r w:rsidR="00934341" w:rsidRPr="001B2F31">
        <w:rPr>
          <w:rFonts w:cs="Calibri"/>
          <w:sz w:val="24"/>
          <w:lang w:val="en-GB"/>
        </w:rPr>
        <w:t xml:space="preserve">will </w:t>
      </w:r>
      <w:r w:rsidR="004A3682" w:rsidRPr="001B2F31">
        <w:rPr>
          <w:rFonts w:cs="Calibri"/>
          <w:sz w:val="24"/>
          <w:lang w:val="en-GB"/>
        </w:rPr>
        <w:t>be interim in nature.</w:t>
      </w:r>
      <w:r w:rsidR="008E239A" w:rsidRPr="001B2F31">
        <w:rPr>
          <w:rFonts w:cs="Calibri"/>
          <w:sz w:val="24"/>
          <w:lang w:val="en-GB"/>
        </w:rPr>
        <w:t xml:space="preserve"> </w:t>
      </w:r>
      <w:r w:rsidR="00656A87">
        <w:rPr>
          <w:rFonts w:cs="Calibri"/>
          <w:sz w:val="24"/>
          <w:lang w:val="en-GB"/>
        </w:rPr>
        <w:t xml:space="preserve"> Any licence issued authorising operation in these bands will be short </w:t>
      </w:r>
      <w:r w:rsidR="00656A87" w:rsidRPr="00656A87">
        <w:rPr>
          <w:rFonts w:cs="Calibri"/>
          <w:sz w:val="24"/>
          <w:szCs w:val="24"/>
          <w:lang w:val="en-GB"/>
        </w:rPr>
        <w:t xml:space="preserve">term and </w:t>
      </w:r>
      <w:r w:rsidR="00C002AE">
        <w:rPr>
          <w:rFonts w:cs="Calibri"/>
          <w:sz w:val="24"/>
          <w:szCs w:val="24"/>
          <w:lang w:val="en-GB"/>
        </w:rPr>
        <w:t>may</w:t>
      </w:r>
      <w:r w:rsidR="00C002AE" w:rsidRPr="00656A87">
        <w:rPr>
          <w:rFonts w:cs="Calibri"/>
          <w:sz w:val="24"/>
          <w:szCs w:val="24"/>
          <w:lang w:val="en-GB"/>
        </w:rPr>
        <w:t xml:space="preserve"> </w:t>
      </w:r>
      <w:r w:rsidR="00656A87" w:rsidRPr="001B2F31">
        <w:rPr>
          <w:rFonts w:cs="Calibri"/>
          <w:sz w:val="24"/>
          <w:szCs w:val="24"/>
        </w:rPr>
        <w:t>not be renewed when the licences expires</w:t>
      </w:r>
      <w:r w:rsidR="00656A87">
        <w:rPr>
          <w:rFonts w:cs="Calibri"/>
          <w:sz w:val="24"/>
          <w:szCs w:val="24"/>
        </w:rPr>
        <w:t>.</w:t>
      </w:r>
      <w:r w:rsidR="00671D06">
        <w:rPr>
          <w:rFonts w:cs="Calibri"/>
          <w:sz w:val="24"/>
          <w:szCs w:val="24"/>
        </w:rPr>
        <w:t xml:space="preserve"> Advisory note BL will be applied to all licences issued in this these bands.   </w:t>
      </w:r>
      <w:r w:rsidR="00671D06" w:rsidRPr="00671D06">
        <w:rPr>
          <w:rFonts w:cs="Calibri"/>
          <w:sz w:val="24"/>
          <w:szCs w:val="24"/>
          <w:lang w:val="en-GB"/>
        </w:rPr>
        <w:t>Advisory note BL states “</w:t>
      </w:r>
      <w:r w:rsidR="00671D06" w:rsidRPr="008B38DF">
        <w:rPr>
          <w:rFonts w:cs="Calibri"/>
          <w:i/>
          <w:sz w:val="24"/>
          <w:szCs w:val="24"/>
          <w:lang w:val="en-GB"/>
        </w:rPr>
        <w:t xml:space="preserve">This </w:t>
      </w:r>
      <w:r w:rsidR="00671D06" w:rsidRPr="00671D06">
        <w:rPr>
          <w:rFonts w:cs="Calibri"/>
          <w:i/>
          <w:sz w:val="24"/>
          <w:szCs w:val="24"/>
          <w:lang w:val="en-GB"/>
        </w:rPr>
        <w:t xml:space="preserve">frequency </w:t>
      </w:r>
      <w:r w:rsidR="00671D06">
        <w:rPr>
          <w:rFonts w:cs="Calibri"/>
          <w:i/>
          <w:sz w:val="24"/>
          <w:szCs w:val="24"/>
          <w:lang w:val="en-GB"/>
        </w:rPr>
        <w:t>b</w:t>
      </w:r>
      <w:r w:rsidR="00671D06" w:rsidRPr="008B38DF">
        <w:rPr>
          <w:rFonts w:cs="Calibri"/>
          <w:i/>
          <w:sz w:val="24"/>
          <w:szCs w:val="24"/>
          <w:lang w:val="en-GB"/>
        </w:rPr>
        <w:t>and is currently under review to accommodate changes in technology. This review may lead to a requirement to change frequency or to cease transmission</w:t>
      </w:r>
      <w:r w:rsidR="00671D06">
        <w:rPr>
          <w:rFonts w:cs="Calibri"/>
          <w:sz w:val="24"/>
          <w:szCs w:val="24"/>
          <w:lang w:val="en-GB"/>
        </w:rPr>
        <w:t>”.</w:t>
      </w:r>
    </w:p>
    <w:p w:rsidR="00E15BDD" w:rsidRPr="001B2F31" w:rsidRDefault="00E15BDD" w:rsidP="00F427AF">
      <w:pPr>
        <w:pStyle w:val="ListParagraph"/>
        <w:numPr>
          <w:ilvl w:val="0"/>
          <w:numId w:val="18"/>
        </w:numPr>
        <w:rPr>
          <w:rFonts w:cs="Calibri"/>
          <w:sz w:val="24"/>
        </w:rPr>
      </w:pPr>
      <w:r w:rsidRPr="001B2F31">
        <w:rPr>
          <w:rFonts w:cs="Calibri"/>
          <w:sz w:val="24"/>
          <w:lang w:val="en-GB"/>
        </w:rPr>
        <w:t>Use of 1785</w:t>
      </w:r>
      <w:r w:rsidR="00995A71" w:rsidRPr="001B2F31">
        <w:rPr>
          <w:rFonts w:cs="Calibri"/>
          <w:sz w:val="24"/>
          <w:lang w:val="en-GB"/>
        </w:rPr>
        <w:t>/6</w:t>
      </w:r>
      <w:r w:rsidRPr="001B2F31">
        <w:rPr>
          <w:rFonts w:cs="Calibri"/>
          <w:sz w:val="24"/>
          <w:lang w:val="en-GB"/>
        </w:rPr>
        <w:t xml:space="preserve">-1790 MHz </w:t>
      </w:r>
      <w:r w:rsidR="00995A71" w:rsidRPr="001B2F31">
        <w:rPr>
          <w:rFonts w:cs="Calibri"/>
          <w:sz w:val="24"/>
          <w:lang w:val="en-GB"/>
        </w:rPr>
        <w:t xml:space="preserve">subject to restrictions to minimise the risk of interference to adjacent band </w:t>
      </w:r>
      <w:r w:rsidR="007F28CA" w:rsidRPr="001B2F31">
        <w:rPr>
          <w:rFonts w:cs="Calibri"/>
          <w:sz w:val="24"/>
          <w:lang w:val="en-GB"/>
        </w:rPr>
        <w:t>services</w:t>
      </w:r>
      <w:r w:rsidR="00995A71" w:rsidRPr="001B2F31">
        <w:rPr>
          <w:rFonts w:cs="Calibri"/>
          <w:sz w:val="24"/>
          <w:lang w:val="en-GB"/>
        </w:rPr>
        <w:t xml:space="preserve">.  The </w:t>
      </w:r>
      <w:r w:rsidRPr="001B2F31">
        <w:rPr>
          <w:rFonts w:cs="Calibri"/>
          <w:sz w:val="24"/>
          <w:lang w:val="en-GB"/>
        </w:rPr>
        <w:t>ACMA is currently</w:t>
      </w:r>
      <w:r w:rsidR="00054C8E">
        <w:rPr>
          <w:rFonts w:cs="Calibri"/>
          <w:sz w:val="24"/>
          <w:lang w:val="en-GB"/>
        </w:rPr>
        <w:t xml:space="preserve"> (as at </w:t>
      </w:r>
      <w:r w:rsidR="00671D06">
        <w:rPr>
          <w:rFonts w:cs="Calibri"/>
          <w:sz w:val="24"/>
          <w:lang w:val="en-GB"/>
        </w:rPr>
        <w:t>December</w:t>
      </w:r>
      <w:r w:rsidR="00054C8E">
        <w:rPr>
          <w:rFonts w:cs="Calibri"/>
          <w:sz w:val="24"/>
          <w:lang w:val="en-GB"/>
        </w:rPr>
        <w:t xml:space="preserve"> 2014)</w:t>
      </w:r>
      <w:r w:rsidRPr="001B2F31">
        <w:rPr>
          <w:rFonts w:cs="Calibri"/>
          <w:sz w:val="24"/>
          <w:lang w:val="en-GB"/>
        </w:rPr>
        <w:t xml:space="preserve"> </w:t>
      </w:r>
      <w:r w:rsidR="008C413E" w:rsidRPr="001B2F31">
        <w:rPr>
          <w:rFonts w:cs="Calibri"/>
          <w:sz w:val="24"/>
          <w:lang w:val="en-GB"/>
        </w:rPr>
        <w:t xml:space="preserve">reviewing class licence </w:t>
      </w:r>
      <w:r w:rsidRPr="001B2F31">
        <w:rPr>
          <w:rFonts w:cs="Calibri"/>
          <w:sz w:val="24"/>
          <w:lang w:val="en-GB"/>
        </w:rPr>
        <w:t>arrangements for wireless audio devices</w:t>
      </w:r>
      <w:r w:rsidR="00995A71" w:rsidRPr="001B2F31">
        <w:rPr>
          <w:rFonts w:cs="Calibri"/>
          <w:sz w:val="24"/>
          <w:lang w:val="en-GB"/>
        </w:rPr>
        <w:t xml:space="preserve"> </w:t>
      </w:r>
      <w:r w:rsidRPr="001B2F31">
        <w:rPr>
          <w:rFonts w:cs="Calibri"/>
          <w:sz w:val="24"/>
          <w:lang w:val="en-GB"/>
        </w:rPr>
        <w:t xml:space="preserve">with a view of </w:t>
      </w:r>
      <w:r w:rsidR="00995A71" w:rsidRPr="001B2F31">
        <w:rPr>
          <w:rFonts w:cs="Calibri"/>
          <w:sz w:val="24"/>
          <w:lang w:val="en-GB"/>
        </w:rPr>
        <w:t xml:space="preserve">extending existing provisions </w:t>
      </w:r>
      <w:r w:rsidR="00E408D6" w:rsidRPr="001B2F31">
        <w:rPr>
          <w:rFonts w:cs="Calibri"/>
          <w:sz w:val="24"/>
          <w:lang w:val="en-GB"/>
        </w:rPr>
        <w:t xml:space="preserve">in </w:t>
      </w:r>
      <w:r w:rsidR="00995A71" w:rsidRPr="001B2F31">
        <w:rPr>
          <w:rFonts w:cs="Calibri"/>
          <w:sz w:val="24"/>
          <w:lang w:val="en-GB"/>
        </w:rPr>
        <w:t xml:space="preserve">1790-1800 MHz to </w:t>
      </w:r>
      <w:r w:rsidRPr="001B2F31">
        <w:rPr>
          <w:rFonts w:cs="Calibri"/>
          <w:sz w:val="24"/>
          <w:lang w:val="en-GB"/>
        </w:rPr>
        <w:t xml:space="preserve">align with European </w:t>
      </w:r>
      <w:r w:rsidR="00995A71" w:rsidRPr="001B2F31">
        <w:rPr>
          <w:rFonts w:cs="Calibri"/>
          <w:sz w:val="24"/>
          <w:lang w:val="en-GB"/>
        </w:rPr>
        <w:t>arrangements</w:t>
      </w:r>
      <w:r w:rsidR="007F28CA" w:rsidRPr="001B2F31">
        <w:rPr>
          <w:rStyle w:val="FootnoteReference"/>
          <w:rFonts w:cs="Calibri"/>
          <w:sz w:val="24"/>
          <w:lang w:val="en-GB"/>
        </w:rPr>
        <w:footnoteReference w:id="4"/>
      </w:r>
      <w:r w:rsidR="00995A71" w:rsidRPr="001B2F31">
        <w:rPr>
          <w:rFonts w:cs="Calibri"/>
          <w:sz w:val="24"/>
          <w:lang w:val="en-GB"/>
        </w:rPr>
        <w:t>.</w:t>
      </w:r>
    </w:p>
    <w:p w:rsidR="00D0339B" w:rsidRDefault="00D0339B" w:rsidP="008E60C5">
      <w:pPr>
        <w:rPr>
          <w:rFonts w:cs="Calibri"/>
          <w:lang w:val="en-AU"/>
        </w:rPr>
      </w:pPr>
    </w:p>
    <w:p w:rsidR="00930A5B" w:rsidRDefault="00930A5B" w:rsidP="008E60C5">
      <w:pPr>
        <w:rPr>
          <w:rFonts w:cs="Calibri"/>
          <w:lang w:val="en-AU"/>
        </w:rPr>
      </w:pPr>
      <w:r w:rsidRPr="008B38DF">
        <w:rPr>
          <w:rFonts w:cs="Calibri"/>
          <w:lang w:val="en-AU"/>
        </w:rPr>
        <w:t>While frequency bands</w:t>
      </w:r>
      <w:r w:rsidR="008E239A" w:rsidRPr="008B38DF">
        <w:rPr>
          <w:rFonts w:cs="Calibri"/>
          <w:lang w:val="en-AU"/>
        </w:rPr>
        <w:t xml:space="preserve"> other than 520-694 MHz (</w:t>
      </w:r>
      <w:r w:rsidR="00EB002C" w:rsidRPr="008B38DF">
        <w:rPr>
          <w:rFonts w:cs="Calibri"/>
          <w:lang w:val="en-AU"/>
        </w:rPr>
        <w:t>e.g.</w:t>
      </w:r>
      <w:r w:rsidR="008E239A" w:rsidRPr="008B38DF">
        <w:rPr>
          <w:rFonts w:cs="Calibri"/>
          <w:lang w:val="en-AU"/>
        </w:rPr>
        <w:t xml:space="preserve"> those outlined above)</w:t>
      </w:r>
      <w:r w:rsidRPr="008B38DF">
        <w:rPr>
          <w:rFonts w:cs="Calibri"/>
          <w:lang w:val="en-AU"/>
        </w:rPr>
        <w:t xml:space="preserve"> can be considered, any request will need to be accompanied by </w:t>
      </w:r>
      <w:r w:rsidR="00D2051F">
        <w:rPr>
          <w:rFonts w:cs="Calibri"/>
          <w:lang w:val="en-AU"/>
        </w:rPr>
        <w:t xml:space="preserve">an </w:t>
      </w:r>
      <w:r w:rsidRPr="008B38DF">
        <w:rPr>
          <w:rFonts w:cs="Calibri"/>
          <w:lang w:val="en-AU"/>
        </w:rPr>
        <w:t xml:space="preserve">assessment of the </w:t>
      </w:r>
      <w:r w:rsidR="00C002AE" w:rsidRPr="008B38DF">
        <w:rPr>
          <w:rFonts w:cs="Calibri"/>
          <w:lang w:val="en-AU"/>
        </w:rPr>
        <w:t>likeli</w:t>
      </w:r>
      <w:r w:rsidR="00C002AE">
        <w:rPr>
          <w:rFonts w:cs="Calibri"/>
          <w:lang w:val="en-AU"/>
        </w:rPr>
        <w:t>hood</w:t>
      </w:r>
      <w:r w:rsidRPr="008B38DF">
        <w:rPr>
          <w:rFonts w:cs="Calibri"/>
          <w:lang w:val="en-AU"/>
        </w:rPr>
        <w:t xml:space="preserve"> of in</w:t>
      </w:r>
      <w:r w:rsidR="00C47DDA" w:rsidRPr="008B38DF">
        <w:rPr>
          <w:rFonts w:cs="Calibri"/>
          <w:lang w:val="en-AU"/>
        </w:rPr>
        <w:t xml:space="preserve">terference to existing services, </w:t>
      </w:r>
      <w:r w:rsidRPr="008B38DF">
        <w:rPr>
          <w:rFonts w:cs="Calibri"/>
          <w:lang w:val="en-AU"/>
        </w:rPr>
        <w:t>measures that will be used to minimise the potential for interference</w:t>
      </w:r>
      <w:r w:rsidR="0096139F" w:rsidRPr="008B38DF">
        <w:rPr>
          <w:rFonts w:cs="Calibri"/>
          <w:lang w:val="en-AU"/>
        </w:rPr>
        <w:t xml:space="preserve"> and </w:t>
      </w:r>
      <w:r w:rsidR="00A205D1" w:rsidRPr="008B38DF">
        <w:rPr>
          <w:rFonts w:cs="Calibri"/>
          <w:lang w:val="en-AU"/>
        </w:rPr>
        <w:t>justification as</w:t>
      </w:r>
      <w:r w:rsidR="00C47DDA" w:rsidRPr="008B38DF">
        <w:rPr>
          <w:rFonts w:cs="Calibri"/>
          <w:lang w:val="en-AU"/>
        </w:rPr>
        <w:t xml:space="preserve"> to</w:t>
      </w:r>
      <w:r w:rsidR="0096139F" w:rsidRPr="008B38DF">
        <w:rPr>
          <w:rFonts w:cs="Calibri"/>
          <w:lang w:val="en-AU"/>
        </w:rPr>
        <w:t xml:space="preserve"> why a licence should be issued</w:t>
      </w:r>
      <w:r w:rsidR="00406C63" w:rsidRPr="008B38DF">
        <w:rPr>
          <w:rFonts w:cs="Calibri"/>
          <w:lang w:val="en-AU"/>
        </w:rPr>
        <w:t xml:space="preserve">.  In considering such requests the ACMA will </w:t>
      </w:r>
      <w:r w:rsidR="00D2051F">
        <w:rPr>
          <w:rFonts w:cs="Calibri"/>
          <w:lang w:val="en-AU"/>
        </w:rPr>
        <w:t>give</w:t>
      </w:r>
      <w:r w:rsidR="00D2051F" w:rsidRPr="008B38DF">
        <w:rPr>
          <w:rFonts w:cs="Calibri"/>
          <w:lang w:val="en-AU"/>
        </w:rPr>
        <w:t xml:space="preserve"> </w:t>
      </w:r>
      <w:r w:rsidR="00406C63" w:rsidRPr="008B38DF">
        <w:rPr>
          <w:rFonts w:cs="Calibri"/>
          <w:lang w:val="en-AU"/>
        </w:rPr>
        <w:t>regard to the applicable regulatory framework and planning activities.</w:t>
      </w:r>
      <w:r w:rsidR="00406C63">
        <w:rPr>
          <w:rFonts w:cs="Calibri"/>
          <w:lang w:val="en-AU"/>
        </w:rPr>
        <w:t xml:space="preserve">  </w:t>
      </w:r>
    </w:p>
    <w:p w:rsidR="0044349D" w:rsidRDefault="0044349D" w:rsidP="003C703D">
      <w:pPr>
        <w:pStyle w:val="Heading1"/>
        <w:rPr>
          <w:lang w:val="en-AU"/>
        </w:rPr>
      </w:pPr>
      <w:bookmarkStart w:id="34" w:name="_Toc402794160"/>
      <w:r>
        <w:rPr>
          <w:lang w:val="en-AU"/>
        </w:rPr>
        <w:t>Background</w:t>
      </w:r>
      <w:bookmarkEnd w:id="34"/>
      <w:r w:rsidR="003C703D" w:rsidRPr="001117C9">
        <w:rPr>
          <w:lang w:val="en-AU"/>
        </w:rPr>
        <w:t xml:space="preserve"> </w:t>
      </w:r>
    </w:p>
    <w:p w:rsidR="007E44D5" w:rsidRPr="001117C9" w:rsidRDefault="00022F01" w:rsidP="0044349D">
      <w:pPr>
        <w:pStyle w:val="Heading2"/>
        <w:rPr>
          <w:lang w:val="en-AU"/>
        </w:rPr>
      </w:pPr>
      <w:bookmarkStart w:id="35" w:name="_Toc402794161"/>
      <w:r w:rsidRPr="001117C9">
        <w:rPr>
          <w:lang w:val="en-AU"/>
        </w:rPr>
        <w:t>Wireless audio devices and apparatus</w:t>
      </w:r>
      <w:r w:rsidR="003C703D" w:rsidRPr="001117C9">
        <w:rPr>
          <w:lang w:val="en-AU"/>
        </w:rPr>
        <w:t xml:space="preserve"> licensing</w:t>
      </w:r>
      <w:bookmarkEnd w:id="35"/>
      <w:r w:rsidR="003C703D" w:rsidRPr="001117C9">
        <w:rPr>
          <w:lang w:val="en-AU"/>
        </w:rPr>
        <w:t xml:space="preserve"> </w:t>
      </w:r>
    </w:p>
    <w:p w:rsidR="00022F01" w:rsidRPr="001117C9" w:rsidRDefault="0019460F" w:rsidP="0029727A">
      <w:pPr>
        <w:rPr>
          <w:rFonts w:cs="Calibri"/>
          <w:lang w:val="en-AU"/>
        </w:rPr>
      </w:pPr>
      <w:hyperlink r:id="rId27" w:history="1">
        <w:r w:rsidR="00633ADE" w:rsidRPr="001117C9">
          <w:rPr>
            <w:rStyle w:val="Hyperlink"/>
            <w:rFonts w:cs="Arial"/>
            <w:lang w:val="en-AU"/>
          </w:rPr>
          <w:t>Apparatus licences</w:t>
        </w:r>
      </w:hyperlink>
      <w:r w:rsidR="00633ADE" w:rsidRPr="001117C9">
        <w:rPr>
          <w:rStyle w:val="FootnoteReference"/>
          <w:rFonts w:cs="Arial"/>
          <w:lang w:val="en-AU"/>
        </w:rPr>
        <w:footnoteReference w:id="5"/>
      </w:r>
      <w:r w:rsidR="00633ADE" w:rsidRPr="001117C9">
        <w:rPr>
          <w:rFonts w:cs="Arial"/>
          <w:lang w:val="en-AU"/>
        </w:rPr>
        <w:t xml:space="preserve"> are issued under Part 3.3 of the Radiocommunications Act.</w:t>
      </w:r>
      <w:r w:rsidR="000918B5">
        <w:rPr>
          <w:rFonts w:cs="Arial"/>
          <w:lang w:val="en-AU"/>
        </w:rPr>
        <w:t xml:space="preserve"> </w:t>
      </w:r>
      <w:r w:rsidR="00633ADE" w:rsidRPr="001117C9">
        <w:rPr>
          <w:rFonts w:cs="Arial"/>
          <w:lang w:val="en-AU"/>
        </w:rPr>
        <w:t xml:space="preserve"> They are issued to a person</w:t>
      </w:r>
      <w:r w:rsidR="00472DB6" w:rsidRPr="001117C9">
        <w:rPr>
          <w:rStyle w:val="FootnoteReference"/>
          <w:rFonts w:cs="Arial"/>
          <w:lang w:val="en-AU"/>
        </w:rPr>
        <w:footnoteReference w:id="6"/>
      </w:r>
      <w:r w:rsidR="00633ADE" w:rsidRPr="001117C9">
        <w:rPr>
          <w:rFonts w:cs="Arial"/>
          <w:lang w:val="en-AU"/>
        </w:rPr>
        <w:t xml:space="preserve"> and authorise the operation of specified radiocommunications devices (transmitters or receivers) or other devices of a kind specified under the Act.  </w:t>
      </w:r>
      <w:r w:rsidR="00B310ED" w:rsidRPr="001117C9">
        <w:rPr>
          <w:rFonts w:cs="Calibri"/>
          <w:lang w:val="en-AU"/>
        </w:rPr>
        <w:t>The ACMA uses a system of apparatus licence types to apply common licence conditions and fee structures to categories of radiocommunications.</w:t>
      </w:r>
      <w:r w:rsidR="000918B5">
        <w:rPr>
          <w:rFonts w:cs="Calibri"/>
          <w:lang w:val="en-AU"/>
        </w:rPr>
        <w:t xml:space="preserve"> </w:t>
      </w:r>
      <w:r w:rsidR="00EB002C">
        <w:rPr>
          <w:rFonts w:cs="Calibri"/>
          <w:lang w:val="en-AU"/>
        </w:rPr>
        <w:t xml:space="preserve"> </w:t>
      </w:r>
      <w:r w:rsidR="00B310ED" w:rsidRPr="001117C9">
        <w:rPr>
          <w:rFonts w:cs="Calibri"/>
          <w:lang w:val="en-AU"/>
        </w:rPr>
        <w:t xml:space="preserve">Most licence types </w:t>
      </w:r>
      <w:r w:rsidR="00C87585" w:rsidRPr="001117C9">
        <w:rPr>
          <w:rFonts w:cs="Calibri"/>
          <w:lang w:val="en-AU"/>
        </w:rPr>
        <w:t xml:space="preserve">have associated licence options suitable for specific purposes.  Fees charged vary according to licence options. </w:t>
      </w:r>
    </w:p>
    <w:p w:rsidR="00022F01" w:rsidRPr="001117C9" w:rsidRDefault="00022F01" w:rsidP="0029727A">
      <w:pPr>
        <w:rPr>
          <w:rFonts w:cs="Calibri"/>
          <w:lang w:val="en-AU"/>
        </w:rPr>
      </w:pPr>
    </w:p>
    <w:p w:rsidR="00022F01" w:rsidRPr="001117C9" w:rsidRDefault="00C87585" w:rsidP="0029727A">
      <w:pPr>
        <w:rPr>
          <w:rFonts w:cs="Calibri"/>
          <w:lang w:val="en-AU"/>
        </w:rPr>
      </w:pPr>
      <w:r w:rsidRPr="001117C9">
        <w:rPr>
          <w:rFonts w:cs="Calibri"/>
          <w:lang w:val="en-AU"/>
        </w:rPr>
        <w:t xml:space="preserve">Apparatus licences can be either assigned or non-assigned.  Assigned licences are issued where frequency assignment (coordination) is required.  Non-assigned licences are issued when individual frequency assignment is not required. </w:t>
      </w:r>
      <w:r w:rsidR="005D55A2" w:rsidRPr="001117C9">
        <w:rPr>
          <w:rFonts w:cs="Calibri"/>
          <w:lang w:val="en-AU"/>
        </w:rPr>
        <w:t xml:space="preserve"> </w:t>
      </w:r>
    </w:p>
    <w:p w:rsidR="00022F01" w:rsidRPr="001117C9" w:rsidRDefault="00022F01" w:rsidP="0029727A">
      <w:pPr>
        <w:rPr>
          <w:rFonts w:cs="Calibri"/>
          <w:lang w:val="en-AU"/>
        </w:rPr>
      </w:pPr>
    </w:p>
    <w:p w:rsidR="000F0308" w:rsidRPr="001117C9" w:rsidRDefault="005D55A2" w:rsidP="00355AEE">
      <w:pPr>
        <w:rPr>
          <w:rFonts w:cs="Calibri"/>
          <w:lang w:val="en-AU"/>
        </w:rPr>
      </w:pPr>
      <w:r w:rsidRPr="001117C9">
        <w:rPr>
          <w:rFonts w:cs="Calibri"/>
          <w:lang w:val="en-AU"/>
        </w:rPr>
        <w:t xml:space="preserve">Wireless audio devices meeting the requirements of this </w:t>
      </w:r>
      <w:proofErr w:type="spellStart"/>
      <w:r w:rsidRPr="001117C9">
        <w:rPr>
          <w:rFonts w:cs="Calibri"/>
          <w:lang w:val="en-AU"/>
        </w:rPr>
        <w:t>RALI</w:t>
      </w:r>
      <w:proofErr w:type="spellEnd"/>
      <w:r w:rsidRPr="001117C9">
        <w:rPr>
          <w:rFonts w:cs="Calibri"/>
          <w:lang w:val="en-AU"/>
        </w:rPr>
        <w:t xml:space="preserve"> will be authorised</w:t>
      </w:r>
      <w:r w:rsidR="0012744F" w:rsidRPr="001117C9">
        <w:rPr>
          <w:rFonts w:cs="Calibri"/>
          <w:lang w:val="en-AU"/>
        </w:rPr>
        <w:t xml:space="preserve"> under a</w:t>
      </w:r>
      <w:r w:rsidR="00022F01" w:rsidRPr="001117C9">
        <w:rPr>
          <w:rFonts w:cs="Calibri"/>
          <w:lang w:val="en-AU"/>
        </w:rPr>
        <w:t xml:space="preserve"> land mobile </w:t>
      </w:r>
      <w:r w:rsidR="0012744F" w:rsidRPr="001117C9">
        <w:rPr>
          <w:rFonts w:cs="Calibri"/>
          <w:lang w:val="en-AU"/>
        </w:rPr>
        <w:t xml:space="preserve">assigned licence (wireless audio </w:t>
      </w:r>
      <w:r w:rsidR="00AB095B" w:rsidRPr="001117C9">
        <w:rPr>
          <w:rFonts w:cs="Calibri"/>
          <w:lang w:val="en-AU"/>
        </w:rPr>
        <w:t xml:space="preserve">system </w:t>
      </w:r>
      <w:r w:rsidR="0012744F" w:rsidRPr="001117C9">
        <w:rPr>
          <w:rFonts w:cs="Calibri"/>
          <w:lang w:val="en-AU"/>
        </w:rPr>
        <w:t>or ambulatory station).</w:t>
      </w:r>
      <w:r w:rsidR="00022F01" w:rsidRPr="001117C9">
        <w:rPr>
          <w:rFonts w:cs="Calibri"/>
          <w:lang w:val="en-AU"/>
        </w:rPr>
        <w:t xml:space="preserve">  A</w:t>
      </w:r>
      <w:r w:rsidR="000F0308" w:rsidRPr="001117C9">
        <w:rPr>
          <w:rFonts w:cs="Calibri"/>
          <w:lang w:val="en-AU"/>
        </w:rPr>
        <w:t xml:space="preserve">n ambulatory station licence authorises the operation of one station (transmitter) on a specified frequency. </w:t>
      </w:r>
      <w:r w:rsidR="00144EDA" w:rsidRPr="001117C9">
        <w:rPr>
          <w:rFonts w:cs="Calibri"/>
          <w:lang w:val="en-AU"/>
        </w:rPr>
        <w:t xml:space="preserve"> A wireless audio </w:t>
      </w:r>
      <w:r w:rsidR="00022F01" w:rsidRPr="001117C9">
        <w:rPr>
          <w:rFonts w:cs="Calibri"/>
          <w:lang w:val="en-AU"/>
        </w:rPr>
        <w:t xml:space="preserve">system </w:t>
      </w:r>
      <w:r w:rsidR="00144EDA" w:rsidRPr="001117C9">
        <w:rPr>
          <w:rFonts w:cs="Calibri"/>
          <w:lang w:val="en-AU"/>
        </w:rPr>
        <w:t>licence authorises the operation of more than one station (transmitter) within the frequency range specified on the licence.</w:t>
      </w:r>
      <w:r w:rsidR="00AB095B" w:rsidRPr="001117C9">
        <w:rPr>
          <w:rFonts w:cs="Calibri"/>
          <w:lang w:val="en-AU"/>
        </w:rPr>
        <w:t xml:space="preserve">  </w:t>
      </w:r>
    </w:p>
    <w:p w:rsidR="006421B3" w:rsidRPr="001117C9" w:rsidRDefault="006421B3" w:rsidP="00355AEE">
      <w:pPr>
        <w:rPr>
          <w:rFonts w:cs="Calibri"/>
          <w:lang w:val="en-AU"/>
        </w:rPr>
      </w:pPr>
    </w:p>
    <w:p w:rsidR="006421B3" w:rsidRPr="001117C9" w:rsidRDefault="006421B3" w:rsidP="006421B3">
      <w:pPr>
        <w:rPr>
          <w:rFonts w:cs="Calibri"/>
          <w:lang w:val="en-AU"/>
        </w:rPr>
      </w:pPr>
      <w:r w:rsidRPr="001117C9">
        <w:rPr>
          <w:lang w:val="en-AU"/>
        </w:rPr>
        <w:t xml:space="preserve">A </w:t>
      </w:r>
      <w:r w:rsidRPr="001117C9">
        <w:rPr>
          <w:rFonts w:cs="Calibri"/>
          <w:i/>
          <w:lang w:val="en-AU"/>
        </w:rPr>
        <w:t>wireless audio system</w:t>
      </w:r>
      <w:r w:rsidRPr="001117C9">
        <w:rPr>
          <w:rStyle w:val="FootnoteReference"/>
          <w:rFonts w:cs="Calibri"/>
          <w:i/>
          <w:lang w:val="en-AU"/>
        </w:rPr>
        <w:footnoteReference w:id="7"/>
      </w:r>
      <w:r w:rsidRPr="001117C9">
        <w:rPr>
          <w:rFonts w:cs="Calibri"/>
          <w:lang w:val="en-AU"/>
        </w:rPr>
        <w:t xml:space="preserve"> is defined as meaning a system, consisting of more than one land mobile station, that:</w:t>
      </w:r>
    </w:p>
    <w:p w:rsidR="006421B3" w:rsidRPr="001117C9" w:rsidRDefault="006421B3" w:rsidP="006421B3">
      <w:pPr>
        <w:ind w:left="851" w:hanging="851"/>
        <w:rPr>
          <w:rFonts w:cs="Calibri"/>
          <w:lang w:val="en-AU"/>
        </w:rPr>
      </w:pPr>
      <w:r w:rsidRPr="001117C9">
        <w:rPr>
          <w:rFonts w:cs="Calibri"/>
          <w:lang w:val="en-AU"/>
        </w:rPr>
        <w:t>(a)</w:t>
      </w:r>
      <w:r w:rsidRPr="001117C9">
        <w:rPr>
          <w:rFonts w:cs="Calibri"/>
          <w:lang w:val="en-AU"/>
        </w:rPr>
        <w:tab/>
        <w:t>is operated under a land mobile licence;</w:t>
      </w:r>
    </w:p>
    <w:p w:rsidR="006421B3" w:rsidRPr="001117C9" w:rsidRDefault="006421B3" w:rsidP="006421B3">
      <w:pPr>
        <w:ind w:left="851" w:hanging="851"/>
        <w:rPr>
          <w:rFonts w:cs="Calibri"/>
          <w:lang w:val="en-AU"/>
        </w:rPr>
      </w:pPr>
      <w:r w:rsidRPr="001117C9">
        <w:rPr>
          <w:rFonts w:cs="Calibri"/>
          <w:lang w:val="en-AU"/>
        </w:rPr>
        <w:t>(b)</w:t>
      </w:r>
      <w:r w:rsidRPr="001117C9">
        <w:rPr>
          <w:rFonts w:cs="Calibri"/>
          <w:lang w:val="en-AU"/>
        </w:rPr>
        <w:tab/>
        <w:t>is operated primarily to transmit audio information between land mobile stations;</w:t>
      </w:r>
    </w:p>
    <w:p w:rsidR="006421B3" w:rsidRPr="001117C9" w:rsidRDefault="006421B3" w:rsidP="006421B3">
      <w:pPr>
        <w:ind w:left="851" w:hanging="851"/>
        <w:rPr>
          <w:rFonts w:cs="Calibri"/>
          <w:lang w:val="en-AU"/>
        </w:rPr>
      </w:pPr>
      <w:r w:rsidRPr="001117C9">
        <w:rPr>
          <w:rFonts w:cs="Calibri"/>
          <w:lang w:val="en-AU"/>
        </w:rPr>
        <w:t>(c)</w:t>
      </w:r>
      <w:r w:rsidRPr="001117C9">
        <w:rPr>
          <w:rFonts w:cs="Calibri"/>
          <w:lang w:val="en-AU"/>
        </w:rPr>
        <w:tab/>
        <w:t xml:space="preserve">has an emission bandwidth greater than 100 kHz; </w:t>
      </w:r>
    </w:p>
    <w:p w:rsidR="006421B3" w:rsidRPr="001117C9" w:rsidRDefault="006421B3" w:rsidP="006421B3">
      <w:pPr>
        <w:ind w:left="851" w:hanging="851"/>
        <w:rPr>
          <w:rFonts w:cs="Calibri"/>
          <w:lang w:val="en-AU"/>
        </w:rPr>
      </w:pPr>
      <w:r w:rsidRPr="001117C9">
        <w:rPr>
          <w:rFonts w:cs="Calibri"/>
          <w:lang w:val="en-AU"/>
        </w:rPr>
        <w:t>(d)</w:t>
      </w:r>
      <w:r w:rsidRPr="001117C9">
        <w:rPr>
          <w:rFonts w:cs="Calibri"/>
          <w:lang w:val="en-AU"/>
        </w:rPr>
        <w:tab/>
        <w:t>uses assigned frequencies within a range of frequencies specified in the land mobile licence; and</w:t>
      </w:r>
    </w:p>
    <w:p w:rsidR="006421B3" w:rsidRPr="001117C9" w:rsidRDefault="006421B3" w:rsidP="006421B3">
      <w:pPr>
        <w:ind w:left="851" w:hanging="851"/>
        <w:rPr>
          <w:rFonts w:cs="Calibri"/>
          <w:lang w:val="en-AU"/>
        </w:rPr>
      </w:pPr>
      <w:r w:rsidRPr="001117C9">
        <w:rPr>
          <w:rFonts w:cs="Calibri"/>
          <w:lang w:val="en-AU"/>
        </w:rPr>
        <w:t>(e)</w:t>
      </w:r>
      <w:r w:rsidRPr="001117C9">
        <w:rPr>
          <w:rFonts w:cs="Calibri"/>
          <w:lang w:val="en-AU"/>
        </w:rPr>
        <w:tab/>
        <w:t xml:space="preserve">operates at a power not exceeding 250 </w:t>
      </w:r>
      <w:proofErr w:type="spellStart"/>
      <w:r w:rsidRPr="001117C9">
        <w:rPr>
          <w:rFonts w:cs="Calibri"/>
          <w:lang w:val="en-AU"/>
        </w:rPr>
        <w:t>mW</w:t>
      </w:r>
      <w:proofErr w:type="spellEnd"/>
      <w:r w:rsidRPr="001117C9">
        <w:rPr>
          <w:rFonts w:cs="Calibri"/>
          <w:lang w:val="en-AU"/>
        </w:rPr>
        <w:t xml:space="preserve"> </w:t>
      </w:r>
      <w:proofErr w:type="spellStart"/>
      <w:r w:rsidRPr="001117C9">
        <w:rPr>
          <w:rFonts w:cs="Calibri"/>
          <w:lang w:val="en-AU"/>
        </w:rPr>
        <w:t>EIRP</w:t>
      </w:r>
      <w:proofErr w:type="spellEnd"/>
      <w:r w:rsidRPr="001117C9">
        <w:rPr>
          <w:rFonts w:cs="Calibri"/>
          <w:lang w:val="en-AU"/>
        </w:rPr>
        <w:t xml:space="preserve">.  </w:t>
      </w:r>
      <w:r w:rsidRPr="001117C9">
        <w:rPr>
          <w:rFonts w:cs="Calibri"/>
          <w:lang w:val="en-AU"/>
        </w:rPr>
        <w:tab/>
      </w:r>
      <w:r w:rsidRPr="001117C9">
        <w:rPr>
          <w:rFonts w:cs="Calibri"/>
          <w:lang w:val="en-AU"/>
        </w:rPr>
        <w:tab/>
      </w:r>
    </w:p>
    <w:p w:rsidR="006421B3" w:rsidRPr="001117C9" w:rsidRDefault="006421B3" w:rsidP="00355AEE">
      <w:pPr>
        <w:rPr>
          <w:rFonts w:cs="Calibri"/>
          <w:lang w:val="en-AU"/>
        </w:rPr>
      </w:pPr>
    </w:p>
    <w:p w:rsidR="00AB095B" w:rsidRDefault="00DC53A7" w:rsidP="003C703D">
      <w:pPr>
        <w:rPr>
          <w:rFonts w:cs="Calibri"/>
          <w:lang w:val="en-AU"/>
        </w:rPr>
      </w:pPr>
      <w:r w:rsidRPr="001117C9">
        <w:rPr>
          <w:rFonts w:cs="Calibri"/>
          <w:lang w:val="en-AU"/>
        </w:rPr>
        <w:t>For more information</w:t>
      </w:r>
      <w:r w:rsidR="003C703D" w:rsidRPr="001117C9">
        <w:rPr>
          <w:rFonts w:cs="Calibri"/>
          <w:lang w:val="en-AU"/>
        </w:rPr>
        <w:t xml:space="preserve"> see </w:t>
      </w:r>
      <w:r w:rsidR="00AB095B" w:rsidRPr="001117C9">
        <w:rPr>
          <w:rFonts w:cs="Calibri"/>
          <w:lang w:val="en-AU"/>
        </w:rPr>
        <w:t>the ACMA information paper</w:t>
      </w:r>
      <w:r w:rsidR="00472DB6" w:rsidRPr="001117C9">
        <w:rPr>
          <w:rFonts w:cs="Calibri"/>
          <w:lang w:val="en-AU"/>
        </w:rPr>
        <w:t>s</w:t>
      </w:r>
      <w:r w:rsidR="00AB095B" w:rsidRPr="001117C9">
        <w:rPr>
          <w:rFonts w:cs="Calibri"/>
          <w:lang w:val="en-AU"/>
        </w:rPr>
        <w:t xml:space="preserve"> on </w:t>
      </w:r>
      <w:r w:rsidR="00472DB6" w:rsidRPr="001117C9">
        <w:rPr>
          <w:rFonts w:cs="Calibri"/>
          <w:lang w:val="en-AU"/>
        </w:rPr>
        <w:t>the apparatus licence system</w:t>
      </w:r>
      <w:r w:rsidR="00472DB6" w:rsidRPr="001117C9">
        <w:rPr>
          <w:rStyle w:val="FootnoteReference"/>
          <w:rFonts w:cs="Calibri"/>
          <w:lang w:val="en-AU"/>
        </w:rPr>
        <w:footnoteReference w:id="8"/>
      </w:r>
      <w:r w:rsidR="00472DB6" w:rsidRPr="001117C9">
        <w:rPr>
          <w:rFonts w:cs="Calibri"/>
          <w:lang w:val="en-AU"/>
        </w:rPr>
        <w:t xml:space="preserve"> and </w:t>
      </w:r>
      <w:r w:rsidR="00AB095B" w:rsidRPr="001117C9">
        <w:rPr>
          <w:rFonts w:cs="Calibri"/>
          <w:lang w:val="en-AU"/>
        </w:rPr>
        <w:t>land mobile licences</w:t>
      </w:r>
      <w:r w:rsidR="003C703D" w:rsidRPr="001117C9">
        <w:rPr>
          <w:rFonts w:cs="Calibri"/>
          <w:lang w:val="en-AU"/>
        </w:rPr>
        <w:t>.</w:t>
      </w:r>
      <w:r w:rsidR="00AB095B" w:rsidRPr="001117C9">
        <w:rPr>
          <w:rStyle w:val="FootnoteReference"/>
          <w:rFonts w:cs="Calibri"/>
          <w:lang w:val="en-AU"/>
        </w:rPr>
        <w:footnoteReference w:id="9"/>
      </w:r>
    </w:p>
    <w:p w:rsidR="00FB66F5" w:rsidRDefault="00FB66F5" w:rsidP="003C703D">
      <w:pPr>
        <w:rPr>
          <w:rFonts w:cs="Calibri"/>
          <w:lang w:val="en-AU"/>
        </w:rPr>
      </w:pPr>
    </w:p>
    <w:p w:rsidR="00A86AC1" w:rsidRPr="00A205D1" w:rsidRDefault="00B40C74" w:rsidP="003C703D">
      <w:pPr>
        <w:rPr>
          <w:rFonts w:cs="Calibri"/>
          <w:szCs w:val="24"/>
          <w:lang w:val="en-AU"/>
        </w:rPr>
      </w:pPr>
      <w:r w:rsidRPr="00A205D1">
        <w:rPr>
          <w:rFonts w:cs="Calibri"/>
          <w:szCs w:val="24"/>
          <w:lang w:val="en-AU"/>
        </w:rPr>
        <w:t xml:space="preserve">To apply for </w:t>
      </w:r>
      <w:r w:rsidR="00A7762F" w:rsidRPr="00A205D1">
        <w:rPr>
          <w:rFonts w:cs="Calibri"/>
          <w:szCs w:val="24"/>
          <w:lang w:val="en-AU"/>
        </w:rPr>
        <w:t xml:space="preserve">a licence requires completion of </w:t>
      </w:r>
      <w:r w:rsidR="00A86AC1" w:rsidRPr="00A205D1">
        <w:rPr>
          <w:rFonts w:cs="Calibri"/>
          <w:szCs w:val="24"/>
          <w:lang w:val="en-AU"/>
        </w:rPr>
        <w:t>the following application forms:</w:t>
      </w:r>
    </w:p>
    <w:p w:rsidR="00A86AC1" w:rsidRPr="00A205D1" w:rsidRDefault="00A86AC1" w:rsidP="00A86AC1">
      <w:pPr>
        <w:pStyle w:val="ListParagraph"/>
        <w:numPr>
          <w:ilvl w:val="0"/>
          <w:numId w:val="21"/>
        </w:numPr>
        <w:rPr>
          <w:sz w:val="24"/>
          <w:szCs w:val="24"/>
        </w:rPr>
      </w:pPr>
      <w:r w:rsidRPr="00A205D1">
        <w:rPr>
          <w:sz w:val="24"/>
          <w:szCs w:val="24"/>
        </w:rPr>
        <w:t xml:space="preserve">Application for </w:t>
      </w:r>
      <w:r w:rsidR="00A7762F" w:rsidRPr="00A205D1">
        <w:rPr>
          <w:sz w:val="24"/>
          <w:szCs w:val="24"/>
        </w:rPr>
        <w:t>apparatus licence(s) (RO57)</w:t>
      </w:r>
      <w:r w:rsidRPr="00A205D1">
        <w:rPr>
          <w:sz w:val="24"/>
          <w:szCs w:val="24"/>
        </w:rPr>
        <w:t>;</w:t>
      </w:r>
      <w:r w:rsidR="00A7762F" w:rsidRPr="00A205D1">
        <w:rPr>
          <w:sz w:val="24"/>
          <w:szCs w:val="24"/>
        </w:rPr>
        <w:t xml:space="preserve"> and </w:t>
      </w:r>
    </w:p>
    <w:p w:rsidR="00A86AC1" w:rsidRPr="00A205D1" w:rsidRDefault="00A86AC1" w:rsidP="00A86AC1">
      <w:pPr>
        <w:pStyle w:val="ListParagraph"/>
        <w:numPr>
          <w:ilvl w:val="0"/>
          <w:numId w:val="21"/>
        </w:numPr>
        <w:rPr>
          <w:sz w:val="24"/>
          <w:szCs w:val="24"/>
        </w:rPr>
      </w:pPr>
      <w:r w:rsidRPr="00A205D1">
        <w:rPr>
          <w:sz w:val="24"/>
          <w:szCs w:val="24"/>
        </w:rPr>
        <w:t>A</w:t>
      </w:r>
      <w:r w:rsidR="00A7762F" w:rsidRPr="00A205D1">
        <w:rPr>
          <w:sz w:val="24"/>
          <w:szCs w:val="24"/>
        </w:rPr>
        <w:t>dditional station information (R077)</w:t>
      </w:r>
      <w:r w:rsidRPr="00A205D1">
        <w:rPr>
          <w:sz w:val="24"/>
          <w:szCs w:val="24"/>
        </w:rPr>
        <w:t xml:space="preserve"> – </w:t>
      </w:r>
      <w:r w:rsidR="00314494">
        <w:rPr>
          <w:sz w:val="24"/>
          <w:szCs w:val="24"/>
        </w:rPr>
        <w:t xml:space="preserve">this is </w:t>
      </w:r>
      <w:r w:rsidRPr="00A205D1">
        <w:rPr>
          <w:sz w:val="24"/>
          <w:szCs w:val="24"/>
        </w:rPr>
        <w:t xml:space="preserve">not required if using </w:t>
      </w:r>
      <w:r w:rsidR="003C295B" w:rsidRPr="00A205D1">
        <w:rPr>
          <w:sz w:val="24"/>
          <w:szCs w:val="24"/>
        </w:rPr>
        <w:t>an accredited person</w:t>
      </w:r>
      <w:r w:rsidRPr="00A205D1">
        <w:rPr>
          <w:sz w:val="24"/>
          <w:szCs w:val="24"/>
        </w:rPr>
        <w:t xml:space="preserve"> to perform the frequency coordination and the accredited person has completed a frequency assignment certificate. </w:t>
      </w:r>
    </w:p>
    <w:p w:rsidR="00A86AC1" w:rsidRDefault="00A86AC1" w:rsidP="003C703D"/>
    <w:p w:rsidR="00DB65AB" w:rsidRDefault="00A86AC1" w:rsidP="003C703D">
      <w:pPr>
        <w:rPr>
          <w:rFonts w:cs="Calibri"/>
          <w:lang w:val="en-AU"/>
        </w:rPr>
      </w:pPr>
      <w:r>
        <w:rPr>
          <w:rFonts w:cs="Calibri"/>
          <w:lang w:val="en-AU"/>
        </w:rPr>
        <w:t xml:space="preserve">These </w:t>
      </w:r>
      <w:r w:rsidR="0052564F">
        <w:rPr>
          <w:rFonts w:cs="Calibri"/>
          <w:lang w:val="en-AU"/>
        </w:rPr>
        <w:t>forms</w:t>
      </w:r>
      <w:r>
        <w:rPr>
          <w:rFonts w:cs="Calibri"/>
          <w:lang w:val="en-AU"/>
        </w:rPr>
        <w:t xml:space="preserve"> are available on the ACMA website</w:t>
      </w:r>
      <w:r>
        <w:rPr>
          <w:rStyle w:val="FootnoteReference"/>
          <w:rFonts w:cs="Calibri"/>
          <w:lang w:val="en-AU"/>
        </w:rPr>
        <w:footnoteReference w:id="10"/>
      </w:r>
      <w:r w:rsidR="00E37C94">
        <w:rPr>
          <w:rFonts w:cs="Calibri"/>
          <w:lang w:val="en-AU"/>
        </w:rPr>
        <w:t xml:space="preserve">. </w:t>
      </w:r>
    </w:p>
    <w:p w:rsidR="00A86AC1" w:rsidRPr="001117C9" w:rsidRDefault="00A86AC1" w:rsidP="003C703D">
      <w:pPr>
        <w:rPr>
          <w:rFonts w:cs="Calibri"/>
          <w:lang w:val="en-AU"/>
        </w:rPr>
      </w:pPr>
    </w:p>
    <w:p w:rsidR="003C703D" w:rsidRPr="001117C9" w:rsidRDefault="003C703D" w:rsidP="00022F01">
      <w:pPr>
        <w:pStyle w:val="Heading2"/>
        <w:rPr>
          <w:lang w:val="en-AU"/>
        </w:rPr>
      </w:pPr>
      <w:bookmarkStart w:id="36" w:name="_Toc402794162"/>
      <w:r w:rsidRPr="001117C9">
        <w:rPr>
          <w:lang w:val="en-AU"/>
        </w:rPr>
        <w:t>Wireless audio devices in broadcasting services bands</w:t>
      </w:r>
      <w:bookmarkEnd w:id="36"/>
    </w:p>
    <w:p w:rsidR="003C703D" w:rsidRPr="001117C9" w:rsidRDefault="003C703D" w:rsidP="003C703D">
      <w:pPr>
        <w:rPr>
          <w:rFonts w:cs="Calibri"/>
          <w:lang w:val="en-AU"/>
        </w:rPr>
      </w:pPr>
      <w:r w:rsidRPr="001117C9">
        <w:rPr>
          <w:rFonts w:cs="Calibri"/>
          <w:lang w:val="en-AU"/>
        </w:rPr>
        <w:t>To support wireless audio devices operating in broadcasting services bands, in 2006 the ACMA made a determination under section 31 of the Radiocommunications Act</w:t>
      </w:r>
      <w:r w:rsidRPr="001117C9">
        <w:rPr>
          <w:rStyle w:val="FootnoteReference"/>
          <w:rFonts w:cs="Calibri"/>
          <w:lang w:val="en-AU"/>
        </w:rPr>
        <w:footnoteReference w:id="11"/>
      </w:r>
      <w:r w:rsidRPr="001117C9">
        <w:rPr>
          <w:rFonts w:cs="Calibri"/>
          <w:lang w:val="en-AU"/>
        </w:rPr>
        <w:t xml:space="preserve">  that allows the ACMA to issue land mobile apparatus licence for the purposes of operating a wireless audio transmitter not exceeding 250 </w:t>
      </w:r>
      <w:proofErr w:type="spellStart"/>
      <w:r w:rsidRPr="001117C9">
        <w:rPr>
          <w:rFonts w:cs="Calibri"/>
          <w:lang w:val="en-AU"/>
        </w:rPr>
        <w:t>mW</w:t>
      </w:r>
      <w:proofErr w:type="spellEnd"/>
      <w:r w:rsidRPr="001117C9">
        <w:rPr>
          <w:rFonts w:cs="Calibri"/>
          <w:lang w:val="en-AU"/>
        </w:rPr>
        <w:t xml:space="preserve"> </w:t>
      </w:r>
      <w:proofErr w:type="spellStart"/>
      <w:r w:rsidRPr="001117C9">
        <w:rPr>
          <w:rFonts w:cs="Calibri"/>
          <w:lang w:val="en-AU"/>
        </w:rPr>
        <w:t>EIRP</w:t>
      </w:r>
      <w:proofErr w:type="spellEnd"/>
      <w:r w:rsidRPr="001117C9">
        <w:rPr>
          <w:rFonts w:cs="Calibri"/>
          <w:lang w:val="en-AU"/>
        </w:rPr>
        <w:t xml:space="preserve"> on a no interference no protection basis in the 520-820 MHz part of the spectrum. </w:t>
      </w:r>
    </w:p>
    <w:p w:rsidR="003C703D" w:rsidRPr="001117C9" w:rsidRDefault="003C703D" w:rsidP="003C703D">
      <w:pPr>
        <w:rPr>
          <w:rFonts w:cs="Calibri"/>
          <w:lang w:val="en-AU"/>
        </w:rPr>
      </w:pPr>
    </w:p>
    <w:p w:rsidR="003C703D" w:rsidRPr="001117C9" w:rsidRDefault="003C703D" w:rsidP="003C703D">
      <w:pPr>
        <w:rPr>
          <w:rFonts w:cs="Calibri"/>
          <w:lang w:val="en-AU"/>
        </w:rPr>
      </w:pPr>
      <w:r w:rsidRPr="001117C9">
        <w:rPr>
          <w:rFonts w:cs="Calibri"/>
          <w:lang w:val="en-AU"/>
        </w:rPr>
        <w:t>No similar determination has been made for other broadcasting bands (e</w:t>
      </w:r>
      <w:r w:rsidR="00314494">
        <w:rPr>
          <w:rFonts w:cs="Calibri"/>
          <w:lang w:val="en-AU"/>
        </w:rPr>
        <w:t>.</w:t>
      </w:r>
      <w:r w:rsidRPr="001117C9">
        <w:rPr>
          <w:rFonts w:cs="Calibri"/>
          <w:lang w:val="en-AU"/>
        </w:rPr>
        <w:t>g</w:t>
      </w:r>
      <w:r w:rsidR="00314494">
        <w:rPr>
          <w:rFonts w:cs="Calibri"/>
          <w:lang w:val="en-AU"/>
        </w:rPr>
        <w:t>.</w:t>
      </w:r>
      <w:r w:rsidRPr="001117C9">
        <w:rPr>
          <w:rFonts w:cs="Calibri"/>
          <w:lang w:val="en-AU"/>
        </w:rPr>
        <w:t xml:space="preserve"> 88-108 MHz and 170-230 MHz) and the arrangements described in this </w:t>
      </w:r>
      <w:proofErr w:type="spellStart"/>
      <w:r w:rsidRPr="001117C9">
        <w:rPr>
          <w:rFonts w:cs="Calibri"/>
          <w:lang w:val="en-AU"/>
        </w:rPr>
        <w:t>RALI</w:t>
      </w:r>
      <w:proofErr w:type="spellEnd"/>
      <w:r w:rsidRPr="001117C9">
        <w:rPr>
          <w:rFonts w:cs="Calibri"/>
          <w:lang w:val="en-AU"/>
        </w:rPr>
        <w:t xml:space="preserve"> are not applicable in </w:t>
      </w:r>
      <w:r w:rsidR="00085A7E">
        <w:rPr>
          <w:rFonts w:cs="Calibri"/>
          <w:lang w:val="en-AU"/>
        </w:rPr>
        <w:t>these</w:t>
      </w:r>
      <w:r w:rsidR="00085A7E" w:rsidRPr="001117C9">
        <w:rPr>
          <w:rFonts w:cs="Calibri"/>
          <w:lang w:val="en-AU"/>
        </w:rPr>
        <w:t xml:space="preserve"> </w:t>
      </w:r>
      <w:r w:rsidRPr="001117C9">
        <w:rPr>
          <w:rFonts w:cs="Calibri"/>
          <w:lang w:val="en-AU"/>
        </w:rPr>
        <w:t xml:space="preserve">broadcasting services bands.  </w:t>
      </w:r>
      <w:r w:rsidR="00680E14" w:rsidRPr="001117C9">
        <w:rPr>
          <w:rFonts w:cs="Calibri"/>
          <w:lang w:val="en-AU"/>
        </w:rPr>
        <w:t xml:space="preserve"> </w:t>
      </w:r>
    </w:p>
    <w:p w:rsidR="003C703D" w:rsidRPr="001117C9" w:rsidRDefault="003C703D" w:rsidP="003C703D">
      <w:pPr>
        <w:rPr>
          <w:rFonts w:cs="Calibri"/>
          <w:lang w:val="en-AU"/>
        </w:rPr>
      </w:pPr>
    </w:p>
    <w:p w:rsidR="00680E14" w:rsidRPr="001117C9" w:rsidRDefault="00680E14" w:rsidP="003C703D">
      <w:pPr>
        <w:rPr>
          <w:rFonts w:cs="Calibri"/>
          <w:lang w:val="en-AU"/>
        </w:rPr>
      </w:pPr>
      <w:r w:rsidRPr="001117C9">
        <w:rPr>
          <w:rFonts w:cs="Calibri"/>
          <w:lang w:val="en-AU"/>
        </w:rPr>
        <w:t>Note</w:t>
      </w:r>
      <w:r w:rsidR="00D2051F">
        <w:rPr>
          <w:rFonts w:cs="Calibri"/>
          <w:lang w:val="en-AU"/>
        </w:rPr>
        <w:t>,</w:t>
      </w:r>
      <w:r w:rsidRPr="001117C9">
        <w:rPr>
          <w:rFonts w:cs="Calibri"/>
          <w:lang w:val="en-AU"/>
        </w:rPr>
        <w:t xml:space="preserve"> on a case-by case basis</w:t>
      </w:r>
      <w:r w:rsidR="00D2051F">
        <w:rPr>
          <w:rFonts w:cs="Calibri"/>
          <w:lang w:val="en-AU"/>
        </w:rPr>
        <w:t>,</w:t>
      </w:r>
      <w:r w:rsidRPr="001117C9">
        <w:rPr>
          <w:rFonts w:cs="Calibri"/>
          <w:lang w:val="en-AU"/>
        </w:rPr>
        <w:t xml:space="preserve"> spectrum in broadcasting services bands may be made available for radiocommunications services under section 34 of the</w:t>
      </w:r>
      <w:r w:rsidRPr="001117C9">
        <w:rPr>
          <w:rFonts w:ascii="HelveticaNeueW01-45Ligh" w:hAnsi="HelveticaNeueW01-45Ligh"/>
          <w:i/>
          <w:iCs/>
          <w:sz w:val="20"/>
          <w:lang w:val="en-AU"/>
        </w:rPr>
        <w:t xml:space="preserve"> </w:t>
      </w:r>
      <w:hyperlink r:id="rId28" w:history="1">
        <w:r w:rsidRPr="001117C9">
          <w:rPr>
            <w:rStyle w:val="Hyperlink"/>
            <w:rFonts w:cs="Calibri"/>
            <w:i/>
            <w:iCs/>
            <w:lang w:val="en-AU"/>
          </w:rPr>
          <w:t>Broadcasting Services Act 1992</w:t>
        </w:r>
      </w:hyperlink>
      <w:r w:rsidRPr="001117C9">
        <w:rPr>
          <w:rFonts w:cs="Calibri"/>
          <w:lang w:val="en-AU"/>
        </w:rPr>
        <w:t xml:space="preserve"> – colloquially known as 'drop-through'.  Drop-through arrangements are not considered in this </w:t>
      </w:r>
      <w:proofErr w:type="spellStart"/>
      <w:r w:rsidRPr="001117C9">
        <w:rPr>
          <w:rFonts w:cs="Calibri"/>
          <w:lang w:val="en-AU"/>
        </w:rPr>
        <w:t>RALI</w:t>
      </w:r>
      <w:proofErr w:type="spellEnd"/>
      <w:r w:rsidR="006C5C07" w:rsidRPr="001117C9">
        <w:rPr>
          <w:rFonts w:cs="Calibri"/>
          <w:lang w:val="en-AU"/>
        </w:rPr>
        <w:t>.</w:t>
      </w:r>
    </w:p>
    <w:p w:rsidR="00680E14" w:rsidRPr="001117C9" w:rsidRDefault="00680E14" w:rsidP="003C703D">
      <w:pPr>
        <w:rPr>
          <w:rFonts w:cs="Calibri"/>
          <w:lang w:val="en-AU"/>
        </w:rPr>
      </w:pPr>
    </w:p>
    <w:p w:rsidR="003C703D" w:rsidRDefault="003C703D" w:rsidP="003C703D">
      <w:pPr>
        <w:rPr>
          <w:rFonts w:cs="Calibri"/>
          <w:lang w:val="en-AU"/>
        </w:rPr>
      </w:pPr>
      <w:r w:rsidRPr="001117C9">
        <w:rPr>
          <w:rFonts w:cs="Calibri"/>
          <w:lang w:val="en-AU"/>
        </w:rPr>
        <w:t>For more information see the ACMA information paper on radiocommunications services in broadcasting bands.</w:t>
      </w:r>
      <w:r w:rsidRPr="001117C9">
        <w:rPr>
          <w:rStyle w:val="FootnoteReference"/>
          <w:rFonts w:cs="Calibri"/>
          <w:lang w:val="en-AU"/>
        </w:rPr>
        <w:footnoteReference w:id="12"/>
      </w:r>
    </w:p>
    <w:p w:rsidR="0077514E" w:rsidRPr="001117C9" w:rsidRDefault="0077514E">
      <w:pPr>
        <w:rPr>
          <w:rFonts w:cs="Calibri"/>
          <w:lang w:val="en-AU"/>
        </w:rPr>
      </w:pPr>
    </w:p>
    <w:p w:rsidR="0077514E" w:rsidRPr="001117C9" w:rsidRDefault="00DC53A7" w:rsidP="003C703D">
      <w:pPr>
        <w:pStyle w:val="Heading2"/>
        <w:rPr>
          <w:lang w:val="en-AU"/>
        </w:rPr>
      </w:pPr>
      <w:bookmarkStart w:id="37" w:name="_Toc402794163"/>
      <w:r w:rsidRPr="001117C9">
        <w:rPr>
          <w:lang w:val="en-AU"/>
        </w:rPr>
        <w:t>Apparatus l</w:t>
      </w:r>
      <w:r w:rsidR="001367A4" w:rsidRPr="001117C9">
        <w:rPr>
          <w:lang w:val="en-AU"/>
        </w:rPr>
        <w:t>icence tax and fees</w:t>
      </w:r>
      <w:bookmarkEnd w:id="37"/>
    </w:p>
    <w:p w:rsidR="00454FA5" w:rsidRPr="001117C9" w:rsidRDefault="00454FA5" w:rsidP="00454FA5">
      <w:pPr>
        <w:rPr>
          <w:rFonts w:cs="Calibri"/>
          <w:lang w:val="en-AU"/>
        </w:rPr>
      </w:pPr>
      <w:r w:rsidRPr="001117C9">
        <w:rPr>
          <w:rFonts w:cs="Calibri"/>
          <w:lang w:val="en-AU"/>
        </w:rPr>
        <w:t>Information on the type of fees applicable to apparatus licences are can be found in the ACMA information paper on apparatus licence fees</w:t>
      </w:r>
      <w:r w:rsidRPr="001117C9">
        <w:rPr>
          <w:rStyle w:val="FootnoteReference"/>
          <w:rFonts w:cs="Calibri"/>
          <w:lang w:val="en-AU"/>
        </w:rPr>
        <w:footnoteReference w:id="13"/>
      </w:r>
      <w:r w:rsidRPr="001117C9">
        <w:rPr>
          <w:rFonts w:cs="Calibri"/>
          <w:lang w:val="en-AU"/>
        </w:rPr>
        <w:t>.  In summary there are two types of fees applicable to apparatus licences:</w:t>
      </w:r>
    </w:p>
    <w:p w:rsidR="00454FA5" w:rsidRPr="001117C9" w:rsidRDefault="00454FA5" w:rsidP="00454FA5">
      <w:pPr>
        <w:numPr>
          <w:ilvl w:val="0"/>
          <w:numId w:val="16"/>
        </w:numPr>
        <w:tabs>
          <w:tab w:val="num" w:pos="720"/>
        </w:tabs>
        <w:rPr>
          <w:rFonts w:cs="Calibri"/>
          <w:lang w:val="en-AU"/>
        </w:rPr>
      </w:pPr>
      <w:r w:rsidRPr="001117C9">
        <w:rPr>
          <w:rFonts w:cs="Calibri"/>
          <w:lang w:val="en-AU"/>
        </w:rPr>
        <w:t>administrative charges to recover the direct costs of spectrum management  (issue fees and renewal fees)</w:t>
      </w:r>
      <w:r w:rsidR="00FB1ADD" w:rsidRPr="00FB1ADD">
        <w:rPr>
          <w:rFonts w:cs="Calibri"/>
          <w:lang w:val="en-AU"/>
        </w:rPr>
        <w:t xml:space="preserve"> </w:t>
      </w:r>
      <w:r w:rsidR="00FB1ADD" w:rsidRPr="001117C9">
        <w:rPr>
          <w:rFonts w:cs="Calibri"/>
          <w:lang w:val="en-AU"/>
        </w:rPr>
        <w:t>; and</w:t>
      </w:r>
    </w:p>
    <w:p w:rsidR="00454FA5" w:rsidRPr="001117C9" w:rsidRDefault="00454FA5" w:rsidP="00454FA5">
      <w:pPr>
        <w:numPr>
          <w:ilvl w:val="0"/>
          <w:numId w:val="16"/>
        </w:numPr>
        <w:tabs>
          <w:tab w:val="num" w:pos="720"/>
        </w:tabs>
        <w:rPr>
          <w:rFonts w:cs="Calibri"/>
          <w:lang w:val="en-AU"/>
        </w:rPr>
      </w:pPr>
      <w:r w:rsidRPr="001117C9">
        <w:rPr>
          <w:rFonts w:cs="Calibri"/>
          <w:lang w:val="en-AU"/>
        </w:rPr>
        <w:t xml:space="preserve">annual licence taxes to recover the indirect costs of spectrum management and provide incentives for efficient spectrum use. </w:t>
      </w:r>
    </w:p>
    <w:p w:rsidR="00454FA5" w:rsidRPr="001117C9" w:rsidRDefault="00454FA5" w:rsidP="00C61B39">
      <w:pPr>
        <w:rPr>
          <w:rFonts w:cs="Calibri"/>
          <w:lang w:val="en-AU"/>
        </w:rPr>
      </w:pPr>
    </w:p>
    <w:p w:rsidR="00D62CDA" w:rsidRPr="001117C9" w:rsidRDefault="00B56DDB" w:rsidP="00C61B39">
      <w:pPr>
        <w:rPr>
          <w:rFonts w:cs="Calibri"/>
          <w:lang w:val="en-AU"/>
        </w:rPr>
      </w:pPr>
      <w:r w:rsidRPr="00671D06">
        <w:rPr>
          <w:rFonts w:cs="Calibri"/>
          <w:lang w:val="en-AU"/>
        </w:rPr>
        <w:t xml:space="preserve">Taxes and </w:t>
      </w:r>
      <w:r w:rsidR="00D62CDA" w:rsidRPr="00671D06">
        <w:rPr>
          <w:rFonts w:cs="Calibri"/>
          <w:lang w:val="en-AU"/>
        </w:rPr>
        <w:t xml:space="preserve">fees for wireless audio devices </w:t>
      </w:r>
      <w:r w:rsidR="00A205D1" w:rsidRPr="00671D06">
        <w:rPr>
          <w:rFonts w:cs="Calibri"/>
          <w:lang w:val="en-AU"/>
        </w:rPr>
        <w:t>can be found</w:t>
      </w:r>
      <w:r w:rsidR="00FC323D" w:rsidRPr="00671D06">
        <w:rPr>
          <w:rFonts w:cs="Calibri"/>
          <w:lang w:val="en-AU"/>
        </w:rPr>
        <w:t xml:space="preserve"> in</w:t>
      </w:r>
      <w:r w:rsidR="00FB1ADD" w:rsidRPr="00671D06">
        <w:rPr>
          <w:rFonts w:cs="Calibri"/>
          <w:lang w:val="en-AU"/>
        </w:rPr>
        <w:t xml:space="preserve"> the apparatus licence fee schedule</w:t>
      </w:r>
      <w:r w:rsidR="001B2F31" w:rsidRPr="00671D06">
        <w:rPr>
          <w:rFonts w:cs="Calibri"/>
          <w:lang w:val="en-AU"/>
        </w:rPr>
        <w:t>.</w:t>
      </w:r>
      <w:r w:rsidR="00466344" w:rsidRPr="00671D06">
        <w:rPr>
          <w:rStyle w:val="FootnoteReference"/>
          <w:rFonts w:cs="Calibri"/>
          <w:lang w:val="en-AU"/>
        </w:rPr>
        <w:footnoteReference w:id="14"/>
      </w:r>
      <w:r w:rsidR="00FB1ADD" w:rsidRPr="00671D06">
        <w:rPr>
          <w:rFonts w:cs="Calibri"/>
          <w:lang w:val="en-AU"/>
        </w:rPr>
        <w:t xml:space="preserve"> </w:t>
      </w:r>
      <w:r w:rsidR="00406C63" w:rsidRPr="00671D06">
        <w:rPr>
          <w:rFonts w:cs="Calibri"/>
          <w:lang w:val="en-AU"/>
        </w:rPr>
        <w:t xml:space="preserve"> </w:t>
      </w:r>
      <w:r w:rsidR="00406C63" w:rsidRPr="008B38DF">
        <w:rPr>
          <w:rFonts w:cs="Calibri"/>
          <w:lang w:val="en-AU"/>
        </w:rPr>
        <w:t>Note differen</w:t>
      </w:r>
      <w:r w:rsidR="00054C8E" w:rsidRPr="008B38DF">
        <w:rPr>
          <w:rFonts w:cs="Calibri"/>
          <w:lang w:val="en-AU"/>
        </w:rPr>
        <w:t>t</w:t>
      </w:r>
      <w:r w:rsidR="00406C63" w:rsidRPr="008B38DF">
        <w:rPr>
          <w:rFonts w:cs="Calibri"/>
          <w:lang w:val="en-AU"/>
        </w:rPr>
        <w:t xml:space="preserve"> issue fees apply if the licence application is submitted with a frequency assignment certificate from an accredited person.  See division 9 of the apparatus licence schedule. </w:t>
      </w:r>
    </w:p>
    <w:p w:rsidR="00D62CDA" w:rsidRPr="001117C9" w:rsidRDefault="00D62CDA" w:rsidP="00C61B39">
      <w:pPr>
        <w:rPr>
          <w:rFonts w:cs="Calibri"/>
          <w:lang w:val="en-AU"/>
        </w:rPr>
      </w:pPr>
    </w:p>
    <w:p w:rsidR="00D62CDA" w:rsidRPr="001117C9" w:rsidRDefault="00D62CDA" w:rsidP="00D62CDA">
      <w:pPr>
        <w:pStyle w:val="Heading2"/>
        <w:rPr>
          <w:lang w:val="en-AU"/>
        </w:rPr>
      </w:pPr>
      <w:bookmarkStart w:id="38" w:name="_Toc402794164"/>
      <w:r w:rsidRPr="001117C9">
        <w:rPr>
          <w:lang w:val="en-AU"/>
        </w:rPr>
        <w:t>Licence period and renewal</w:t>
      </w:r>
      <w:bookmarkEnd w:id="38"/>
    </w:p>
    <w:p w:rsidR="000A133D" w:rsidRPr="001117C9" w:rsidRDefault="000A133D" w:rsidP="00D62CDA">
      <w:pPr>
        <w:rPr>
          <w:rFonts w:cs="Calibri"/>
          <w:u w:val="single"/>
          <w:lang w:val="en-AU"/>
        </w:rPr>
      </w:pPr>
      <w:r w:rsidRPr="001117C9">
        <w:rPr>
          <w:rFonts w:cs="Calibri"/>
          <w:u w:val="single"/>
          <w:lang w:val="en-AU"/>
        </w:rPr>
        <w:t xml:space="preserve">Licence period </w:t>
      </w:r>
    </w:p>
    <w:p w:rsidR="00B20C26" w:rsidRPr="001117C9" w:rsidRDefault="00D62CDA" w:rsidP="00D62CDA">
      <w:pPr>
        <w:rPr>
          <w:rFonts w:cs="Calibri"/>
          <w:lang w:val="en-AU"/>
        </w:rPr>
      </w:pPr>
      <w:r w:rsidRPr="001117C9">
        <w:rPr>
          <w:rFonts w:cs="Calibri"/>
          <w:lang w:val="en-AU"/>
        </w:rPr>
        <w:t>Information of apparatus licence periods is contained in the ACMA information paper on apparatus licence periods.</w:t>
      </w:r>
      <w:r w:rsidRPr="001117C9">
        <w:rPr>
          <w:rStyle w:val="FootnoteReference"/>
          <w:rFonts w:cs="Calibri"/>
          <w:lang w:val="en-AU"/>
        </w:rPr>
        <w:footnoteReference w:id="15"/>
      </w:r>
      <w:r w:rsidRPr="001117C9">
        <w:rPr>
          <w:rFonts w:cs="Calibri"/>
          <w:lang w:val="en-AU"/>
        </w:rPr>
        <w:t xml:space="preserve"> </w:t>
      </w:r>
      <w:r w:rsidR="000A133D" w:rsidRPr="001117C9">
        <w:rPr>
          <w:rFonts w:cs="Calibri"/>
          <w:lang w:val="en-AU"/>
        </w:rPr>
        <w:t xml:space="preserve"> </w:t>
      </w:r>
      <w:r w:rsidR="00B20C26" w:rsidRPr="001117C9">
        <w:rPr>
          <w:rFonts w:cs="Calibri"/>
          <w:lang w:val="en-AU"/>
        </w:rPr>
        <w:t xml:space="preserve">Apparatus licenses for wireless audio devices will be issued for a maximum period of 1 year.  </w:t>
      </w:r>
      <w:r w:rsidR="00EA4388">
        <w:rPr>
          <w:rFonts w:cs="Calibri"/>
          <w:lang w:val="en-AU"/>
        </w:rPr>
        <w:t>D</w:t>
      </w:r>
      <w:r w:rsidR="000A133D" w:rsidRPr="001117C9">
        <w:rPr>
          <w:rFonts w:cs="Calibri"/>
          <w:lang w:val="en-AU"/>
        </w:rPr>
        <w:t>ue t</w:t>
      </w:r>
      <w:r w:rsidR="00B20C26" w:rsidRPr="001117C9">
        <w:rPr>
          <w:rFonts w:cs="Calibri"/>
          <w:lang w:val="en-AU"/>
        </w:rPr>
        <w:t>o</w:t>
      </w:r>
      <w:r w:rsidR="000A133D" w:rsidRPr="001117C9">
        <w:rPr>
          <w:rFonts w:cs="Calibri"/>
          <w:lang w:val="en-AU"/>
        </w:rPr>
        <w:t xml:space="preserve"> legal reasons </w:t>
      </w:r>
      <w:r w:rsidR="00B20C26" w:rsidRPr="001117C9">
        <w:rPr>
          <w:rFonts w:cs="Calibri"/>
          <w:lang w:val="en-AU"/>
        </w:rPr>
        <w:t>or</w:t>
      </w:r>
      <w:r w:rsidR="000A133D" w:rsidRPr="001117C9">
        <w:rPr>
          <w:rFonts w:cs="Calibri"/>
          <w:lang w:val="en-AU"/>
        </w:rPr>
        <w:t xml:space="preserve"> </w:t>
      </w:r>
      <w:r w:rsidR="00B20C26" w:rsidRPr="001117C9">
        <w:rPr>
          <w:rFonts w:cs="Calibri"/>
          <w:lang w:val="en-AU"/>
        </w:rPr>
        <w:t>re-</w:t>
      </w:r>
      <w:r w:rsidR="000A133D" w:rsidRPr="001117C9">
        <w:rPr>
          <w:rFonts w:cs="Calibri"/>
          <w:lang w:val="en-AU"/>
        </w:rPr>
        <w:t>planning activities</w:t>
      </w:r>
      <w:r w:rsidR="00EA4388">
        <w:rPr>
          <w:rFonts w:cs="Calibri"/>
          <w:lang w:val="en-AU"/>
        </w:rPr>
        <w:t xml:space="preserve"> a</w:t>
      </w:r>
      <w:r w:rsidR="00EA4388" w:rsidRPr="001117C9">
        <w:rPr>
          <w:rFonts w:cs="Calibri"/>
          <w:lang w:val="en-AU"/>
        </w:rPr>
        <w:t xml:space="preserve"> </w:t>
      </w:r>
      <w:r w:rsidR="00EA4388">
        <w:rPr>
          <w:rFonts w:cs="Calibri"/>
          <w:lang w:val="en-AU"/>
        </w:rPr>
        <w:t>shorter licence period may be specified.</w:t>
      </w:r>
    </w:p>
    <w:p w:rsidR="000A133D" w:rsidRPr="001117C9" w:rsidRDefault="000A133D" w:rsidP="00D62CDA">
      <w:pPr>
        <w:rPr>
          <w:rFonts w:cs="Calibri"/>
          <w:lang w:val="en-AU"/>
        </w:rPr>
      </w:pPr>
    </w:p>
    <w:p w:rsidR="00656A87" w:rsidRDefault="000A133D" w:rsidP="00D62CDA">
      <w:pPr>
        <w:rPr>
          <w:rFonts w:cs="Calibri"/>
          <w:lang w:val="en-AU"/>
        </w:rPr>
      </w:pPr>
      <w:r w:rsidRPr="001117C9">
        <w:rPr>
          <w:rFonts w:cs="Calibri"/>
          <w:lang w:val="en-AU"/>
        </w:rPr>
        <w:t xml:space="preserve">Apparatus licences for wireless audio devices in the frequency range 520-694 MHz will be issued for a </w:t>
      </w:r>
      <w:r w:rsidR="00B653E2">
        <w:rPr>
          <w:rFonts w:cs="Calibri"/>
          <w:lang w:val="en-AU"/>
        </w:rPr>
        <w:t xml:space="preserve">maximum </w:t>
      </w:r>
      <w:r w:rsidRPr="001117C9">
        <w:rPr>
          <w:rFonts w:cs="Calibri"/>
          <w:lang w:val="en-AU"/>
        </w:rPr>
        <w:t>period of 1 year.  Licences periods in other bands will be con</w:t>
      </w:r>
      <w:r w:rsidR="00406C63">
        <w:rPr>
          <w:rFonts w:cs="Calibri"/>
          <w:lang w:val="en-AU"/>
        </w:rPr>
        <w:t xml:space="preserve">sidered on a case-by-case basis </w:t>
      </w:r>
      <w:r w:rsidR="00D2051F">
        <w:rPr>
          <w:rFonts w:cs="Calibri"/>
          <w:lang w:val="en-AU"/>
        </w:rPr>
        <w:t>in light of any</w:t>
      </w:r>
      <w:r w:rsidR="00406C63">
        <w:rPr>
          <w:rFonts w:cs="Calibri"/>
          <w:lang w:val="en-AU"/>
        </w:rPr>
        <w:t xml:space="preserve"> relevant regulatory framework and </w:t>
      </w:r>
      <w:r w:rsidR="00C97FF4">
        <w:rPr>
          <w:rFonts w:cs="Calibri"/>
          <w:lang w:val="en-AU"/>
        </w:rPr>
        <w:t>re</w:t>
      </w:r>
      <w:r w:rsidR="00406C63">
        <w:rPr>
          <w:rFonts w:cs="Calibri"/>
          <w:lang w:val="en-AU"/>
        </w:rPr>
        <w:t xml:space="preserve">planning </w:t>
      </w:r>
      <w:r w:rsidR="00D2051F">
        <w:rPr>
          <w:rFonts w:cs="Calibri"/>
          <w:lang w:val="en-AU"/>
        </w:rPr>
        <w:t>activities</w:t>
      </w:r>
      <w:r w:rsidR="00C97FF4">
        <w:rPr>
          <w:rFonts w:cs="Calibri"/>
          <w:lang w:val="en-AU"/>
        </w:rPr>
        <w:t xml:space="preserve">. </w:t>
      </w:r>
      <w:r w:rsidR="000918B5">
        <w:rPr>
          <w:rFonts w:cs="Calibri"/>
          <w:lang w:val="en-AU"/>
        </w:rPr>
        <w:t xml:space="preserve"> </w:t>
      </w:r>
      <w:r w:rsidR="00C97FF4">
        <w:rPr>
          <w:rFonts w:cs="Calibri"/>
          <w:lang w:val="en-AU"/>
        </w:rPr>
        <w:t xml:space="preserve">For example, a licence might be issued in a band subject to replanning activities, but the licence period would </w:t>
      </w:r>
      <w:r w:rsidR="00054C8E">
        <w:rPr>
          <w:rFonts w:cs="Calibri"/>
          <w:lang w:val="en-AU"/>
        </w:rPr>
        <w:t xml:space="preserve">be </w:t>
      </w:r>
      <w:r w:rsidR="00C97FF4">
        <w:rPr>
          <w:rFonts w:cs="Calibri"/>
          <w:lang w:val="en-AU"/>
        </w:rPr>
        <w:t>limited so</w:t>
      </w:r>
      <w:r w:rsidR="00314494">
        <w:rPr>
          <w:rFonts w:cs="Calibri"/>
          <w:lang w:val="en-AU"/>
        </w:rPr>
        <w:t xml:space="preserve"> as</w:t>
      </w:r>
      <w:r w:rsidR="00C97FF4">
        <w:rPr>
          <w:rFonts w:cs="Calibri"/>
          <w:lang w:val="en-AU"/>
        </w:rPr>
        <w:t xml:space="preserve"> to</w:t>
      </w:r>
      <w:r w:rsidR="00314494">
        <w:rPr>
          <w:rFonts w:cs="Calibri"/>
          <w:lang w:val="en-AU"/>
        </w:rPr>
        <w:t xml:space="preserve"> not</w:t>
      </w:r>
      <w:r w:rsidR="00C97FF4">
        <w:rPr>
          <w:rFonts w:cs="Calibri"/>
          <w:lang w:val="en-AU"/>
        </w:rPr>
        <w:t xml:space="preserve"> constrain</w:t>
      </w:r>
      <w:r w:rsidR="00314494">
        <w:rPr>
          <w:rFonts w:cs="Calibri"/>
          <w:lang w:val="en-AU"/>
        </w:rPr>
        <w:t xml:space="preserve"> the</w:t>
      </w:r>
      <w:r w:rsidR="00C97FF4">
        <w:rPr>
          <w:rFonts w:cs="Calibri"/>
          <w:lang w:val="en-AU"/>
        </w:rPr>
        <w:t xml:space="preserve"> replanning</w:t>
      </w:r>
      <w:r w:rsidR="00314494">
        <w:rPr>
          <w:rFonts w:cs="Calibri"/>
          <w:lang w:val="en-AU"/>
        </w:rPr>
        <w:t xml:space="preserve"> of the band</w:t>
      </w:r>
      <w:r w:rsidR="00054C8E">
        <w:rPr>
          <w:rFonts w:cs="Calibri"/>
          <w:lang w:val="en-AU"/>
        </w:rPr>
        <w:t xml:space="preserve"> and would contain an advisory note to this effect</w:t>
      </w:r>
      <w:r w:rsidR="00E97CE4">
        <w:rPr>
          <w:rFonts w:cs="Calibri"/>
          <w:lang w:val="en-AU"/>
        </w:rPr>
        <w:t xml:space="preserve"> (t</w:t>
      </w:r>
      <w:r w:rsidR="00671D06">
        <w:rPr>
          <w:rFonts w:cs="Calibri"/>
          <w:lang w:val="en-AU"/>
        </w:rPr>
        <w:t>hat is advisory note BL</w:t>
      </w:r>
      <w:r w:rsidR="00E97CE4">
        <w:rPr>
          <w:rFonts w:cs="Calibri"/>
          <w:lang w:val="en-AU"/>
        </w:rPr>
        <w:t>)</w:t>
      </w:r>
      <w:r w:rsidR="00671D06">
        <w:rPr>
          <w:rFonts w:cs="Calibri"/>
          <w:lang w:val="en-AU"/>
        </w:rPr>
        <w:t>.</w:t>
      </w:r>
    </w:p>
    <w:p w:rsidR="00B20C26" w:rsidRPr="001117C9" w:rsidRDefault="00B20C26" w:rsidP="00D62CDA">
      <w:pPr>
        <w:rPr>
          <w:rFonts w:cs="Calibri"/>
          <w:lang w:val="en-AU"/>
        </w:rPr>
      </w:pPr>
    </w:p>
    <w:p w:rsidR="000A133D" w:rsidRPr="001117C9" w:rsidRDefault="000A133D" w:rsidP="00D62CDA">
      <w:pPr>
        <w:rPr>
          <w:rFonts w:cs="Calibri"/>
          <w:u w:val="single"/>
          <w:lang w:val="en-AU"/>
        </w:rPr>
      </w:pPr>
      <w:r w:rsidRPr="001117C9">
        <w:rPr>
          <w:rFonts w:cs="Calibri"/>
          <w:u w:val="single"/>
          <w:lang w:val="en-AU"/>
        </w:rPr>
        <w:t>Licence renewal</w:t>
      </w:r>
    </w:p>
    <w:p w:rsidR="001117C9" w:rsidRPr="001117C9" w:rsidRDefault="00D62CDA" w:rsidP="001117C9">
      <w:pPr>
        <w:rPr>
          <w:rFonts w:cs="Calibri"/>
          <w:lang w:val="en-AU"/>
        </w:rPr>
      </w:pPr>
      <w:r w:rsidRPr="001117C9">
        <w:rPr>
          <w:rFonts w:cs="Calibri"/>
          <w:lang w:val="en-AU"/>
        </w:rPr>
        <w:t xml:space="preserve">Renewal of licence is to be in accordance the </w:t>
      </w:r>
      <w:proofErr w:type="spellStart"/>
      <w:r w:rsidRPr="001117C9">
        <w:rPr>
          <w:rFonts w:cs="Calibri"/>
          <w:lang w:val="en-AU"/>
        </w:rPr>
        <w:t>ACMA’s</w:t>
      </w:r>
      <w:proofErr w:type="spellEnd"/>
      <w:r w:rsidRPr="001117C9">
        <w:rPr>
          <w:rFonts w:cs="Calibri"/>
          <w:lang w:val="en-AU"/>
        </w:rPr>
        <w:t xml:space="preserve"> policy on apparatus licence tenure</w:t>
      </w:r>
      <w:r w:rsidR="001117C9" w:rsidRPr="001117C9">
        <w:rPr>
          <w:rFonts w:cs="Calibri"/>
          <w:lang w:val="en-AU"/>
        </w:rPr>
        <w:t xml:space="preserve"> (see information o</w:t>
      </w:r>
      <w:r w:rsidR="00EA4388">
        <w:rPr>
          <w:rFonts w:cs="Calibri"/>
          <w:lang w:val="en-AU"/>
        </w:rPr>
        <w:t>n</w:t>
      </w:r>
      <w:r w:rsidR="001117C9" w:rsidRPr="001117C9">
        <w:rPr>
          <w:rFonts w:cs="Calibri"/>
          <w:lang w:val="en-AU"/>
        </w:rPr>
        <w:t xml:space="preserve"> licence periods</w:t>
      </w:r>
      <w:r w:rsidR="00FB1ADD">
        <w:rPr>
          <w:rFonts w:cs="Calibri"/>
          <w:lang w:val="en-AU"/>
        </w:rPr>
        <w:t>)</w:t>
      </w:r>
      <w:r w:rsidRPr="001117C9">
        <w:rPr>
          <w:rFonts w:cs="Calibri"/>
          <w:lang w:val="en-AU"/>
        </w:rPr>
        <w:t xml:space="preserve">. </w:t>
      </w:r>
      <w:r w:rsidR="001117C9" w:rsidRPr="001117C9">
        <w:rPr>
          <w:rFonts w:cs="Calibri"/>
          <w:lang w:val="en-AU"/>
        </w:rPr>
        <w:t xml:space="preserve">Except in special cases, the </w:t>
      </w:r>
      <w:proofErr w:type="spellStart"/>
      <w:r w:rsidR="001117C9" w:rsidRPr="001117C9">
        <w:rPr>
          <w:rFonts w:cs="Calibri"/>
          <w:lang w:val="en-AU"/>
        </w:rPr>
        <w:t>ACMA’s</w:t>
      </w:r>
      <w:proofErr w:type="spellEnd"/>
      <w:r w:rsidR="001117C9" w:rsidRPr="001117C9">
        <w:rPr>
          <w:rFonts w:cs="Calibri"/>
          <w:lang w:val="en-AU"/>
        </w:rPr>
        <w:t xml:space="preserve"> standard renewal practice is to send renewal notices and instalment quotations to licensees around eight weeks prior to their expiry, and to renew all apparatus licences for which an application is made </w:t>
      </w:r>
      <w:r w:rsidR="00EA4388">
        <w:rPr>
          <w:rFonts w:cs="Calibri"/>
          <w:lang w:val="en-AU"/>
        </w:rPr>
        <w:t>and</w:t>
      </w:r>
      <w:r w:rsidR="001117C9" w:rsidRPr="001117C9">
        <w:rPr>
          <w:rFonts w:cs="Calibri"/>
          <w:lang w:val="en-AU"/>
        </w:rPr>
        <w:t xml:space="preserve"> approved by the ACMA </w:t>
      </w:r>
      <w:r w:rsidR="00EA4388">
        <w:rPr>
          <w:rFonts w:cs="Calibri"/>
          <w:lang w:val="en-AU"/>
        </w:rPr>
        <w:t>with</w:t>
      </w:r>
      <w:r w:rsidR="00EA4388" w:rsidRPr="001117C9">
        <w:rPr>
          <w:rFonts w:cs="Calibri"/>
          <w:lang w:val="en-AU"/>
        </w:rPr>
        <w:t xml:space="preserve"> </w:t>
      </w:r>
      <w:r w:rsidR="001117C9" w:rsidRPr="001117C9">
        <w:rPr>
          <w:rFonts w:cs="Calibri"/>
          <w:lang w:val="en-AU"/>
        </w:rPr>
        <w:t xml:space="preserve">the correct fee paid no later than 60 days after the expiry of the licence. </w:t>
      </w:r>
    </w:p>
    <w:p w:rsidR="001117C9" w:rsidRPr="001117C9" w:rsidRDefault="001117C9" w:rsidP="00D62CDA">
      <w:pPr>
        <w:rPr>
          <w:rFonts w:cs="Calibri"/>
          <w:lang w:val="en-AU"/>
        </w:rPr>
      </w:pPr>
    </w:p>
    <w:p w:rsidR="00B20C26" w:rsidRPr="001117C9" w:rsidRDefault="000A133D" w:rsidP="00D62CDA">
      <w:pPr>
        <w:rPr>
          <w:rFonts w:cs="Calibri"/>
          <w:lang w:val="en-AU"/>
        </w:rPr>
      </w:pPr>
      <w:r w:rsidRPr="001117C9">
        <w:rPr>
          <w:rFonts w:cs="Calibri"/>
          <w:lang w:val="en-AU"/>
        </w:rPr>
        <w:t xml:space="preserve">Licences issued for a year will be renewed </w:t>
      </w:r>
      <w:r w:rsidR="001117C9" w:rsidRPr="001117C9">
        <w:rPr>
          <w:rFonts w:cs="Calibri"/>
          <w:lang w:val="en-AU"/>
        </w:rPr>
        <w:t>in accordance with the arrangements outlined above except in cases where</w:t>
      </w:r>
      <w:r w:rsidRPr="001117C9">
        <w:rPr>
          <w:rFonts w:cs="Calibri"/>
          <w:lang w:val="en-AU"/>
        </w:rPr>
        <w:t>:</w:t>
      </w:r>
    </w:p>
    <w:p w:rsidR="00FB1ADD" w:rsidRPr="00CE0069" w:rsidRDefault="001117C9" w:rsidP="00085A7E">
      <w:pPr>
        <w:pStyle w:val="ListParagraph"/>
        <w:numPr>
          <w:ilvl w:val="0"/>
          <w:numId w:val="17"/>
        </w:numPr>
        <w:rPr>
          <w:rFonts w:cs="Calibri"/>
          <w:sz w:val="24"/>
        </w:rPr>
      </w:pPr>
      <w:r w:rsidRPr="00CE0069">
        <w:rPr>
          <w:rFonts w:cs="Calibri"/>
          <w:sz w:val="24"/>
        </w:rPr>
        <w:t xml:space="preserve">the </w:t>
      </w:r>
      <w:r w:rsidR="000A133D" w:rsidRPr="00CE0069">
        <w:rPr>
          <w:rFonts w:cs="Calibri"/>
          <w:sz w:val="24"/>
        </w:rPr>
        <w:t>law prevents the ACMA from renewing the licence</w:t>
      </w:r>
      <w:r w:rsidR="00FB1ADD" w:rsidRPr="001117C9">
        <w:rPr>
          <w:rFonts w:cs="Calibri"/>
        </w:rPr>
        <w:t xml:space="preserve">; </w:t>
      </w:r>
      <w:r w:rsidR="00FB1ADD">
        <w:rPr>
          <w:rFonts w:cs="Calibri"/>
        </w:rPr>
        <w:t>or</w:t>
      </w:r>
    </w:p>
    <w:p w:rsidR="000A133D" w:rsidRPr="00CE0069" w:rsidRDefault="000A133D" w:rsidP="00085A7E">
      <w:pPr>
        <w:pStyle w:val="ListParagraph"/>
        <w:numPr>
          <w:ilvl w:val="0"/>
          <w:numId w:val="17"/>
        </w:numPr>
        <w:rPr>
          <w:rFonts w:cs="Calibri"/>
          <w:sz w:val="24"/>
        </w:rPr>
      </w:pPr>
      <w:r w:rsidRPr="00CE0069">
        <w:rPr>
          <w:rFonts w:cs="Calibri"/>
          <w:sz w:val="24"/>
        </w:rPr>
        <w:t xml:space="preserve">policy, legal or other reasons require special consideration by the ACMA of the merits of the </w:t>
      </w:r>
      <w:r w:rsidR="00FB1ADD" w:rsidRPr="00FB1ADD">
        <w:rPr>
          <w:rFonts w:cs="Calibri"/>
          <w:sz w:val="24"/>
        </w:rPr>
        <w:t>renewal</w:t>
      </w:r>
      <w:r w:rsidRPr="00CE0069">
        <w:rPr>
          <w:rFonts w:cs="Calibri"/>
          <w:sz w:val="24"/>
        </w:rPr>
        <w:t>.</w:t>
      </w:r>
    </w:p>
    <w:p w:rsidR="000A133D" w:rsidRPr="001117C9" w:rsidRDefault="000A133D" w:rsidP="00D62CDA">
      <w:pPr>
        <w:rPr>
          <w:rFonts w:cs="Calibri"/>
          <w:lang w:val="en-AU"/>
        </w:rPr>
      </w:pPr>
    </w:p>
    <w:p w:rsidR="000A133D" w:rsidRDefault="000A133D" w:rsidP="00D62CDA">
      <w:pPr>
        <w:rPr>
          <w:rFonts w:cs="Calibri"/>
          <w:lang w:val="en-AU"/>
        </w:rPr>
      </w:pPr>
      <w:r w:rsidRPr="001117C9">
        <w:rPr>
          <w:rFonts w:cs="Calibri"/>
          <w:lang w:val="en-AU"/>
        </w:rPr>
        <w:t>Licence</w:t>
      </w:r>
      <w:r w:rsidR="00C336E9">
        <w:rPr>
          <w:rFonts w:cs="Calibri"/>
          <w:lang w:val="en-AU"/>
        </w:rPr>
        <w:t>s</w:t>
      </w:r>
      <w:r w:rsidRPr="001117C9">
        <w:rPr>
          <w:rFonts w:cs="Calibri"/>
          <w:lang w:val="en-AU"/>
        </w:rPr>
        <w:t xml:space="preserve"> issued for period</w:t>
      </w:r>
      <w:r w:rsidR="00B653E2">
        <w:rPr>
          <w:rFonts w:cs="Calibri"/>
          <w:lang w:val="en-AU"/>
        </w:rPr>
        <w:t>s</w:t>
      </w:r>
      <w:r w:rsidRPr="001117C9">
        <w:rPr>
          <w:rFonts w:cs="Calibri"/>
          <w:lang w:val="en-AU"/>
        </w:rPr>
        <w:t xml:space="preserve"> less than a year </w:t>
      </w:r>
      <w:r w:rsidR="00B653E2">
        <w:rPr>
          <w:rFonts w:cs="Calibri"/>
          <w:lang w:val="en-AU"/>
        </w:rPr>
        <w:t>will not be renewed</w:t>
      </w:r>
      <w:r w:rsidR="00C336E9">
        <w:rPr>
          <w:rFonts w:cs="Calibri"/>
          <w:lang w:val="en-AU"/>
        </w:rPr>
        <w:t xml:space="preserve"> as outlined above</w:t>
      </w:r>
      <w:r w:rsidR="00D832BC">
        <w:rPr>
          <w:rFonts w:cs="Calibri"/>
          <w:lang w:val="en-AU"/>
        </w:rPr>
        <w:t>, however a</w:t>
      </w:r>
      <w:r w:rsidR="00A74F49">
        <w:rPr>
          <w:rFonts w:cs="Calibri"/>
          <w:lang w:val="en-AU"/>
        </w:rPr>
        <w:t xml:space="preserve"> licensee may request that the licence be renewed before it expires.  Where possible (</w:t>
      </w:r>
      <w:r w:rsidR="00314494">
        <w:rPr>
          <w:rFonts w:cs="Calibri"/>
          <w:lang w:val="en-AU"/>
        </w:rPr>
        <w:t>where there are</w:t>
      </w:r>
      <w:r w:rsidR="00A74F49">
        <w:rPr>
          <w:rFonts w:cs="Calibri"/>
          <w:lang w:val="en-AU"/>
        </w:rPr>
        <w:t xml:space="preserve"> no legal reasons or re-planning activities) the ACMA will accommodate such requests though the licence period might be </w:t>
      </w:r>
      <w:r w:rsidR="00D832BC">
        <w:rPr>
          <w:rFonts w:cs="Calibri"/>
          <w:lang w:val="en-AU"/>
        </w:rPr>
        <w:t>reduced</w:t>
      </w:r>
      <w:r w:rsidR="00A74F49">
        <w:rPr>
          <w:rFonts w:cs="Calibri"/>
          <w:lang w:val="en-AU"/>
        </w:rPr>
        <w:t xml:space="preserve"> and additional conditions might apply.</w:t>
      </w:r>
      <w:r w:rsidR="001117C9" w:rsidRPr="001117C9">
        <w:rPr>
          <w:rFonts w:cs="Calibri"/>
          <w:lang w:val="en-AU"/>
        </w:rPr>
        <w:t xml:space="preserve"> </w:t>
      </w:r>
    </w:p>
    <w:p w:rsidR="00656A87" w:rsidRDefault="00656A87" w:rsidP="00D62CDA">
      <w:pPr>
        <w:rPr>
          <w:rFonts w:cs="Calibri"/>
          <w:lang w:val="en-AU"/>
        </w:rPr>
      </w:pPr>
    </w:p>
    <w:p w:rsidR="00656A87" w:rsidRDefault="00656A87" w:rsidP="00D62CDA">
      <w:pPr>
        <w:rPr>
          <w:rFonts w:cs="Calibri"/>
          <w:lang w:val="en-AU"/>
        </w:rPr>
      </w:pPr>
      <w:r>
        <w:rPr>
          <w:rFonts w:cs="Calibri"/>
          <w:lang w:val="en-AU"/>
        </w:rPr>
        <w:t>In particular</w:t>
      </w:r>
      <w:r w:rsidR="00054C8E">
        <w:rPr>
          <w:rFonts w:cs="Calibri"/>
          <w:lang w:val="en-AU"/>
        </w:rPr>
        <w:t>, no expectation</w:t>
      </w:r>
      <w:r w:rsidR="00D2051F">
        <w:rPr>
          <w:rFonts w:cs="Calibri"/>
          <w:lang w:val="en-AU"/>
        </w:rPr>
        <w:t xml:space="preserve"> of renewal</w:t>
      </w:r>
      <w:r w:rsidR="00054C8E">
        <w:rPr>
          <w:rFonts w:cs="Calibri"/>
          <w:lang w:val="en-AU"/>
        </w:rPr>
        <w:t xml:space="preserve"> should be made </w:t>
      </w:r>
      <w:r w:rsidR="00D2051F">
        <w:rPr>
          <w:rFonts w:cs="Calibri"/>
          <w:lang w:val="en-AU"/>
        </w:rPr>
        <w:t>for</w:t>
      </w:r>
      <w:r w:rsidR="00054C8E">
        <w:rPr>
          <w:rFonts w:cs="Calibri"/>
          <w:lang w:val="en-AU"/>
        </w:rPr>
        <w:t xml:space="preserve"> </w:t>
      </w:r>
      <w:r>
        <w:rPr>
          <w:rFonts w:cs="Calibri"/>
          <w:lang w:val="en-AU"/>
        </w:rPr>
        <w:t xml:space="preserve">licences authorising use of </w:t>
      </w:r>
      <w:r w:rsidRPr="00D85380">
        <w:rPr>
          <w:rFonts w:cs="Calibri"/>
        </w:rPr>
        <w:t xml:space="preserve">of 694-703MHz, 748-758 MHz </w:t>
      </w:r>
      <w:r>
        <w:rPr>
          <w:rFonts w:cs="Calibri"/>
        </w:rPr>
        <w:t>or</w:t>
      </w:r>
      <w:r w:rsidRPr="00D85380">
        <w:rPr>
          <w:rFonts w:cs="Calibri"/>
        </w:rPr>
        <w:t xml:space="preserve"> 803-820 MHz</w:t>
      </w:r>
      <w:r w:rsidR="00D2051F">
        <w:rPr>
          <w:rFonts w:cs="Calibri"/>
        </w:rPr>
        <w:t xml:space="preserve"> </w:t>
      </w:r>
      <w:r>
        <w:rPr>
          <w:rFonts w:cs="Calibri"/>
        </w:rPr>
        <w:t>when the licences expire.</w:t>
      </w:r>
    </w:p>
    <w:p w:rsidR="0044349D" w:rsidRDefault="0044349D" w:rsidP="00D62CDA">
      <w:pPr>
        <w:rPr>
          <w:rFonts w:cs="Calibri"/>
          <w:lang w:val="en-AU"/>
        </w:rPr>
      </w:pPr>
    </w:p>
    <w:p w:rsidR="00A45B3D" w:rsidRPr="001117C9" w:rsidRDefault="00A45B3D" w:rsidP="00A45B3D">
      <w:pPr>
        <w:pStyle w:val="Heading2"/>
        <w:rPr>
          <w:lang w:val="en-AU"/>
        </w:rPr>
      </w:pPr>
      <w:bookmarkStart w:id="39" w:name="_Toc402794165"/>
      <w:r>
        <w:rPr>
          <w:lang w:val="en-AU"/>
        </w:rPr>
        <w:t>Licence conditions</w:t>
      </w:r>
      <w:r w:rsidR="00085A7E">
        <w:rPr>
          <w:lang w:val="en-AU"/>
        </w:rPr>
        <w:t xml:space="preserve"> &amp; advisory notes</w:t>
      </w:r>
      <w:bookmarkEnd w:id="39"/>
      <w:r w:rsidR="00085A7E">
        <w:rPr>
          <w:lang w:val="en-AU"/>
        </w:rPr>
        <w:t xml:space="preserve"> </w:t>
      </w:r>
    </w:p>
    <w:p w:rsidR="00A45B3D" w:rsidRPr="001117C9" w:rsidRDefault="00A45B3D" w:rsidP="00A45B3D">
      <w:pPr>
        <w:rPr>
          <w:rFonts w:cs="Calibri"/>
          <w:lang w:val="en-AU"/>
        </w:rPr>
      </w:pPr>
      <w:r w:rsidRPr="001117C9">
        <w:rPr>
          <w:rFonts w:cs="Calibri"/>
          <w:lang w:val="en-AU"/>
        </w:rPr>
        <w:t xml:space="preserve">As set out in the ACMA </w:t>
      </w:r>
      <w:r w:rsidRPr="001117C9">
        <w:rPr>
          <w:lang w:val="en-AU"/>
        </w:rPr>
        <w:t xml:space="preserve">land mobile licence </w:t>
      </w:r>
      <w:r w:rsidRPr="001117C9">
        <w:rPr>
          <w:rFonts w:cs="Calibri"/>
          <w:lang w:val="en-AU"/>
        </w:rPr>
        <w:t>information paper the operation of radiocommunications equipment authorised by a land mobile licence is subject to:</w:t>
      </w:r>
    </w:p>
    <w:p w:rsidR="00A45B3D" w:rsidRPr="001117C9" w:rsidRDefault="00A45B3D" w:rsidP="00A45B3D">
      <w:pPr>
        <w:numPr>
          <w:ilvl w:val="0"/>
          <w:numId w:val="11"/>
        </w:numPr>
        <w:tabs>
          <w:tab w:val="num" w:pos="720"/>
        </w:tabs>
        <w:rPr>
          <w:rFonts w:cs="Calibri"/>
          <w:lang w:val="en-AU"/>
        </w:rPr>
      </w:pPr>
      <w:r w:rsidRPr="001117C9">
        <w:rPr>
          <w:rFonts w:cs="Calibri"/>
          <w:lang w:val="en-AU"/>
        </w:rPr>
        <w:t xml:space="preserve">conditions specified in the </w:t>
      </w:r>
      <w:hyperlink r:id="rId29" w:history="1">
        <w:r w:rsidRPr="001117C9">
          <w:rPr>
            <w:rStyle w:val="Hyperlink"/>
            <w:rFonts w:cs="Calibri"/>
            <w:i/>
            <w:iCs/>
            <w:lang w:val="en-AU"/>
          </w:rPr>
          <w:t>Radiocommunications Act 1992</w:t>
        </w:r>
      </w:hyperlink>
      <w:r w:rsidRPr="001117C9">
        <w:rPr>
          <w:rFonts w:cs="Calibri"/>
          <w:lang w:val="en-AU"/>
        </w:rPr>
        <w:t>, including an obligation to comply with the Rad</w:t>
      </w:r>
      <w:r w:rsidR="008B38DF">
        <w:rPr>
          <w:rFonts w:cs="Calibri"/>
          <w:lang w:val="en-AU"/>
        </w:rPr>
        <w:t>io</w:t>
      </w:r>
      <w:r w:rsidRPr="001117C9">
        <w:rPr>
          <w:rFonts w:cs="Calibri"/>
          <w:lang w:val="en-AU"/>
        </w:rPr>
        <w:t>comm</w:t>
      </w:r>
      <w:r w:rsidR="008B38DF">
        <w:rPr>
          <w:rFonts w:cs="Calibri"/>
          <w:lang w:val="en-AU"/>
        </w:rPr>
        <w:t xml:space="preserve">unications </w:t>
      </w:r>
      <w:r w:rsidRPr="001117C9">
        <w:rPr>
          <w:rFonts w:cs="Calibri"/>
          <w:lang w:val="en-AU"/>
        </w:rPr>
        <w:t>Act;</w:t>
      </w:r>
    </w:p>
    <w:p w:rsidR="00A45B3D" w:rsidRPr="001117C9" w:rsidRDefault="00A45B3D" w:rsidP="00A45B3D">
      <w:pPr>
        <w:numPr>
          <w:ilvl w:val="0"/>
          <w:numId w:val="11"/>
        </w:numPr>
        <w:tabs>
          <w:tab w:val="num" w:pos="720"/>
        </w:tabs>
        <w:rPr>
          <w:rFonts w:cs="Calibri"/>
          <w:lang w:val="en-AU"/>
        </w:rPr>
      </w:pPr>
      <w:r w:rsidRPr="001117C9">
        <w:rPr>
          <w:rFonts w:cs="Calibri"/>
          <w:lang w:val="en-AU"/>
        </w:rPr>
        <w:t>a condition that any radiocommunication device operated under the licence must comply with all the standards applicable to it;</w:t>
      </w:r>
    </w:p>
    <w:p w:rsidR="00A45B3D" w:rsidRPr="001117C9" w:rsidRDefault="00A45B3D" w:rsidP="00A45B3D">
      <w:pPr>
        <w:numPr>
          <w:ilvl w:val="0"/>
          <w:numId w:val="11"/>
        </w:numPr>
        <w:tabs>
          <w:tab w:val="num" w:pos="720"/>
        </w:tabs>
        <w:rPr>
          <w:rFonts w:cs="Calibri"/>
          <w:lang w:val="en-AU"/>
        </w:rPr>
      </w:pPr>
      <w:r w:rsidRPr="001117C9">
        <w:rPr>
          <w:rFonts w:cs="Calibri"/>
          <w:lang w:val="en-AU"/>
        </w:rPr>
        <w:t xml:space="preserve">conditions specified in and determinations made by the ACMA under paragraph 107(1)(f) of the </w:t>
      </w:r>
      <w:r w:rsidR="008B38DF" w:rsidRPr="001117C9">
        <w:rPr>
          <w:rFonts w:cs="Calibri"/>
          <w:lang w:val="en-AU"/>
        </w:rPr>
        <w:t>Rad</w:t>
      </w:r>
      <w:r w:rsidR="008B38DF">
        <w:rPr>
          <w:rFonts w:cs="Calibri"/>
          <w:lang w:val="en-AU"/>
        </w:rPr>
        <w:t>io</w:t>
      </w:r>
      <w:r w:rsidR="008B38DF" w:rsidRPr="001117C9">
        <w:rPr>
          <w:rFonts w:cs="Calibri"/>
          <w:lang w:val="en-AU"/>
        </w:rPr>
        <w:t>comm</w:t>
      </w:r>
      <w:r w:rsidR="008B38DF">
        <w:rPr>
          <w:rFonts w:cs="Calibri"/>
          <w:lang w:val="en-AU"/>
        </w:rPr>
        <w:t xml:space="preserve">unications </w:t>
      </w:r>
      <w:r w:rsidR="008B38DF" w:rsidRPr="001117C9">
        <w:rPr>
          <w:rFonts w:cs="Calibri"/>
          <w:lang w:val="en-AU"/>
        </w:rPr>
        <w:t>Act</w:t>
      </w:r>
    </w:p>
    <w:p w:rsidR="00A45B3D" w:rsidRPr="001117C9" w:rsidRDefault="00A45B3D" w:rsidP="00A45B3D">
      <w:pPr>
        <w:numPr>
          <w:ilvl w:val="0"/>
          <w:numId w:val="11"/>
        </w:numPr>
        <w:tabs>
          <w:tab w:val="num" w:pos="720"/>
        </w:tabs>
        <w:rPr>
          <w:rFonts w:cs="Calibri"/>
          <w:lang w:val="en-AU"/>
        </w:rPr>
      </w:pPr>
      <w:r w:rsidRPr="001117C9">
        <w:rPr>
          <w:rFonts w:cs="Calibri"/>
          <w:lang w:val="en-AU"/>
        </w:rPr>
        <w:t>conditions specified in the licence;  and</w:t>
      </w:r>
    </w:p>
    <w:p w:rsidR="00A45B3D" w:rsidRPr="001117C9" w:rsidRDefault="00A45B3D" w:rsidP="00A45B3D">
      <w:pPr>
        <w:numPr>
          <w:ilvl w:val="0"/>
          <w:numId w:val="11"/>
        </w:numPr>
        <w:tabs>
          <w:tab w:val="num" w:pos="720"/>
        </w:tabs>
        <w:rPr>
          <w:rFonts w:cs="Calibri"/>
          <w:lang w:val="en-AU"/>
        </w:rPr>
      </w:pPr>
      <w:r w:rsidRPr="001117C9">
        <w:rPr>
          <w:rFonts w:cs="Calibri"/>
          <w:lang w:val="en-AU"/>
        </w:rPr>
        <w:t xml:space="preserve">any further conditions imposed by the ACMA under section 111 of the </w:t>
      </w:r>
      <w:r w:rsidR="008B38DF" w:rsidRPr="001117C9">
        <w:rPr>
          <w:rFonts w:cs="Calibri"/>
          <w:lang w:val="en-AU"/>
        </w:rPr>
        <w:t>Rad</w:t>
      </w:r>
      <w:r w:rsidR="008B38DF">
        <w:rPr>
          <w:rFonts w:cs="Calibri"/>
          <w:lang w:val="en-AU"/>
        </w:rPr>
        <w:t>io</w:t>
      </w:r>
      <w:r w:rsidR="008B38DF" w:rsidRPr="001117C9">
        <w:rPr>
          <w:rFonts w:cs="Calibri"/>
          <w:lang w:val="en-AU"/>
        </w:rPr>
        <w:t>comm</w:t>
      </w:r>
      <w:r w:rsidR="008B38DF">
        <w:rPr>
          <w:rFonts w:cs="Calibri"/>
          <w:lang w:val="en-AU"/>
        </w:rPr>
        <w:t xml:space="preserve">unications </w:t>
      </w:r>
      <w:r w:rsidR="008B38DF" w:rsidRPr="001117C9">
        <w:rPr>
          <w:rFonts w:cs="Calibri"/>
          <w:lang w:val="en-AU"/>
        </w:rPr>
        <w:t>Act</w:t>
      </w:r>
      <w:r w:rsidRPr="001117C9">
        <w:rPr>
          <w:rFonts w:cs="Calibri"/>
          <w:lang w:val="en-AU"/>
        </w:rPr>
        <w:t>.</w:t>
      </w:r>
    </w:p>
    <w:p w:rsidR="00A205D1" w:rsidRDefault="00A205D1" w:rsidP="00A45B3D">
      <w:pPr>
        <w:rPr>
          <w:rFonts w:cs="Calibri"/>
          <w:lang w:val="en-AU"/>
        </w:rPr>
      </w:pPr>
    </w:p>
    <w:p w:rsidR="00E97CE4" w:rsidRDefault="00B34D2E" w:rsidP="00B34D2E">
      <w:pPr>
        <w:rPr>
          <w:rFonts w:cs="Calibri"/>
          <w:snapToGrid w:val="0"/>
          <w:szCs w:val="24"/>
        </w:rPr>
      </w:pPr>
      <w:r>
        <w:rPr>
          <w:rFonts w:cs="Calibri"/>
          <w:lang w:val="en-AU"/>
        </w:rPr>
        <w:t xml:space="preserve">Consistent with circumstance for issuing a licence as described in the </w:t>
      </w:r>
      <w:r w:rsidR="00A205D1" w:rsidRPr="001117C9">
        <w:rPr>
          <w:rFonts w:cs="Calibri"/>
          <w:lang w:val="en-AU"/>
        </w:rPr>
        <w:t xml:space="preserve">determination </w:t>
      </w:r>
      <w:r w:rsidR="00A205D1">
        <w:rPr>
          <w:rFonts w:cs="Calibri"/>
          <w:lang w:val="en-AU"/>
        </w:rPr>
        <w:t xml:space="preserve">made by the ACMA </w:t>
      </w:r>
      <w:r w:rsidR="00A205D1" w:rsidRPr="001117C9">
        <w:rPr>
          <w:rFonts w:cs="Calibri"/>
          <w:lang w:val="en-AU"/>
        </w:rPr>
        <w:t xml:space="preserve">under </w:t>
      </w:r>
      <w:r w:rsidR="00A205D1" w:rsidRPr="00B34D2E">
        <w:rPr>
          <w:rFonts w:cs="Calibri"/>
          <w:szCs w:val="24"/>
          <w:lang w:val="en-AU"/>
        </w:rPr>
        <w:t xml:space="preserve">section 31 of the Radiocommunications Act </w:t>
      </w:r>
      <w:r w:rsidRPr="00B34D2E">
        <w:rPr>
          <w:rFonts w:cs="Calibri"/>
          <w:szCs w:val="24"/>
          <w:lang w:val="en-AU"/>
        </w:rPr>
        <w:t>in 2006  (see section 2.2),</w:t>
      </w:r>
      <w:r>
        <w:rPr>
          <w:rFonts w:cs="Calibri"/>
          <w:szCs w:val="24"/>
          <w:lang w:val="en-AU"/>
        </w:rPr>
        <w:t xml:space="preserve"> </w:t>
      </w:r>
      <w:r w:rsidR="00C7035F">
        <w:rPr>
          <w:rFonts w:cs="Calibri"/>
          <w:szCs w:val="24"/>
          <w:lang w:val="en-AU"/>
        </w:rPr>
        <w:t xml:space="preserve">a </w:t>
      </w:r>
      <w:r>
        <w:rPr>
          <w:rFonts w:cs="Calibri"/>
          <w:szCs w:val="24"/>
          <w:lang w:val="en-AU"/>
        </w:rPr>
        <w:t>w</w:t>
      </w:r>
      <w:r w:rsidR="00A45B3D" w:rsidRPr="00B34D2E">
        <w:rPr>
          <w:rFonts w:cs="Calibri"/>
          <w:snapToGrid w:val="0"/>
          <w:szCs w:val="24"/>
        </w:rPr>
        <w:t>ireless audio device will operate under the licence condition that it will not cause interference to a licenced radiocommunications service and no protection will be given from a lice</w:t>
      </w:r>
      <w:r w:rsidR="00C7035F">
        <w:rPr>
          <w:rFonts w:cs="Calibri"/>
          <w:snapToGrid w:val="0"/>
          <w:szCs w:val="24"/>
        </w:rPr>
        <w:t>nced radiocommunications services</w:t>
      </w:r>
      <w:r w:rsidR="00A45B3D" w:rsidRPr="00B34D2E">
        <w:rPr>
          <w:rFonts w:cs="Calibri"/>
          <w:snapToGrid w:val="0"/>
          <w:szCs w:val="24"/>
        </w:rPr>
        <w:t>.</w:t>
      </w:r>
      <w:r w:rsidR="00671D06">
        <w:rPr>
          <w:rFonts w:cs="Calibri"/>
          <w:snapToGrid w:val="0"/>
          <w:szCs w:val="24"/>
        </w:rPr>
        <w:t xml:space="preserve">  </w:t>
      </w:r>
      <w:r w:rsidR="00E97CE4">
        <w:rPr>
          <w:rFonts w:cs="Calibri"/>
          <w:snapToGrid w:val="0"/>
          <w:szCs w:val="24"/>
        </w:rPr>
        <w:t>Accordingly special condition</w:t>
      </w:r>
      <w:r w:rsidR="00671D06">
        <w:rPr>
          <w:rFonts w:cs="Calibri"/>
          <w:snapToGrid w:val="0"/>
          <w:szCs w:val="24"/>
        </w:rPr>
        <w:t xml:space="preserve"> 27 </w:t>
      </w:r>
      <w:r w:rsidR="00E97CE4">
        <w:rPr>
          <w:rFonts w:cs="Calibri"/>
          <w:snapToGrid w:val="0"/>
          <w:szCs w:val="24"/>
        </w:rPr>
        <w:t xml:space="preserve">will be applied to all licences authorising the operation of wireless audio devices.  Special condition 27 states: </w:t>
      </w:r>
    </w:p>
    <w:p w:rsidR="00A45B3D" w:rsidRPr="00B34D2E" w:rsidRDefault="00E97CE4" w:rsidP="008B38DF">
      <w:pPr>
        <w:ind w:left="720"/>
        <w:rPr>
          <w:rFonts w:cs="Calibri"/>
          <w:snapToGrid w:val="0"/>
          <w:szCs w:val="24"/>
        </w:rPr>
      </w:pPr>
      <w:r w:rsidRPr="00E97CE4">
        <w:rPr>
          <w:rFonts w:cs="Calibri"/>
          <w:i/>
          <w:snapToGrid w:val="0"/>
          <w:szCs w:val="24"/>
        </w:rPr>
        <w:t>No interference shall be caused to any radiocommunication station or service and no protection from interference by such stations or services shall be afforded</w:t>
      </w:r>
      <w:r w:rsidR="00671D06">
        <w:rPr>
          <w:rFonts w:cs="Calibri"/>
          <w:snapToGrid w:val="0"/>
          <w:szCs w:val="24"/>
        </w:rPr>
        <w:t>.</w:t>
      </w:r>
    </w:p>
    <w:p w:rsidR="00A45B3D" w:rsidRDefault="00A45B3D" w:rsidP="00A45B3D">
      <w:pPr>
        <w:rPr>
          <w:rFonts w:cs="Calibri"/>
          <w:snapToGrid w:val="0"/>
          <w:lang w:val="en-AU" w:eastAsia="en-US"/>
        </w:rPr>
      </w:pPr>
      <w:r w:rsidRPr="001117C9">
        <w:rPr>
          <w:rFonts w:cs="Calibri"/>
          <w:snapToGrid w:val="0"/>
          <w:lang w:val="en-AU" w:eastAsia="en-US"/>
        </w:rPr>
        <w:t xml:space="preserve"> </w:t>
      </w:r>
    </w:p>
    <w:p w:rsidR="00E97CE4" w:rsidRDefault="00EA4388" w:rsidP="00A45B3D">
      <w:pPr>
        <w:rPr>
          <w:rFonts w:cs="Calibri"/>
        </w:rPr>
      </w:pPr>
      <w:r>
        <w:rPr>
          <w:rFonts w:cs="Calibri"/>
        </w:rPr>
        <w:t xml:space="preserve">The </w:t>
      </w:r>
      <w:r w:rsidR="00085A7E">
        <w:rPr>
          <w:rFonts w:cs="Calibri"/>
        </w:rPr>
        <w:t>use of 694-703MHz, 748-758 MHz and 803-820 MHz on an interim basis</w:t>
      </w:r>
      <w:r>
        <w:rPr>
          <w:rFonts w:cs="Calibri"/>
        </w:rPr>
        <w:t xml:space="preserve"> by wireless audio devices will include </w:t>
      </w:r>
      <w:r w:rsidR="00085A7E">
        <w:rPr>
          <w:rFonts w:cs="Calibri"/>
        </w:rPr>
        <w:t xml:space="preserve">an advisory note to the effect that spectrum arrangements are under review and that licence </w:t>
      </w:r>
      <w:r w:rsidR="00466344">
        <w:rPr>
          <w:rFonts w:cs="Calibri"/>
        </w:rPr>
        <w:t>might</w:t>
      </w:r>
      <w:r>
        <w:rPr>
          <w:rFonts w:cs="Calibri"/>
        </w:rPr>
        <w:t xml:space="preserve"> </w:t>
      </w:r>
      <w:r w:rsidR="00085A7E">
        <w:rPr>
          <w:rFonts w:cs="Calibri"/>
        </w:rPr>
        <w:t xml:space="preserve">not be renewed when the licences expires.  That is, there is no presumption of renewal and operation </w:t>
      </w:r>
      <w:r w:rsidR="008024B4">
        <w:rPr>
          <w:rFonts w:cs="Calibri"/>
        </w:rPr>
        <w:t xml:space="preserve">may </w:t>
      </w:r>
      <w:r w:rsidR="00085A7E">
        <w:rPr>
          <w:rFonts w:cs="Calibri"/>
        </w:rPr>
        <w:t xml:space="preserve">have to cease when the licence expires. </w:t>
      </w:r>
      <w:r w:rsidR="00E97CE4">
        <w:rPr>
          <w:rFonts w:cs="Calibri"/>
        </w:rPr>
        <w:t xml:space="preserve"> Accordingly advisory note BL will be applied to all licences authorising the operation of wireless audio devices</w:t>
      </w:r>
      <w:r w:rsidR="00085A7E">
        <w:rPr>
          <w:rFonts w:cs="Calibri"/>
        </w:rPr>
        <w:t xml:space="preserve"> </w:t>
      </w:r>
      <w:r w:rsidR="00E97CE4">
        <w:rPr>
          <w:rFonts w:cs="Calibri"/>
        </w:rPr>
        <w:t xml:space="preserve">in the bands 694-703MHz, 748-758 MHz and 803-820 </w:t>
      </w:r>
      <w:proofErr w:type="spellStart"/>
      <w:r w:rsidR="00E97CE4">
        <w:rPr>
          <w:rFonts w:cs="Calibri"/>
        </w:rPr>
        <w:t>MHz.</w:t>
      </w:r>
      <w:proofErr w:type="spellEnd"/>
      <w:r w:rsidR="00E97CE4">
        <w:rPr>
          <w:rFonts w:cs="Calibri"/>
        </w:rPr>
        <w:t xml:space="preserve">  Advisory note BL states:</w:t>
      </w:r>
    </w:p>
    <w:p w:rsidR="00085A7E" w:rsidRDefault="00E97CE4" w:rsidP="008B38DF">
      <w:pPr>
        <w:ind w:left="576"/>
        <w:rPr>
          <w:rFonts w:cs="Calibri"/>
          <w:snapToGrid w:val="0"/>
          <w:lang w:val="en-AU" w:eastAsia="en-US"/>
        </w:rPr>
      </w:pPr>
      <w:r w:rsidRPr="008D7997">
        <w:rPr>
          <w:rFonts w:cs="Calibri"/>
          <w:i/>
          <w:szCs w:val="24"/>
        </w:rPr>
        <w:t xml:space="preserve">This </w:t>
      </w:r>
      <w:r w:rsidRPr="00671D06">
        <w:rPr>
          <w:rFonts w:cs="Calibri"/>
          <w:i/>
          <w:szCs w:val="24"/>
        </w:rPr>
        <w:t xml:space="preserve">frequency </w:t>
      </w:r>
      <w:r>
        <w:rPr>
          <w:rFonts w:cs="Calibri"/>
          <w:i/>
          <w:szCs w:val="24"/>
        </w:rPr>
        <w:t>b</w:t>
      </w:r>
      <w:r w:rsidRPr="008D7997">
        <w:rPr>
          <w:rFonts w:cs="Calibri"/>
          <w:i/>
          <w:szCs w:val="24"/>
        </w:rPr>
        <w:t>and is currently under review to accommodate changes in technology. This review may lead to a requirement to change frequency or to cease transmission</w:t>
      </w:r>
    </w:p>
    <w:p w:rsidR="00085A7E" w:rsidRPr="001117C9" w:rsidRDefault="00085A7E" w:rsidP="00A45B3D">
      <w:pPr>
        <w:rPr>
          <w:rFonts w:cs="Calibri"/>
          <w:snapToGrid w:val="0"/>
          <w:lang w:val="en-AU" w:eastAsia="en-US"/>
        </w:rPr>
      </w:pPr>
    </w:p>
    <w:p w:rsidR="00A45B3D" w:rsidRPr="001117C9" w:rsidRDefault="00A45B3D" w:rsidP="00A45B3D">
      <w:pPr>
        <w:pStyle w:val="Heading2"/>
        <w:rPr>
          <w:lang w:val="en-AU"/>
        </w:rPr>
      </w:pPr>
      <w:bookmarkStart w:id="40" w:name="_Toc402794166"/>
      <w:r w:rsidRPr="001117C9">
        <w:rPr>
          <w:lang w:val="en-AU"/>
        </w:rPr>
        <w:t>Standards</w:t>
      </w:r>
      <w:bookmarkEnd w:id="40"/>
      <w:r w:rsidRPr="001117C9">
        <w:rPr>
          <w:lang w:val="en-AU"/>
        </w:rPr>
        <w:t xml:space="preserve"> </w:t>
      </w:r>
    </w:p>
    <w:p w:rsidR="00D963C4" w:rsidRDefault="00D963C4" w:rsidP="00A45B3D">
      <w:r>
        <w:t>A wireless audio device operated under an apparatus licence must comply with the relevant ACMA standard or standards applicable to the device on its device compliance day, as in force on that day unless:</w:t>
      </w:r>
    </w:p>
    <w:p w:rsidR="006A2CA8" w:rsidRPr="006A2CA8" w:rsidRDefault="006A2CA8" w:rsidP="006A2CA8">
      <w:pPr>
        <w:ind w:left="709" w:hanging="709"/>
        <w:rPr>
          <w:lang w:val="en-AU"/>
        </w:rPr>
      </w:pPr>
      <w:r w:rsidRPr="006A2CA8">
        <w:rPr>
          <w:lang w:val="en-AU"/>
        </w:rPr>
        <w:t>(a)</w:t>
      </w:r>
      <w:r w:rsidRPr="006A2CA8">
        <w:rPr>
          <w:lang w:val="en-AU"/>
        </w:rPr>
        <w:tab/>
        <w:t>the person operates the transmitter in accordance with a permit</w:t>
      </w:r>
      <w:r>
        <w:rPr>
          <w:lang w:val="en-AU"/>
        </w:rPr>
        <w:t xml:space="preserve"> (for non-standard transmitter)</w:t>
      </w:r>
      <w:r w:rsidRPr="006A2CA8">
        <w:rPr>
          <w:lang w:val="en-AU"/>
        </w:rPr>
        <w:t>; or</w:t>
      </w:r>
    </w:p>
    <w:p w:rsidR="006A2CA8" w:rsidRPr="006A2CA8" w:rsidRDefault="006A2CA8" w:rsidP="006A2CA8">
      <w:pPr>
        <w:rPr>
          <w:lang w:val="en-AU"/>
        </w:rPr>
      </w:pPr>
      <w:r w:rsidRPr="006A2CA8">
        <w:rPr>
          <w:lang w:val="en-AU"/>
        </w:rPr>
        <w:t>(b)</w:t>
      </w:r>
      <w:r w:rsidRPr="006A2CA8">
        <w:rPr>
          <w:lang w:val="en-AU"/>
        </w:rPr>
        <w:tab/>
        <w:t>the transmitter:</w:t>
      </w:r>
    </w:p>
    <w:p w:rsidR="006A2CA8" w:rsidRPr="006A2CA8" w:rsidRDefault="006A2CA8" w:rsidP="006A2CA8">
      <w:pPr>
        <w:ind w:left="720"/>
        <w:rPr>
          <w:lang w:val="en-AU"/>
        </w:rPr>
      </w:pPr>
      <w:r w:rsidRPr="006A2CA8">
        <w:rPr>
          <w:lang w:val="en-AU"/>
        </w:rPr>
        <w:t>(</w:t>
      </w:r>
      <w:proofErr w:type="spellStart"/>
      <w:r w:rsidRPr="006A2CA8">
        <w:rPr>
          <w:lang w:val="en-AU"/>
        </w:rPr>
        <w:t>i</w:t>
      </w:r>
      <w:proofErr w:type="spellEnd"/>
      <w:r w:rsidRPr="006A2CA8">
        <w:rPr>
          <w:lang w:val="en-AU"/>
        </w:rPr>
        <w:t>)</w:t>
      </w:r>
      <w:r w:rsidRPr="006A2CA8">
        <w:rPr>
          <w:lang w:val="en-AU"/>
        </w:rPr>
        <w:tab/>
        <w:t>is imported into Australia solely for use in connection with a significant event;</w:t>
      </w:r>
      <w:r w:rsidRPr="006A2CA8">
        <w:rPr>
          <w:rStyle w:val="FootnoteReference"/>
        </w:rPr>
        <w:t xml:space="preserve"> </w:t>
      </w:r>
      <w:r w:rsidRPr="001B2F31">
        <w:rPr>
          <w:rStyle w:val="FootnoteReference"/>
        </w:rPr>
        <w:footnoteReference w:id="16"/>
      </w:r>
      <w:r w:rsidRPr="001B2F31">
        <w:t>.</w:t>
      </w:r>
    </w:p>
    <w:p w:rsidR="006A2CA8" w:rsidRPr="006A2CA8" w:rsidRDefault="006A2CA8" w:rsidP="006A2CA8">
      <w:pPr>
        <w:ind w:left="1418" w:hanging="698"/>
        <w:rPr>
          <w:lang w:val="en-AU"/>
        </w:rPr>
      </w:pPr>
      <w:r>
        <w:rPr>
          <w:lang w:val="en-AU"/>
        </w:rPr>
        <w:t>(ii)</w:t>
      </w:r>
      <w:r>
        <w:rPr>
          <w:lang w:val="en-AU"/>
        </w:rPr>
        <w:tab/>
      </w:r>
      <w:r w:rsidRPr="006A2CA8">
        <w:rPr>
          <w:lang w:val="en-AU"/>
        </w:rPr>
        <w:t>if there is a requirement that the transmitter is tested or inspected before it is used in Australia – meets the requirement;</w:t>
      </w:r>
    </w:p>
    <w:p w:rsidR="006A2CA8" w:rsidRPr="006A2CA8" w:rsidRDefault="006A2CA8" w:rsidP="006A2CA8">
      <w:pPr>
        <w:ind w:left="1418" w:hanging="698"/>
        <w:rPr>
          <w:lang w:val="en-AU"/>
        </w:rPr>
      </w:pPr>
      <w:r w:rsidRPr="006A2CA8">
        <w:rPr>
          <w:lang w:val="en-AU"/>
        </w:rPr>
        <w:t>(iii)</w:t>
      </w:r>
      <w:r w:rsidRPr="006A2CA8">
        <w:rPr>
          <w:lang w:val="en-AU"/>
        </w:rPr>
        <w:tab/>
        <w:t>if there is a condition or requirement imposed on the use of the transmitter in Australia – complies with that condition or requirement;</w:t>
      </w:r>
    </w:p>
    <w:p w:rsidR="006A2CA8" w:rsidRPr="006A2CA8" w:rsidRDefault="006A2CA8" w:rsidP="006A2CA8">
      <w:pPr>
        <w:ind w:left="720"/>
        <w:rPr>
          <w:lang w:val="en-AU"/>
        </w:rPr>
      </w:pPr>
      <w:r w:rsidRPr="006A2CA8">
        <w:rPr>
          <w:lang w:val="en-AU"/>
        </w:rPr>
        <w:t>(iv)</w:t>
      </w:r>
      <w:r w:rsidRPr="006A2CA8">
        <w:rPr>
          <w:lang w:val="en-AU"/>
        </w:rPr>
        <w:tab/>
        <w:t>is used in Australia only at the location of the significant event; and</w:t>
      </w:r>
    </w:p>
    <w:p w:rsidR="006A2CA8" w:rsidRPr="006A2CA8" w:rsidRDefault="006A2CA8" w:rsidP="006A2CA8">
      <w:pPr>
        <w:ind w:left="720"/>
        <w:rPr>
          <w:lang w:val="en-AU"/>
        </w:rPr>
      </w:pPr>
      <w:r w:rsidRPr="006A2CA8">
        <w:rPr>
          <w:lang w:val="en-AU"/>
        </w:rPr>
        <w:t>(v)</w:t>
      </w:r>
      <w:r w:rsidRPr="006A2CA8">
        <w:rPr>
          <w:lang w:val="en-AU"/>
        </w:rPr>
        <w:tab/>
        <w:t>is used in Australia only for the duration of the significant event.</w:t>
      </w:r>
    </w:p>
    <w:p w:rsidR="006A2CA8" w:rsidRDefault="006A2CA8" w:rsidP="006A2CA8"/>
    <w:p w:rsidR="00D963C4" w:rsidRPr="001B2F31" w:rsidRDefault="00D963C4" w:rsidP="00992E74">
      <w:pPr>
        <w:pStyle w:val="ListParagraph"/>
        <w:ind w:left="0"/>
        <w:rPr>
          <w:sz w:val="24"/>
          <w:szCs w:val="24"/>
        </w:rPr>
      </w:pPr>
      <w:r w:rsidRPr="001B2F31">
        <w:rPr>
          <w:sz w:val="24"/>
          <w:szCs w:val="24"/>
        </w:rPr>
        <w:t>Applicable standards include:</w:t>
      </w:r>
    </w:p>
    <w:p w:rsidR="005A57F9" w:rsidRPr="001B2F31" w:rsidRDefault="00D963C4" w:rsidP="00D963C4">
      <w:pPr>
        <w:pStyle w:val="ListParagraph"/>
        <w:numPr>
          <w:ilvl w:val="0"/>
          <w:numId w:val="24"/>
        </w:numPr>
        <w:rPr>
          <w:rStyle w:val="Hyperlink"/>
          <w:rFonts w:cs="Calibri"/>
          <w:color w:val="auto"/>
          <w:sz w:val="24"/>
          <w:szCs w:val="24"/>
          <w:u w:val="none"/>
        </w:rPr>
      </w:pPr>
      <w:r w:rsidRPr="001B2F31">
        <w:rPr>
          <w:sz w:val="24"/>
          <w:szCs w:val="24"/>
        </w:rPr>
        <w:t xml:space="preserve">The </w:t>
      </w:r>
      <w:r w:rsidR="005A57F9" w:rsidRPr="00C97FF4">
        <w:rPr>
          <w:sz w:val="24"/>
          <w:szCs w:val="24"/>
        </w:rPr>
        <w:t>Radiocommunications (Electromagnetic Radiation-Human Exposure) Standard 2014</w:t>
      </w:r>
      <w:r w:rsidR="00C97FF4">
        <w:rPr>
          <w:rStyle w:val="FootnoteReference"/>
          <w:sz w:val="24"/>
          <w:szCs w:val="24"/>
        </w:rPr>
        <w:footnoteReference w:id="17"/>
      </w:r>
      <w:r w:rsidRPr="001B2F31">
        <w:rPr>
          <w:rStyle w:val="Hyperlink"/>
          <w:sz w:val="24"/>
          <w:szCs w:val="24"/>
        </w:rPr>
        <w:t>;</w:t>
      </w:r>
    </w:p>
    <w:p w:rsidR="00D963C4" w:rsidRPr="001B2F31" w:rsidRDefault="00D963C4" w:rsidP="00D963C4">
      <w:pPr>
        <w:pStyle w:val="ListParagraph"/>
        <w:numPr>
          <w:ilvl w:val="0"/>
          <w:numId w:val="24"/>
        </w:numPr>
        <w:rPr>
          <w:rFonts w:cs="Calibri"/>
          <w:sz w:val="24"/>
          <w:szCs w:val="24"/>
        </w:rPr>
      </w:pPr>
      <w:r w:rsidRPr="001B2F31">
        <w:rPr>
          <w:rFonts w:cs="Calibri"/>
          <w:sz w:val="24"/>
          <w:szCs w:val="24"/>
        </w:rPr>
        <w:t>The Ra</w:t>
      </w:r>
      <w:r w:rsidR="00992E74" w:rsidRPr="001B2F31">
        <w:rPr>
          <w:rFonts w:cs="Calibri"/>
          <w:sz w:val="24"/>
          <w:szCs w:val="24"/>
        </w:rPr>
        <w:t>diocommunications (Short Range Devices Standard)</w:t>
      </w:r>
      <w:r w:rsidR="00C97FF4">
        <w:rPr>
          <w:rFonts w:cs="Calibri"/>
          <w:sz w:val="24"/>
          <w:szCs w:val="24"/>
        </w:rPr>
        <w:t xml:space="preserve"> 2014</w:t>
      </w:r>
      <w:r w:rsidR="00C97FF4">
        <w:rPr>
          <w:rStyle w:val="FootnoteReference"/>
          <w:rFonts w:cs="Calibri"/>
          <w:sz w:val="24"/>
          <w:szCs w:val="24"/>
        </w:rPr>
        <w:footnoteReference w:id="18"/>
      </w:r>
      <w:r w:rsidR="00992E74" w:rsidRPr="001B2F31">
        <w:rPr>
          <w:rFonts w:cs="Calibri"/>
          <w:sz w:val="24"/>
          <w:szCs w:val="24"/>
        </w:rPr>
        <w:t xml:space="preserve"> unless the technical parameters of wireless audio device do not appear in the standard. </w:t>
      </w:r>
    </w:p>
    <w:p w:rsidR="005A57F9" w:rsidRDefault="005A57F9" w:rsidP="00A45B3D">
      <w:pPr>
        <w:rPr>
          <w:rFonts w:cs="Calibri"/>
          <w:lang w:val="en-AU"/>
        </w:rPr>
      </w:pPr>
    </w:p>
    <w:p w:rsidR="00A45B3D" w:rsidRPr="001117C9" w:rsidRDefault="00C97FF4" w:rsidP="00A45B3D">
      <w:pPr>
        <w:rPr>
          <w:rFonts w:cs="Calibri"/>
          <w:lang w:val="en-AU"/>
        </w:rPr>
      </w:pPr>
      <w:r>
        <w:rPr>
          <w:rFonts w:cs="Calibri"/>
          <w:lang w:val="en-AU"/>
        </w:rPr>
        <w:t>More information on ACMA standards is on the ACMA website</w:t>
      </w:r>
      <w:r>
        <w:rPr>
          <w:rStyle w:val="FootnoteReference"/>
          <w:rFonts w:cs="Calibri"/>
          <w:lang w:val="en-AU"/>
        </w:rPr>
        <w:footnoteReference w:id="19"/>
      </w:r>
      <w:r>
        <w:rPr>
          <w:rFonts w:cs="Calibri"/>
          <w:lang w:val="en-AU"/>
        </w:rPr>
        <w:t xml:space="preserve">.  </w:t>
      </w:r>
      <w:r w:rsidR="00992E74">
        <w:rPr>
          <w:rFonts w:cs="Calibri"/>
          <w:lang w:val="en-AU"/>
        </w:rPr>
        <w:t xml:space="preserve">Where there is no applicable </w:t>
      </w:r>
      <w:r w:rsidR="00CC419F">
        <w:rPr>
          <w:rFonts w:cs="Calibri"/>
          <w:lang w:val="en-AU"/>
        </w:rPr>
        <w:t xml:space="preserve">ACMA </w:t>
      </w:r>
      <w:r w:rsidR="00992E74">
        <w:rPr>
          <w:rFonts w:cs="Calibri"/>
          <w:lang w:val="en-AU"/>
        </w:rPr>
        <w:t xml:space="preserve">radiocommunications performance standard, </w:t>
      </w:r>
      <w:r w:rsidR="00A45B3D" w:rsidRPr="001117C9">
        <w:rPr>
          <w:rFonts w:cs="Calibri"/>
          <w:lang w:val="en-AU"/>
        </w:rPr>
        <w:t>wireless audio devices</w:t>
      </w:r>
      <w:r w:rsidR="00992E74">
        <w:rPr>
          <w:rFonts w:cs="Calibri"/>
          <w:lang w:val="en-AU"/>
        </w:rPr>
        <w:t xml:space="preserve"> are to meet relevant industry standards such as </w:t>
      </w:r>
      <w:proofErr w:type="spellStart"/>
      <w:r w:rsidR="00992E74">
        <w:rPr>
          <w:rFonts w:cs="Calibri"/>
          <w:lang w:val="en-AU"/>
        </w:rPr>
        <w:t>ETSI</w:t>
      </w:r>
      <w:proofErr w:type="spellEnd"/>
      <w:r w:rsidR="00992E74">
        <w:rPr>
          <w:rFonts w:cs="Calibri"/>
          <w:lang w:val="en-AU"/>
        </w:rPr>
        <w:t xml:space="preserve"> standards EN 301 840, EN 301 357 or EN 300 422</w:t>
      </w:r>
      <w:r w:rsidR="00FB1ADD">
        <w:rPr>
          <w:rStyle w:val="FootnoteReference"/>
          <w:rFonts w:cs="Calibri"/>
          <w:lang w:val="en-AU"/>
        </w:rPr>
        <w:footnoteReference w:id="20"/>
      </w:r>
      <w:r w:rsidR="00992E74">
        <w:rPr>
          <w:rFonts w:cs="Calibri"/>
          <w:lang w:val="en-AU"/>
        </w:rPr>
        <w:t>.</w:t>
      </w:r>
    </w:p>
    <w:p w:rsidR="004F4175" w:rsidRPr="001117C9" w:rsidRDefault="004F4175" w:rsidP="00D62CDA">
      <w:pPr>
        <w:rPr>
          <w:rFonts w:cs="Calibri"/>
          <w:lang w:val="en-AU"/>
        </w:rPr>
      </w:pPr>
    </w:p>
    <w:p w:rsidR="001A67A3" w:rsidRDefault="001A67A3" w:rsidP="001A67A3">
      <w:pPr>
        <w:pStyle w:val="Heading2"/>
        <w:rPr>
          <w:lang w:val="en-AU"/>
        </w:rPr>
      </w:pPr>
      <w:bookmarkStart w:id="41" w:name="_Toc402794167"/>
      <w:r>
        <w:rPr>
          <w:lang w:val="en-AU"/>
        </w:rPr>
        <w:t>Coordination, sharing and interference managements principles</w:t>
      </w:r>
      <w:bookmarkEnd w:id="41"/>
      <w:r>
        <w:rPr>
          <w:lang w:val="en-AU"/>
        </w:rPr>
        <w:t xml:space="preserve"> </w:t>
      </w:r>
    </w:p>
    <w:p w:rsidR="001A67A3" w:rsidRDefault="001A67A3" w:rsidP="001A67A3">
      <w:pPr>
        <w:rPr>
          <w:rFonts w:cs="Calibri"/>
          <w:lang w:val="en-AU"/>
        </w:rPr>
      </w:pPr>
      <w:r>
        <w:rPr>
          <w:rFonts w:cs="Calibri"/>
          <w:lang w:val="en-AU"/>
        </w:rPr>
        <w:t xml:space="preserve">Wireless audio devices operate on the condition that </w:t>
      </w:r>
      <w:r w:rsidR="00C97FF4">
        <w:rPr>
          <w:rFonts w:cs="Calibri"/>
          <w:lang w:val="en-AU"/>
        </w:rPr>
        <w:t xml:space="preserve">they </w:t>
      </w:r>
      <w:r>
        <w:rPr>
          <w:rFonts w:cs="Calibri"/>
          <w:lang w:val="en-AU"/>
        </w:rPr>
        <w:t>do not cause interference to other services and are not afforded protection from interference caused by other services.  This requirement is implemented by the following coordination and interference management principles.</w:t>
      </w:r>
    </w:p>
    <w:p w:rsidR="001A67A3" w:rsidRDefault="001A67A3" w:rsidP="001A67A3">
      <w:pPr>
        <w:rPr>
          <w:rFonts w:cs="Calibri"/>
          <w:lang w:val="en-AU"/>
        </w:rPr>
      </w:pPr>
    </w:p>
    <w:p w:rsidR="001A67A3" w:rsidRDefault="001A67A3" w:rsidP="001A67A3">
      <w:pPr>
        <w:rPr>
          <w:rFonts w:cs="Calibri"/>
        </w:rPr>
      </w:pPr>
      <w:r w:rsidRPr="00DA5458">
        <w:rPr>
          <w:rFonts w:cs="Calibri"/>
          <w:u w:val="single"/>
        </w:rPr>
        <w:t>Class licensed devices</w:t>
      </w:r>
      <w:r w:rsidRPr="00DA5458">
        <w:rPr>
          <w:rFonts w:cs="Calibri"/>
        </w:rPr>
        <w:t xml:space="preserve">: </w:t>
      </w:r>
    </w:p>
    <w:p w:rsidR="001A67A3" w:rsidRDefault="001A67A3" w:rsidP="001A67A3">
      <w:pPr>
        <w:rPr>
          <w:rFonts w:cs="Calibri"/>
        </w:rPr>
      </w:pPr>
      <w:r w:rsidRPr="00DA5458">
        <w:rPr>
          <w:rFonts w:cs="Calibri"/>
        </w:rPr>
        <w:t xml:space="preserve">It is the responsibility of the licensee to assess and manage </w:t>
      </w:r>
      <w:r w:rsidR="00FB1ADD">
        <w:rPr>
          <w:rFonts w:cs="Calibri"/>
        </w:rPr>
        <w:t xml:space="preserve">the </w:t>
      </w:r>
      <w:r w:rsidRPr="00DA5458">
        <w:rPr>
          <w:rFonts w:cs="Calibri"/>
        </w:rPr>
        <w:t>potential for interference with</w:t>
      </w:r>
      <w:r w:rsidR="008024B4">
        <w:rPr>
          <w:rFonts w:cs="Calibri"/>
        </w:rPr>
        <w:t xml:space="preserve"> other</w:t>
      </w:r>
      <w:r w:rsidRPr="00DA5458">
        <w:rPr>
          <w:rFonts w:cs="Calibri"/>
        </w:rPr>
        <w:t xml:space="preserve"> class licensed devices including wireless audio devices operating under the </w:t>
      </w:r>
      <w:proofErr w:type="spellStart"/>
      <w:r w:rsidRPr="00DA5458">
        <w:rPr>
          <w:rFonts w:cs="Calibri"/>
        </w:rPr>
        <w:t>LIPD</w:t>
      </w:r>
      <w:proofErr w:type="spellEnd"/>
      <w:r w:rsidRPr="00DA5458">
        <w:rPr>
          <w:rFonts w:cs="Calibri"/>
        </w:rPr>
        <w:t xml:space="preserve"> class licence</w:t>
      </w:r>
      <w:r>
        <w:rPr>
          <w:rFonts w:cs="Calibri"/>
        </w:rPr>
        <w:t>.</w:t>
      </w:r>
    </w:p>
    <w:p w:rsidR="001A67A3" w:rsidRPr="00DA5458" w:rsidRDefault="001A67A3" w:rsidP="001A67A3">
      <w:pPr>
        <w:rPr>
          <w:rFonts w:cs="Calibri"/>
        </w:rPr>
      </w:pPr>
    </w:p>
    <w:p w:rsidR="001A67A3" w:rsidRDefault="001A67A3" w:rsidP="001A67A3">
      <w:pPr>
        <w:rPr>
          <w:rFonts w:cs="Calibri"/>
        </w:rPr>
      </w:pPr>
      <w:r w:rsidRPr="00DA5458">
        <w:rPr>
          <w:rFonts w:cs="Calibri"/>
          <w:u w:val="single"/>
        </w:rPr>
        <w:t>Wireless audio devices</w:t>
      </w:r>
      <w:r w:rsidRPr="00DA5458">
        <w:rPr>
          <w:rFonts w:cs="Calibri"/>
        </w:rPr>
        <w:t xml:space="preserve">: </w:t>
      </w:r>
    </w:p>
    <w:p w:rsidR="001A67A3" w:rsidRDefault="001A67A3" w:rsidP="001A67A3">
      <w:pPr>
        <w:rPr>
          <w:rFonts w:cs="Calibri"/>
        </w:rPr>
      </w:pPr>
      <w:r w:rsidRPr="00DA5458">
        <w:rPr>
          <w:rFonts w:cs="Calibri"/>
        </w:rPr>
        <w:t xml:space="preserve">Coordination between wireless audio devices is not considered by the ACMA and </w:t>
      </w:r>
      <w:r>
        <w:rPr>
          <w:rFonts w:cs="Calibri"/>
        </w:rPr>
        <w:t xml:space="preserve">it is </w:t>
      </w:r>
      <w:r w:rsidRPr="00DA5458">
        <w:rPr>
          <w:rFonts w:cs="Calibri"/>
        </w:rPr>
        <w:t xml:space="preserve">a matter for the operators of wireless audio devices to manage, this includes devices operating under the </w:t>
      </w:r>
      <w:proofErr w:type="spellStart"/>
      <w:r w:rsidRPr="00DA5458">
        <w:rPr>
          <w:rFonts w:cs="Calibri"/>
        </w:rPr>
        <w:t>LIPD</w:t>
      </w:r>
      <w:proofErr w:type="spellEnd"/>
      <w:r w:rsidRPr="00DA5458">
        <w:rPr>
          <w:rFonts w:cs="Calibri"/>
        </w:rPr>
        <w:t xml:space="preserve"> class licence.  </w:t>
      </w:r>
    </w:p>
    <w:p w:rsidR="001A67A3" w:rsidRDefault="001A67A3" w:rsidP="001A67A3">
      <w:pPr>
        <w:rPr>
          <w:rFonts w:cs="Calibri"/>
        </w:rPr>
      </w:pPr>
    </w:p>
    <w:p w:rsidR="001A67A3" w:rsidRPr="00DA5458" w:rsidRDefault="001A67A3" w:rsidP="001A67A3">
      <w:pPr>
        <w:rPr>
          <w:rFonts w:cs="Calibri"/>
        </w:rPr>
      </w:pPr>
      <w:r w:rsidRPr="00DA5458">
        <w:rPr>
          <w:rFonts w:cs="Calibri"/>
        </w:rPr>
        <w:t xml:space="preserve">Wireless audio devices operate on a shared basis and the ACMA would not refuse to issue a licence </w:t>
      </w:r>
      <w:r>
        <w:rPr>
          <w:rFonts w:cs="Calibri"/>
        </w:rPr>
        <w:t>because of an existing licence for a wireless audio device.</w:t>
      </w:r>
      <w:r w:rsidR="000918B5">
        <w:rPr>
          <w:rFonts w:cs="Calibri"/>
        </w:rPr>
        <w:t xml:space="preserve"> </w:t>
      </w:r>
      <w:r>
        <w:rPr>
          <w:rFonts w:cs="Calibri"/>
        </w:rPr>
        <w:t xml:space="preserve"> That is, there could be multiple licences authorising operation at one location and it is a matter for licensees to self-manage usage. </w:t>
      </w:r>
    </w:p>
    <w:p w:rsidR="001A67A3" w:rsidRDefault="001A67A3" w:rsidP="001A67A3">
      <w:pPr>
        <w:rPr>
          <w:rFonts w:cs="Calibri"/>
          <w:lang w:val="en-AU"/>
        </w:rPr>
      </w:pPr>
    </w:p>
    <w:p w:rsidR="001A67A3" w:rsidRDefault="001A67A3" w:rsidP="001A67A3">
      <w:pPr>
        <w:rPr>
          <w:rFonts w:cs="Calibri"/>
        </w:rPr>
      </w:pPr>
      <w:r>
        <w:rPr>
          <w:rFonts w:cs="Calibri"/>
        </w:rPr>
        <w:t>Coordination requirements (with other services) require</w:t>
      </w:r>
      <w:r w:rsidR="00EA4388">
        <w:rPr>
          <w:rFonts w:cs="Calibri"/>
        </w:rPr>
        <w:t>s</w:t>
      </w:r>
      <w:r>
        <w:rPr>
          <w:rFonts w:cs="Calibri"/>
        </w:rPr>
        <w:t xml:space="preserve"> knowledge of where wireless audio devices will be operated and hence wireless audio devices will only be licensed to operate at a specific location.  Use of area wide licences (where individual operating locations are not recorded on the licence) is not supported as </w:t>
      </w:r>
      <w:r w:rsidR="00C7035F">
        <w:rPr>
          <w:rFonts w:cs="Calibri"/>
        </w:rPr>
        <w:t>this</w:t>
      </w:r>
      <w:r>
        <w:rPr>
          <w:rFonts w:cs="Calibri"/>
        </w:rPr>
        <w:t xml:space="preserve"> licensing approach does not support coordination with other services or licensee self-management of wireless audio device usage.</w:t>
      </w:r>
    </w:p>
    <w:p w:rsidR="001A67A3" w:rsidRDefault="001A67A3" w:rsidP="001A67A3">
      <w:pPr>
        <w:rPr>
          <w:rFonts w:cs="Calibri"/>
        </w:rPr>
      </w:pPr>
    </w:p>
    <w:p w:rsidR="001A67A3" w:rsidRPr="00113CA3" w:rsidRDefault="001A67A3" w:rsidP="001A67A3">
      <w:pPr>
        <w:rPr>
          <w:rFonts w:cs="Calibri"/>
          <w:u w:val="single"/>
        </w:rPr>
      </w:pPr>
      <w:r w:rsidRPr="00113CA3">
        <w:rPr>
          <w:rFonts w:cs="Calibri"/>
          <w:u w:val="single"/>
        </w:rPr>
        <w:t xml:space="preserve">Other </w:t>
      </w:r>
      <w:r>
        <w:rPr>
          <w:rFonts w:cs="Calibri"/>
          <w:u w:val="single"/>
        </w:rPr>
        <w:t>apparatus and spectrum licensed devices:</w:t>
      </w:r>
    </w:p>
    <w:p w:rsidR="001A67A3" w:rsidRDefault="00C7035F" w:rsidP="001A67A3">
      <w:pPr>
        <w:rPr>
          <w:rFonts w:cs="Calibri"/>
          <w:lang w:val="en-AU"/>
        </w:rPr>
      </w:pPr>
      <w:r>
        <w:rPr>
          <w:rFonts w:cs="Calibri"/>
        </w:rPr>
        <w:t>I</w:t>
      </w:r>
      <w:r w:rsidR="001A67A3">
        <w:rPr>
          <w:rFonts w:cs="Calibri"/>
        </w:rPr>
        <w:t>f interference is caused to another apparatus or spectrum licenced service operating in accordance with conditions of licence and associated technical requirements, then steps will be need to be taken by the licensee (of the wireless audio device) to mitigate the interference caused.  If the interference cannot be resolved</w:t>
      </w:r>
      <w:r>
        <w:rPr>
          <w:rFonts w:cs="Calibri"/>
        </w:rPr>
        <w:t>,</w:t>
      </w:r>
      <w:r w:rsidR="001A67A3">
        <w:rPr>
          <w:rFonts w:cs="Calibri"/>
        </w:rPr>
        <w:t xml:space="preserve"> then the transmitter(s) causing the interference might need to be switched off.  This requirement does not apply if the other licensed service is for operation of wireless audio devices.</w:t>
      </w:r>
    </w:p>
    <w:p w:rsidR="00B20C26" w:rsidRPr="001117C9" w:rsidRDefault="00B20C26" w:rsidP="00D62CDA">
      <w:pPr>
        <w:rPr>
          <w:rFonts w:cs="Calibri"/>
          <w:lang w:val="en-AU"/>
        </w:rPr>
      </w:pPr>
    </w:p>
    <w:p w:rsidR="00437F68" w:rsidRPr="00437F68" w:rsidRDefault="00C174B0" w:rsidP="00437F68">
      <w:pPr>
        <w:pStyle w:val="Heading1"/>
        <w:tabs>
          <w:tab w:val="num" w:pos="851"/>
        </w:tabs>
        <w:rPr>
          <w:lang w:val="en-AU"/>
        </w:rPr>
      </w:pPr>
      <w:bookmarkStart w:id="42" w:name="_Toc397498936"/>
      <w:bookmarkStart w:id="43" w:name="_Toc402794168"/>
      <w:bookmarkEnd w:id="42"/>
      <w:r w:rsidRPr="001117C9">
        <w:rPr>
          <w:rFonts w:cs="Calibri"/>
          <w:lang w:val="en-AU"/>
        </w:rPr>
        <w:t>Coordination criteria</w:t>
      </w:r>
      <w:bookmarkEnd w:id="43"/>
    </w:p>
    <w:p w:rsidR="00094E0C" w:rsidRPr="001117C9" w:rsidRDefault="00C872C8" w:rsidP="00EA7152">
      <w:pPr>
        <w:pStyle w:val="Heading2"/>
        <w:rPr>
          <w:lang w:val="en-AU"/>
        </w:rPr>
      </w:pPr>
      <w:bookmarkStart w:id="44" w:name="_Toc402794169"/>
      <w:r w:rsidRPr="001117C9">
        <w:rPr>
          <w:lang w:val="en-AU"/>
        </w:rPr>
        <w:t>520-694 MHz</w:t>
      </w:r>
      <w:bookmarkEnd w:id="44"/>
      <w:r w:rsidRPr="001117C9">
        <w:rPr>
          <w:lang w:val="en-AU"/>
        </w:rPr>
        <w:t xml:space="preserve"> </w:t>
      </w:r>
    </w:p>
    <w:p w:rsidR="0083356B" w:rsidRPr="001117C9" w:rsidRDefault="00D75DD4">
      <w:pPr>
        <w:rPr>
          <w:rFonts w:cs="Calibri"/>
          <w:lang w:val="en-AU"/>
        </w:rPr>
      </w:pPr>
      <w:r w:rsidRPr="001117C9">
        <w:rPr>
          <w:rFonts w:cs="Calibri"/>
          <w:lang w:val="en-AU"/>
        </w:rPr>
        <w:t>The coordination criteria f</w:t>
      </w:r>
      <w:r w:rsidR="00C872C8" w:rsidRPr="001117C9">
        <w:rPr>
          <w:rFonts w:cs="Calibri"/>
          <w:lang w:val="en-AU"/>
        </w:rPr>
        <w:t xml:space="preserve">or wireless audio devices operating in the frequency range 520-694 MHz </w:t>
      </w:r>
      <w:r w:rsidR="0083356B" w:rsidRPr="001117C9">
        <w:rPr>
          <w:rFonts w:cs="Calibri"/>
          <w:lang w:val="en-AU"/>
        </w:rPr>
        <w:t xml:space="preserve">is whether interference would be caused to the reception of licensed broadcast television services operating in </w:t>
      </w:r>
      <w:r w:rsidRPr="001117C9">
        <w:rPr>
          <w:rFonts w:cs="Calibri"/>
          <w:lang w:val="en-AU"/>
        </w:rPr>
        <w:t>the same band</w:t>
      </w:r>
      <w:r w:rsidR="0083356B" w:rsidRPr="001117C9">
        <w:rPr>
          <w:rFonts w:cs="Calibri"/>
          <w:lang w:val="en-AU"/>
        </w:rPr>
        <w:t xml:space="preserve">.  This criteria is deemed to be </w:t>
      </w:r>
      <w:r w:rsidRPr="001117C9">
        <w:rPr>
          <w:rFonts w:cs="Calibri"/>
          <w:lang w:val="en-AU"/>
        </w:rPr>
        <w:t xml:space="preserve">successful </w:t>
      </w:r>
      <w:r w:rsidR="0083356B" w:rsidRPr="001117C9">
        <w:rPr>
          <w:rFonts w:cs="Calibri"/>
          <w:lang w:val="en-AU"/>
        </w:rPr>
        <w:t>if</w:t>
      </w:r>
      <w:r w:rsidR="00877ECE" w:rsidRPr="001117C9">
        <w:rPr>
          <w:rFonts w:cs="Calibri"/>
          <w:lang w:val="en-AU"/>
        </w:rPr>
        <w:t>:</w:t>
      </w:r>
    </w:p>
    <w:p w:rsidR="00C872C8" w:rsidRDefault="0083356B" w:rsidP="00C872C8">
      <w:pPr>
        <w:numPr>
          <w:ilvl w:val="0"/>
          <w:numId w:val="8"/>
        </w:numPr>
        <w:rPr>
          <w:rFonts w:cs="Calibri"/>
          <w:lang w:val="en-AU"/>
        </w:rPr>
      </w:pPr>
      <w:r w:rsidRPr="001117C9">
        <w:rPr>
          <w:rFonts w:cs="Calibri"/>
          <w:lang w:val="en-AU"/>
        </w:rPr>
        <w:t xml:space="preserve">the </w:t>
      </w:r>
      <w:r w:rsidR="00C872C8" w:rsidRPr="001117C9">
        <w:rPr>
          <w:rFonts w:cs="Calibri"/>
          <w:lang w:val="en-AU"/>
        </w:rPr>
        <w:t xml:space="preserve">operation of </w:t>
      </w:r>
      <w:r w:rsidR="00D75DD4" w:rsidRPr="001117C9">
        <w:rPr>
          <w:rFonts w:cs="Calibri"/>
          <w:lang w:val="en-AU"/>
        </w:rPr>
        <w:t xml:space="preserve">a </w:t>
      </w:r>
      <w:r w:rsidR="00C872C8" w:rsidRPr="001117C9">
        <w:rPr>
          <w:rFonts w:cs="Calibri"/>
          <w:lang w:val="en-AU"/>
        </w:rPr>
        <w:t xml:space="preserve">wireless audio devices would </w:t>
      </w:r>
      <w:r w:rsidRPr="001117C9">
        <w:rPr>
          <w:rFonts w:cs="Calibri"/>
          <w:lang w:val="en-AU"/>
        </w:rPr>
        <w:t>otherwise</w:t>
      </w:r>
      <w:r w:rsidR="00D75DD4" w:rsidRPr="001117C9">
        <w:rPr>
          <w:rFonts w:cs="Calibri"/>
          <w:lang w:val="en-AU"/>
        </w:rPr>
        <w:t xml:space="preserve"> be</w:t>
      </w:r>
      <w:r w:rsidRPr="001117C9">
        <w:rPr>
          <w:rFonts w:cs="Calibri"/>
          <w:lang w:val="en-AU"/>
        </w:rPr>
        <w:t xml:space="preserve"> </w:t>
      </w:r>
      <w:r w:rsidR="00C872C8" w:rsidRPr="001117C9">
        <w:rPr>
          <w:rFonts w:cs="Calibri"/>
          <w:lang w:val="en-AU"/>
        </w:rPr>
        <w:t xml:space="preserve">authorised by the </w:t>
      </w:r>
      <w:proofErr w:type="spellStart"/>
      <w:r w:rsidR="00C872C8" w:rsidRPr="001117C9">
        <w:rPr>
          <w:rFonts w:cs="Calibri"/>
          <w:lang w:val="en-AU"/>
        </w:rPr>
        <w:t>LIPD</w:t>
      </w:r>
      <w:proofErr w:type="spellEnd"/>
      <w:r w:rsidR="00C872C8" w:rsidRPr="001117C9">
        <w:rPr>
          <w:rFonts w:cs="Calibri"/>
          <w:lang w:val="en-AU"/>
        </w:rPr>
        <w:t xml:space="preserve"> class licence</w:t>
      </w:r>
      <w:r w:rsidR="00054C8E">
        <w:rPr>
          <w:rFonts w:cs="Calibri"/>
          <w:lang w:val="en-AU"/>
        </w:rPr>
        <w:t>; and/or</w:t>
      </w:r>
    </w:p>
    <w:p w:rsidR="0083356B" w:rsidRDefault="0083356B" w:rsidP="00C872C8">
      <w:pPr>
        <w:numPr>
          <w:ilvl w:val="0"/>
          <w:numId w:val="8"/>
        </w:numPr>
        <w:rPr>
          <w:rFonts w:cs="Calibri"/>
          <w:lang w:val="en-AU"/>
        </w:rPr>
      </w:pPr>
      <w:r w:rsidRPr="001117C9">
        <w:rPr>
          <w:rFonts w:cs="Calibri"/>
          <w:lang w:val="en-AU"/>
        </w:rPr>
        <w:t xml:space="preserve">the operation of the wireless audio devices </w:t>
      </w:r>
      <w:r w:rsidR="00CC419F">
        <w:rPr>
          <w:rFonts w:cs="Calibri"/>
          <w:lang w:val="en-AU"/>
        </w:rPr>
        <w:t xml:space="preserve">is in the coverage area of a co-channel broadcast television service and has </w:t>
      </w:r>
      <w:r w:rsidRPr="001117C9">
        <w:rPr>
          <w:rFonts w:cs="Calibri"/>
          <w:lang w:val="en-AU"/>
        </w:rPr>
        <w:t xml:space="preserve">the approval of </w:t>
      </w:r>
      <w:r w:rsidR="00EA4388">
        <w:rPr>
          <w:rFonts w:cs="Calibri"/>
          <w:lang w:val="en-AU"/>
        </w:rPr>
        <w:t>the</w:t>
      </w:r>
      <w:r w:rsidR="00085A7E" w:rsidRPr="001117C9">
        <w:rPr>
          <w:rFonts w:cs="Calibri"/>
          <w:lang w:val="en-AU"/>
        </w:rPr>
        <w:t xml:space="preserve"> </w:t>
      </w:r>
      <w:r w:rsidR="00085A7E">
        <w:rPr>
          <w:rFonts w:cs="Calibri"/>
          <w:lang w:val="en-AU"/>
        </w:rPr>
        <w:t xml:space="preserve">co-channel </w:t>
      </w:r>
      <w:r w:rsidR="00CC419F">
        <w:rPr>
          <w:rFonts w:cs="Calibri"/>
          <w:lang w:val="en-AU"/>
        </w:rPr>
        <w:t xml:space="preserve">broadcast television </w:t>
      </w:r>
      <w:r w:rsidRPr="001117C9">
        <w:rPr>
          <w:rFonts w:cs="Calibri"/>
          <w:lang w:val="en-AU"/>
        </w:rPr>
        <w:t>licensee</w:t>
      </w:r>
      <w:r w:rsidR="003E24A1" w:rsidRPr="001117C9">
        <w:rPr>
          <w:rFonts w:cs="Calibri"/>
          <w:lang w:val="en-AU"/>
        </w:rPr>
        <w:t>.</w:t>
      </w:r>
    </w:p>
    <w:p w:rsidR="001135DA" w:rsidRDefault="001135DA">
      <w:pPr>
        <w:rPr>
          <w:rFonts w:cs="Calibri"/>
          <w:lang w:val="en-AU"/>
        </w:rPr>
      </w:pPr>
    </w:p>
    <w:p w:rsidR="004F0ACE" w:rsidRDefault="001B5F7B">
      <w:pPr>
        <w:rPr>
          <w:rFonts w:cs="Calibri"/>
          <w:lang w:val="en-AU"/>
        </w:rPr>
      </w:pPr>
      <w:r>
        <w:rPr>
          <w:rFonts w:cs="Calibri"/>
          <w:lang w:val="en-AU"/>
        </w:rPr>
        <w:t>Licence applications are</w:t>
      </w:r>
      <w:r w:rsidR="00C7035F">
        <w:rPr>
          <w:rFonts w:cs="Calibri"/>
          <w:lang w:val="en-AU"/>
        </w:rPr>
        <w:t xml:space="preserve"> to be accompanied by information that demonstrates that the assessment </w:t>
      </w:r>
      <w:r w:rsidR="004F0ACE">
        <w:rPr>
          <w:rFonts w:cs="Calibri"/>
          <w:lang w:val="en-AU"/>
        </w:rPr>
        <w:t>criteria are</w:t>
      </w:r>
      <w:r w:rsidR="00C7035F">
        <w:rPr>
          <w:rFonts w:cs="Calibri"/>
          <w:lang w:val="en-AU"/>
        </w:rPr>
        <w:t xml:space="preserve"> </w:t>
      </w:r>
      <w:r w:rsidR="004F0ACE">
        <w:rPr>
          <w:rFonts w:cs="Calibri"/>
          <w:lang w:val="en-AU"/>
        </w:rPr>
        <w:t>satisfied</w:t>
      </w:r>
      <w:r w:rsidR="00C7035F">
        <w:rPr>
          <w:rFonts w:cs="Calibri"/>
          <w:lang w:val="en-AU"/>
        </w:rPr>
        <w:t xml:space="preserve">. </w:t>
      </w:r>
      <w:r w:rsidR="004F0ACE">
        <w:rPr>
          <w:rFonts w:cs="Calibri"/>
          <w:lang w:val="en-AU"/>
        </w:rPr>
        <w:t xml:space="preserve"> Licence applications without such information will not be assessed. If the AC</w:t>
      </w:r>
      <w:r w:rsidR="00E565D5">
        <w:rPr>
          <w:rFonts w:cs="Calibri"/>
          <w:lang w:val="en-AU"/>
        </w:rPr>
        <w:t>MA</w:t>
      </w:r>
      <w:r w:rsidR="004F0ACE">
        <w:rPr>
          <w:rFonts w:cs="Calibri"/>
          <w:lang w:val="en-AU"/>
        </w:rPr>
        <w:t xml:space="preserve"> is unable to validate the information provided the licence application will be refused. </w:t>
      </w:r>
    </w:p>
    <w:p w:rsidR="004F0ACE" w:rsidRDefault="004F0ACE">
      <w:pPr>
        <w:rPr>
          <w:rFonts w:cs="Calibri"/>
          <w:lang w:val="en-AU"/>
        </w:rPr>
      </w:pPr>
    </w:p>
    <w:p w:rsidR="0019392F" w:rsidRDefault="0047701B">
      <w:pPr>
        <w:rPr>
          <w:rFonts w:cs="Calibri"/>
          <w:lang w:val="en-AU"/>
        </w:rPr>
      </w:pPr>
      <w:r>
        <w:rPr>
          <w:rFonts w:cs="Calibri"/>
          <w:lang w:val="en-AU"/>
        </w:rPr>
        <w:t xml:space="preserve">Reference information that might assist </w:t>
      </w:r>
      <w:r w:rsidR="004F0ACE">
        <w:rPr>
          <w:rFonts w:cs="Calibri"/>
          <w:lang w:val="en-AU"/>
        </w:rPr>
        <w:t xml:space="preserve">licence applicants </w:t>
      </w:r>
      <w:r w:rsidR="00FB1ADD">
        <w:rPr>
          <w:rFonts w:cs="Calibri"/>
          <w:lang w:val="en-AU"/>
        </w:rPr>
        <w:t xml:space="preserve">in </w:t>
      </w:r>
      <w:r w:rsidR="004F0ACE">
        <w:rPr>
          <w:rFonts w:cs="Calibri"/>
          <w:lang w:val="en-AU"/>
        </w:rPr>
        <w:t>the coordination</w:t>
      </w:r>
      <w:r w:rsidR="00FB1ADD">
        <w:rPr>
          <w:rFonts w:cs="Calibri"/>
          <w:lang w:val="en-AU"/>
        </w:rPr>
        <w:t xml:space="preserve"> of a wireless microphone device is available in </w:t>
      </w:r>
      <w:r w:rsidR="007C7439">
        <w:rPr>
          <w:rFonts w:cs="Calibri"/>
          <w:lang w:val="en-AU"/>
        </w:rPr>
        <w:t>Annex A.</w:t>
      </w:r>
      <w:r w:rsidR="00437F68">
        <w:rPr>
          <w:rFonts w:cs="Calibri"/>
          <w:lang w:val="en-AU"/>
        </w:rPr>
        <w:t xml:space="preserve"> </w:t>
      </w:r>
    </w:p>
    <w:p w:rsidR="00437F68" w:rsidRDefault="00437F68">
      <w:pPr>
        <w:rPr>
          <w:rFonts w:cs="Calibri"/>
          <w:lang w:val="en-AU"/>
        </w:rPr>
      </w:pPr>
    </w:p>
    <w:p w:rsidR="00437F68" w:rsidRDefault="00437F68">
      <w:pPr>
        <w:rPr>
          <w:rFonts w:cs="Calibri"/>
          <w:lang w:val="en-AU"/>
        </w:rPr>
      </w:pPr>
      <w:r>
        <w:rPr>
          <w:rFonts w:cs="Calibri"/>
        </w:rPr>
        <w:t xml:space="preserve">Note as outlined in section 2.7, coordination requirements (with other services) requires knowledge of where wireless audio devices will be operated and hence wireless audio devices will only be licensed to operate at a specific location.  </w:t>
      </w:r>
    </w:p>
    <w:p w:rsidR="0019392F" w:rsidRPr="001117C9" w:rsidRDefault="0019392F">
      <w:pPr>
        <w:rPr>
          <w:rFonts w:cs="Calibri"/>
          <w:lang w:val="en-AU"/>
        </w:rPr>
      </w:pPr>
    </w:p>
    <w:p w:rsidR="00094E0C" w:rsidRPr="001117C9" w:rsidRDefault="003E24A1" w:rsidP="00EA7152">
      <w:pPr>
        <w:pStyle w:val="Heading2"/>
        <w:rPr>
          <w:lang w:val="en-AU"/>
        </w:rPr>
      </w:pPr>
      <w:bookmarkStart w:id="45" w:name="_Toc402794170"/>
      <w:bookmarkStart w:id="46" w:name="_Toc513974782"/>
      <w:bookmarkStart w:id="47" w:name="_Toc513977649"/>
      <w:bookmarkStart w:id="48" w:name="_Toc514658973"/>
      <w:bookmarkStart w:id="49" w:name="_Toc515879135"/>
      <w:bookmarkStart w:id="50" w:name="_Toc516988314"/>
      <w:bookmarkStart w:id="51" w:name="_Toc517506875"/>
      <w:bookmarkStart w:id="52" w:name="_Toc517508845"/>
      <w:bookmarkStart w:id="53" w:name="_Toc520711884"/>
      <w:bookmarkStart w:id="54" w:name="_Toc520782320"/>
      <w:bookmarkStart w:id="55" w:name="_Toc521378819"/>
      <w:bookmarkStart w:id="56" w:name="_Toc521751688"/>
      <w:bookmarkStart w:id="57" w:name="_Toc526052736"/>
      <w:r w:rsidRPr="001117C9">
        <w:rPr>
          <w:lang w:val="en-AU"/>
        </w:rPr>
        <w:t>Other bands</w:t>
      </w:r>
      <w:bookmarkEnd w:id="45"/>
      <w:r w:rsidR="00C35E41" w:rsidRPr="001117C9">
        <w:rPr>
          <w:lang w:val="en-AU"/>
        </w:rPr>
        <w:t xml:space="preserve"> </w:t>
      </w:r>
      <w:bookmarkEnd w:id="46"/>
      <w:bookmarkEnd w:id="47"/>
      <w:bookmarkEnd w:id="48"/>
      <w:bookmarkEnd w:id="49"/>
      <w:bookmarkEnd w:id="50"/>
      <w:bookmarkEnd w:id="51"/>
      <w:bookmarkEnd w:id="52"/>
      <w:bookmarkEnd w:id="53"/>
      <w:bookmarkEnd w:id="54"/>
      <w:bookmarkEnd w:id="55"/>
      <w:bookmarkEnd w:id="56"/>
      <w:bookmarkEnd w:id="57"/>
    </w:p>
    <w:p w:rsidR="006A37DE" w:rsidRDefault="006A37DE" w:rsidP="006A37DE">
      <w:pPr>
        <w:rPr>
          <w:rFonts w:cs="Calibri"/>
          <w:lang w:val="en-AU"/>
        </w:rPr>
      </w:pPr>
      <w:r>
        <w:rPr>
          <w:rFonts w:cs="Calibri"/>
          <w:lang w:val="en-AU"/>
        </w:rPr>
        <w:t>In frequency bands other than 520-694 MHz any request will need to be accompanied by assessment of the likely of interference to existing services, measures that will be used to minimise the potential for interference and justification as to why a licence should be issued.</w:t>
      </w:r>
    </w:p>
    <w:p w:rsidR="006A37DE" w:rsidRDefault="006A37DE">
      <w:pPr>
        <w:rPr>
          <w:rFonts w:cs="Calibri"/>
          <w:lang w:val="en-AU"/>
        </w:rPr>
      </w:pPr>
    </w:p>
    <w:p w:rsidR="00094E0C" w:rsidRPr="001117C9" w:rsidRDefault="00094E0C" w:rsidP="005762D0">
      <w:pPr>
        <w:pStyle w:val="Heading1"/>
        <w:rPr>
          <w:rFonts w:cs="Calibri"/>
          <w:lang w:val="en-AU"/>
        </w:rPr>
      </w:pPr>
      <w:bookmarkStart w:id="58" w:name="_Toc381149475"/>
      <w:bookmarkStart w:id="59" w:name="_Toc383510967"/>
      <w:bookmarkStart w:id="60" w:name="_Toc383511164"/>
      <w:bookmarkStart w:id="61" w:name="_Toc383831934"/>
      <w:bookmarkStart w:id="62" w:name="_Toc383835216"/>
      <w:bookmarkStart w:id="63" w:name="_Toc383841413"/>
      <w:bookmarkStart w:id="64" w:name="_Toc383848578"/>
      <w:bookmarkStart w:id="65" w:name="_Toc391440205"/>
      <w:bookmarkStart w:id="66" w:name="_Toc391702508"/>
      <w:bookmarkStart w:id="67" w:name="_Toc391708608"/>
      <w:bookmarkStart w:id="68" w:name="_Toc392036024"/>
      <w:bookmarkStart w:id="69" w:name="_Toc392047651"/>
      <w:bookmarkStart w:id="70" w:name="_Toc392650434"/>
      <w:bookmarkStart w:id="71" w:name="_Toc392651139"/>
      <w:bookmarkStart w:id="72" w:name="_Toc392651366"/>
      <w:bookmarkStart w:id="73" w:name="_Toc406226432"/>
      <w:bookmarkStart w:id="74" w:name="_Toc412343267"/>
      <w:bookmarkStart w:id="75" w:name="_Toc412432085"/>
      <w:bookmarkStart w:id="76" w:name="_Toc412432643"/>
      <w:bookmarkStart w:id="77" w:name="_Toc412432881"/>
      <w:bookmarkStart w:id="78" w:name="_Toc412432951"/>
      <w:bookmarkStart w:id="79" w:name="_Toc412433106"/>
      <w:bookmarkStart w:id="80" w:name="_Toc412433243"/>
      <w:bookmarkStart w:id="81" w:name="_Toc412433458"/>
      <w:bookmarkStart w:id="82" w:name="_Toc412434146"/>
      <w:bookmarkStart w:id="83" w:name="_Toc412453643"/>
      <w:bookmarkStart w:id="84" w:name="_Toc412455597"/>
      <w:bookmarkStart w:id="85" w:name="_Toc412455793"/>
      <w:bookmarkStart w:id="86" w:name="_Toc412456323"/>
      <w:bookmarkStart w:id="87" w:name="_Toc412456383"/>
      <w:bookmarkStart w:id="88" w:name="_Toc413664613"/>
      <w:bookmarkStart w:id="89" w:name="_Toc415362664"/>
      <w:bookmarkStart w:id="90" w:name="_Toc415362724"/>
      <w:bookmarkStart w:id="91" w:name="_Toc415362784"/>
      <w:bookmarkStart w:id="92" w:name="_Toc433601469"/>
      <w:bookmarkStart w:id="93" w:name="_Toc435867673"/>
      <w:bookmarkStart w:id="94" w:name="_Toc509197579"/>
      <w:bookmarkStart w:id="95" w:name="_Toc510422862"/>
      <w:bookmarkStart w:id="96" w:name="_Toc512405333"/>
      <w:bookmarkStart w:id="97" w:name="_Toc513974796"/>
      <w:bookmarkStart w:id="98" w:name="_Toc513977662"/>
      <w:bookmarkStart w:id="99" w:name="_Toc514658986"/>
      <w:bookmarkStart w:id="100" w:name="_Toc515879148"/>
      <w:bookmarkStart w:id="101" w:name="_Toc516988327"/>
      <w:bookmarkStart w:id="102" w:name="_Toc517506887"/>
      <w:bookmarkStart w:id="103" w:name="_Toc517508857"/>
      <w:bookmarkStart w:id="104" w:name="_Toc520711896"/>
      <w:bookmarkStart w:id="105" w:name="_Toc520782332"/>
      <w:bookmarkStart w:id="106" w:name="_Toc521378831"/>
      <w:bookmarkStart w:id="107" w:name="_Toc521751700"/>
      <w:bookmarkStart w:id="108" w:name="_Toc526052748"/>
      <w:bookmarkStart w:id="109" w:name="_Toc402794171"/>
      <w:bookmarkStart w:id="110" w:name="_Toc354542256"/>
      <w:bookmarkStart w:id="111" w:name="_Toc354542611"/>
      <w:bookmarkStart w:id="112" w:name="_Toc355509352"/>
      <w:bookmarkStart w:id="113" w:name="_Toc355509435"/>
      <w:bookmarkStart w:id="114" w:name="_Toc355509465"/>
      <w:bookmarkStart w:id="115" w:name="_Toc339426762"/>
      <w:bookmarkStart w:id="116" w:name="_Toc340468380"/>
      <w:bookmarkStart w:id="117" w:name="_Toc340468400"/>
      <w:bookmarkStart w:id="118" w:name="_Toc340649975"/>
      <w:bookmarkStart w:id="119" w:name="_Toc341084800"/>
      <w:bookmarkStart w:id="120" w:name="_Toc356967153"/>
      <w:bookmarkStart w:id="121" w:name="_Toc357236371"/>
      <w:bookmarkStart w:id="122" w:name="_Toc357840740"/>
      <w:bookmarkStart w:id="123" w:name="_Toc358801898"/>
      <w:bookmarkStart w:id="124" w:name="_Toc360872987"/>
      <w:bookmarkStart w:id="125" w:name="_Toc363618285"/>
      <w:bookmarkStart w:id="126" w:name="_Toc364676587"/>
      <w:bookmarkStart w:id="127" w:name="_Toc365446729"/>
      <w:bookmarkStart w:id="128" w:name="_Toc365450603"/>
      <w:bookmarkStart w:id="129" w:name="_Toc365879180"/>
      <w:bookmarkStart w:id="130" w:name="_Toc365879310"/>
      <w:bookmarkStart w:id="131" w:name="_Toc365879389"/>
      <w:bookmarkStart w:id="132" w:name="_Toc365880005"/>
      <w:bookmarkStart w:id="133" w:name="_Toc366898552"/>
      <w:bookmarkStart w:id="134" w:name="_Toc366902072"/>
      <w:bookmarkStart w:id="135" w:name="_Toc367202260"/>
      <w:bookmarkStart w:id="136" w:name="_Toc367243045"/>
      <w:bookmarkStart w:id="137" w:name="_Toc367246603"/>
      <w:bookmarkStart w:id="138" w:name="_Toc368208909"/>
      <w:bookmarkStart w:id="139" w:name="_Toc368217911"/>
      <w:proofErr w:type="spellStart"/>
      <w:r w:rsidRPr="001117C9">
        <w:rPr>
          <w:rFonts w:cs="Calibri"/>
          <w:lang w:val="en-AU"/>
        </w:rPr>
        <w:t>RALI</w:t>
      </w:r>
      <w:proofErr w:type="spellEnd"/>
      <w:r w:rsidRPr="001117C9">
        <w:rPr>
          <w:rFonts w:cs="Calibri"/>
          <w:lang w:val="en-AU"/>
        </w:rPr>
        <w:t xml:space="preserve"> Authorisation</w:t>
      </w:r>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p>
    <w:p w:rsidR="00EA7152" w:rsidRPr="001117C9" w:rsidRDefault="001E21D7">
      <w:pPr>
        <w:rPr>
          <w:rFonts w:cs="Calibri"/>
          <w:lang w:val="en-AU"/>
        </w:rPr>
      </w:pPr>
      <w:r>
        <w:rPr>
          <w:rFonts w:cs="Calibri"/>
          <w:lang w:val="en-AU"/>
        </w:rPr>
        <w:t>[Approved - 23/02/2015]</w:t>
      </w:r>
    </w:p>
    <w:p w:rsidR="00094E0C" w:rsidRPr="001117C9" w:rsidRDefault="00094E0C">
      <w:pPr>
        <w:rPr>
          <w:rFonts w:cs="Calibri"/>
          <w:lang w:val="en-AU"/>
        </w:rPr>
      </w:pPr>
    </w:p>
    <w:p w:rsidR="000E3F98" w:rsidRPr="001117C9" w:rsidRDefault="00406964" w:rsidP="000E3F98">
      <w:pPr>
        <w:rPr>
          <w:rFonts w:cs="Calibri"/>
          <w:b/>
          <w:lang w:val="en-AU"/>
        </w:rPr>
      </w:pPr>
      <w:r w:rsidRPr="001117C9">
        <w:rPr>
          <w:rFonts w:cs="Calibri"/>
          <w:b/>
          <w:lang w:val="en-AU"/>
        </w:rPr>
        <w:t>Mark Arkell</w:t>
      </w:r>
      <w:r w:rsidR="00094E0C" w:rsidRPr="001117C9">
        <w:rPr>
          <w:rFonts w:cs="Calibri"/>
          <w:b/>
          <w:lang w:val="en-AU"/>
        </w:rPr>
        <w:br/>
      </w:r>
      <w:r w:rsidR="000E3F98" w:rsidRPr="001117C9">
        <w:rPr>
          <w:rFonts w:cs="Calibri"/>
          <w:b/>
          <w:lang w:val="en-AU"/>
        </w:rPr>
        <w:t>Manager</w:t>
      </w:r>
      <w:r w:rsidR="000E3F98" w:rsidRPr="001117C9">
        <w:rPr>
          <w:rFonts w:cs="Calibri"/>
          <w:b/>
          <w:lang w:val="en-AU"/>
        </w:rPr>
        <w:br/>
        <w:t>Spectrum Engineering Section</w:t>
      </w:r>
      <w:r w:rsidR="000E3F98" w:rsidRPr="001117C9">
        <w:rPr>
          <w:rFonts w:cs="Calibri"/>
          <w:b/>
          <w:lang w:val="en-AU"/>
        </w:rPr>
        <w:br/>
      </w:r>
      <w:r w:rsidR="00624940" w:rsidRPr="001117C9">
        <w:rPr>
          <w:rFonts w:cs="Calibri"/>
          <w:b/>
          <w:lang w:val="en-AU"/>
        </w:rPr>
        <w:t xml:space="preserve">Spectrum </w:t>
      </w:r>
      <w:r w:rsidR="00FB3BC0">
        <w:rPr>
          <w:rFonts w:cs="Calibri"/>
          <w:b/>
          <w:lang w:val="en-AU"/>
        </w:rPr>
        <w:t xml:space="preserve">Planning and Engineering </w:t>
      </w:r>
      <w:r w:rsidR="000E3F98" w:rsidRPr="001117C9">
        <w:rPr>
          <w:rFonts w:cs="Calibri"/>
          <w:b/>
          <w:lang w:val="en-AU"/>
        </w:rPr>
        <w:t>Branch</w:t>
      </w:r>
      <w:r w:rsidR="000E3F98" w:rsidRPr="001117C9">
        <w:rPr>
          <w:rFonts w:cs="Calibri"/>
          <w:b/>
          <w:lang w:val="en-AU"/>
        </w:rPr>
        <w:br/>
        <w:t>Australian Communications and Media Authority</w:t>
      </w:r>
    </w:p>
    <w:p w:rsidR="00094E0C" w:rsidRPr="001117C9" w:rsidRDefault="00094E0C">
      <w:pPr>
        <w:rPr>
          <w:rFonts w:cs="Calibri"/>
          <w:b/>
          <w:lang w:val="en-AU"/>
        </w:rPr>
      </w:pPr>
    </w:p>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p w:rsidR="00094E0C" w:rsidRPr="001117C9" w:rsidRDefault="00094E0C">
      <w:pPr>
        <w:rPr>
          <w:rFonts w:cs="Calibri"/>
          <w:lang w:val="en-AU"/>
        </w:rPr>
      </w:pPr>
    </w:p>
    <w:p w:rsidR="00094E0C" w:rsidRPr="001117C9" w:rsidRDefault="00094E0C">
      <w:pPr>
        <w:rPr>
          <w:rFonts w:cs="Calibri"/>
          <w:lang w:val="en-AU"/>
        </w:rPr>
        <w:sectPr w:rsidR="00094E0C" w:rsidRPr="001117C9" w:rsidSect="00715E72">
          <w:headerReference w:type="even" r:id="rId30"/>
          <w:headerReference w:type="default" r:id="rId31"/>
          <w:headerReference w:type="first" r:id="rId32"/>
          <w:pgSz w:w="11907" w:h="16840" w:code="9"/>
          <w:pgMar w:top="1134" w:right="1134" w:bottom="1134" w:left="1418" w:header="720" w:footer="720" w:gutter="0"/>
          <w:pgNumType w:start="1"/>
          <w:cols w:space="720"/>
          <w:titlePg/>
        </w:sectPr>
      </w:pPr>
    </w:p>
    <w:p w:rsidR="00094E0C" w:rsidRPr="001117C9" w:rsidRDefault="00094E0C" w:rsidP="001135DA">
      <w:pPr>
        <w:pStyle w:val="Heading1"/>
        <w:numPr>
          <w:ilvl w:val="0"/>
          <w:numId w:val="0"/>
        </w:numPr>
        <w:ind w:left="567" w:hanging="567"/>
        <w:rPr>
          <w:lang w:val="en-AU"/>
        </w:rPr>
      </w:pPr>
      <w:bookmarkStart w:id="140" w:name="_Toc402794172"/>
      <w:bookmarkStart w:id="141" w:name="_Toc433601472"/>
      <w:bookmarkStart w:id="142" w:name="_Toc435867678"/>
      <w:bookmarkStart w:id="143" w:name="_Toc510422867"/>
      <w:bookmarkStart w:id="144" w:name="_Toc512405335"/>
      <w:bookmarkStart w:id="145" w:name="_Toc513974798"/>
      <w:bookmarkStart w:id="146" w:name="_Toc513977664"/>
      <w:bookmarkStart w:id="147" w:name="_Toc514658988"/>
      <w:bookmarkStart w:id="148" w:name="_Toc515879150"/>
      <w:bookmarkStart w:id="149" w:name="_Toc516988329"/>
      <w:bookmarkStart w:id="150" w:name="_Toc517506889"/>
      <w:bookmarkStart w:id="151" w:name="_Toc517508859"/>
      <w:bookmarkStart w:id="152" w:name="_Toc520711898"/>
      <w:bookmarkStart w:id="153" w:name="_Toc520782334"/>
      <w:bookmarkStart w:id="154" w:name="_Toc521378833"/>
      <w:bookmarkStart w:id="155" w:name="_Toc521751702"/>
      <w:bookmarkStart w:id="156" w:name="_Toc526052750"/>
      <w:bookmarkStart w:id="157" w:name="_Toc355509357"/>
      <w:bookmarkStart w:id="158" w:name="_Toc355509439"/>
      <w:bookmarkStart w:id="159" w:name="_Toc355509468"/>
      <w:bookmarkStart w:id="160" w:name="_Toc356902080"/>
      <w:bookmarkStart w:id="161" w:name="_Toc356902230"/>
      <w:bookmarkStart w:id="162" w:name="_Toc356966868"/>
      <w:r w:rsidRPr="001117C9">
        <w:rPr>
          <w:lang w:val="en-AU"/>
        </w:rPr>
        <w:t xml:space="preserve">Annex </w:t>
      </w:r>
      <w:r w:rsidR="001135DA" w:rsidRPr="001117C9">
        <w:rPr>
          <w:lang w:val="en-AU"/>
        </w:rPr>
        <w:t>A</w:t>
      </w:r>
      <w:r w:rsidR="00246C9A">
        <w:rPr>
          <w:lang w:val="en-AU"/>
        </w:rPr>
        <w:t>:</w:t>
      </w:r>
      <w:r w:rsidR="001135DA" w:rsidRPr="001117C9">
        <w:rPr>
          <w:lang w:val="en-AU"/>
        </w:rPr>
        <w:t xml:space="preserve"> </w:t>
      </w:r>
      <w:r w:rsidR="0047701B">
        <w:rPr>
          <w:lang w:val="en-AU"/>
        </w:rPr>
        <w:t>Reference information</w:t>
      </w:r>
      <w:bookmarkEnd w:id="140"/>
      <w:r w:rsidR="0047701B">
        <w:rPr>
          <w:lang w:val="en-AU"/>
        </w:rPr>
        <w:t xml:space="preserve"> </w:t>
      </w:r>
      <w:r w:rsidRPr="001117C9">
        <w:rPr>
          <w:lang w:val="en-AU"/>
        </w:rPr>
        <w:t xml:space="preserve"> </w:t>
      </w:r>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p>
    <w:p w:rsidR="00094E0C" w:rsidRPr="001117C9" w:rsidRDefault="00094E0C" w:rsidP="00EA7152">
      <w:pPr>
        <w:pStyle w:val="Heading2"/>
        <w:numPr>
          <w:ilvl w:val="0"/>
          <w:numId w:val="0"/>
        </w:numPr>
        <w:rPr>
          <w:lang w:val="en-AU"/>
        </w:rPr>
      </w:pPr>
      <w:bookmarkStart w:id="163" w:name="_Toc433601473"/>
      <w:bookmarkStart w:id="164" w:name="_Toc435867679"/>
      <w:bookmarkStart w:id="165" w:name="_Toc510422868"/>
      <w:bookmarkStart w:id="166" w:name="_Toc512405336"/>
      <w:bookmarkStart w:id="167" w:name="_Toc513974799"/>
      <w:bookmarkStart w:id="168" w:name="_Toc513977665"/>
      <w:bookmarkStart w:id="169" w:name="_Toc514658989"/>
      <w:bookmarkStart w:id="170" w:name="_Toc515879151"/>
      <w:bookmarkStart w:id="171" w:name="_Toc516988330"/>
      <w:bookmarkStart w:id="172" w:name="_Toc517506890"/>
      <w:bookmarkStart w:id="173" w:name="_Toc517508860"/>
      <w:bookmarkStart w:id="174" w:name="_Toc520711900"/>
      <w:bookmarkStart w:id="175" w:name="_Toc520782336"/>
      <w:bookmarkStart w:id="176" w:name="_Toc521378835"/>
      <w:bookmarkStart w:id="177" w:name="_Toc521751704"/>
      <w:bookmarkStart w:id="178" w:name="_Toc526052752"/>
      <w:bookmarkStart w:id="179" w:name="_Toc402794173"/>
      <w:bookmarkEnd w:id="157"/>
      <w:bookmarkEnd w:id="158"/>
      <w:bookmarkEnd w:id="159"/>
      <w:bookmarkEnd w:id="160"/>
      <w:bookmarkEnd w:id="161"/>
      <w:bookmarkEnd w:id="162"/>
      <w:r w:rsidRPr="001117C9">
        <w:rPr>
          <w:lang w:val="en-AU"/>
        </w:rPr>
        <w:t>A1.</w:t>
      </w:r>
      <w:r w:rsidR="00793FC7">
        <w:rPr>
          <w:lang w:val="en-AU"/>
        </w:rPr>
        <w:t xml:space="preserve"> </w:t>
      </w:r>
      <w:r w:rsidRPr="001117C9">
        <w:rPr>
          <w:lang w:val="en-AU"/>
        </w:rPr>
        <w:t xml:space="preserve">  </w:t>
      </w:r>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r w:rsidR="00793FC7">
        <w:rPr>
          <w:lang w:val="en-AU"/>
        </w:rPr>
        <w:t xml:space="preserve"> </w:t>
      </w:r>
      <w:r w:rsidR="0047701B">
        <w:rPr>
          <w:lang w:val="en-AU"/>
        </w:rPr>
        <w:t>Low interference potential devices class licence</w:t>
      </w:r>
      <w:bookmarkEnd w:id="179"/>
      <w:r w:rsidR="0047701B">
        <w:rPr>
          <w:lang w:val="en-AU"/>
        </w:rPr>
        <w:t xml:space="preserve"> </w:t>
      </w:r>
      <w:r w:rsidR="00C35E41" w:rsidRPr="001117C9">
        <w:rPr>
          <w:lang w:val="en-AU"/>
        </w:rPr>
        <w:t xml:space="preserve"> </w:t>
      </w:r>
    </w:p>
    <w:p w:rsidR="00246C9A" w:rsidRDefault="00246C9A" w:rsidP="00246C9A">
      <w:r>
        <w:t xml:space="preserve">The </w:t>
      </w:r>
      <w:proofErr w:type="spellStart"/>
      <w:r>
        <w:t>LIPD</w:t>
      </w:r>
      <w:proofErr w:type="spellEnd"/>
      <w:r>
        <w:t xml:space="preserve"> class licence supports the operation of </w:t>
      </w:r>
      <w:r w:rsidR="00074C14">
        <w:t xml:space="preserve">wireless audio devices in the frequency range 520-694 MHz with a 100 </w:t>
      </w:r>
      <w:proofErr w:type="spellStart"/>
      <w:r w:rsidR="00074C14">
        <w:t>mW</w:t>
      </w:r>
      <w:proofErr w:type="spellEnd"/>
      <w:r w:rsidR="00074C14">
        <w:t xml:space="preserve"> </w:t>
      </w:r>
      <w:proofErr w:type="spellStart"/>
      <w:r>
        <w:t>eirp</w:t>
      </w:r>
      <w:proofErr w:type="spellEnd"/>
      <w:r>
        <w:t xml:space="preserve"> subject to the conditions of the class licence.  The key condition being that </w:t>
      </w:r>
      <w:r w:rsidR="00074C14">
        <w:t>interference is not caused to broadcast television reception</w:t>
      </w:r>
      <w:r>
        <w:t>.</w:t>
      </w:r>
      <w:r w:rsidR="00074C14">
        <w:t xml:space="preserve"> </w:t>
      </w:r>
      <w:r>
        <w:t xml:space="preserve">There are additional conditions such operation is not in the coverage area of a broadcasting (or </w:t>
      </w:r>
      <w:proofErr w:type="spellStart"/>
      <w:r>
        <w:t>datacasting</w:t>
      </w:r>
      <w:proofErr w:type="spellEnd"/>
      <w:r>
        <w:t xml:space="preserve">) station or the transmitter is only operated indoors.  </w:t>
      </w:r>
    </w:p>
    <w:p w:rsidR="00246C9A" w:rsidRDefault="00246C9A" w:rsidP="00246C9A"/>
    <w:p w:rsidR="0047701B" w:rsidRDefault="00246C9A" w:rsidP="0047701B">
      <w:r w:rsidRPr="007C7167">
        <w:t xml:space="preserve">The </w:t>
      </w:r>
      <w:proofErr w:type="spellStart"/>
      <w:r>
        <w:t>LIPD</w:t>
      </w:r>
      <w:proofErr w:type="spellEnd"/>
      <w:r>
        <w:t xml:space="preserve"> </w:t>
      </w:r>
      <w:r w:rsidRPr="007C7167">
        <w:t xml:space="preserve">class licence defines coverage area of a broadcasting or </w:t>
      </w:r>
      <w:proofErr w:type="spellStart"/>
      <w:r w:rsidRPr="007C7167">
        <w:t>datacasting</w:t>
      </w:r>
      <w:proofErr w:type="spellEnd"/>
      <w:r w:rsidRPr="007C7167">
        <w:t xml:space="preserve"> </w:t>
      </w:r>
      <w:r w:rsidR="001B5F7B" w:rsidRPr="007C7167">
        <w:t>station</w:t>
      </w:r>
      <w:r w:rsidR="001B5F7B">
        <w:t xml:space="preserve"> in</w:t>
      </w:r>
      <w:r w:rsidR="0047701B">
        <w:t xml:space="preserve"> terms of specified median field strength at 10m above the ground.  </w:t>
      </w:r>
      <w:r w:rsidR="0047701B" w:rsidRPr="007C7167">
        <w:t xml:space="preserve">For commercial television broadcasting service or community television broadcasting service coverage area is limited to </w:t>
      </w:r>
      <w:r w:rsidR="0047701B">
        <w:t xml:space="preserve">the </w:t>
      </w:r>
      <w:r w:rsidR="0047701B" w:rsidRPr="007C7167">
        <w:t xml:space="preserve">licence area. That </w:t>
      </w:r>
      <w:r w:rsidR="0047701B">
        <w:t>is, operation in areas of fortuitous</w:t>
      </w:r>
      <w:r w:rsidR="0047701B" w:rsidRPr="007C7167">
        <w:t xml:space="preserve"> reception</w:t>
      </w:r>
      <w:r w:rsidR="0047701B">
        <w:t xml:space="preserve"> (areas of reception outside the licence area) </w:t>
      </w:r>
      <w:r w:rsidR="0047701B" w:rsidRPr="007C7167">
        <w:t xml:space="preserve">is </w:t>
      </w:r>
      <w:r w:rsidR="0047701B">
        <w:t xml:space="preserve">allowed in respect to a </w:t>
      </w:r>
      <w:r w:rsidR="0047701B" w:rsidRPr="007C7167">
        <w:t>commercial television broadcasting service or community television broadcasting</w:t>
      </w:r>
      <w:r w:rsidR="0047701B">
        <w:t xml:space="preserve"> service.</w:t>
      </w:r>
    </w:p>
    <w:p w:rsidR="0047701B" w:rsidRDefault="0047701B" w:rsidP="0047701B"/>
    <w:p w:rsidR="0047701B" w:rsidRPr="00822D9A" w:rsidRDefault="0047701B" w:rsidP="0047701B">
      <w:r>
        <w:t>The specified median field strength various depending on frequency band and broadcasting service (radio or television)  and is defined with respect to the median field strength E(50,50) from a transmission made by a broadcast station.  The relevant values are</w:t>
      </w:r>
      <w:r w:rsidRPr="00822D9A">
        <w:t>:</w:t>
      </w:r>
    </w:p>
    <w:p w:rsidR="0047701B" w:rsidRPr="001B2F31" w:rsidRDefault="0047701B" w:rsidP="0047701B">
      <w:pPr>
        <w:pStyle w:val="ListParagraph"/>
        <w:numPr>
          <w:ilvl w:val="0"/>
          <w:numId w:val="23"/>
        </w:numPr>
        <w:spacing w:before="120"/>
        <w:rPr>
          <w:rFonts w:asciiTheme="minorHAnsi" w:hAnsiTheme="minorHAnsi"/>
          <w:sz w:val="24"/>
        </w:rPr>
      </w:pPr>
      <w:r w:rsidRPr="001B2F31">
        <w:rPr>
          <w:rFonts w:asciiTheme="minorHAnsi" w:hAnsiTheme="minorHAnsi"/>
          <w:sz w:val="24"/>
        </w:rPr>
        <w:t xml:space="preserve">for a transmission in the band 174-230 MHz, in respect of a television broadcasting service: 44 </w:t>
      </w:r>
      <w:proofErr w:type="spellStart"/>
      <w:r w:rsidRPr="001B2F31">
        <w:rPr>
          <w:rFonts w:asciiTheme="minorHAnsi" w:hAnsiTheme="minorHAnsi"/>
          <w:sz w:val="24"/>
        </w:rPr>
        <w:t>dBuV</w:t>
      </w:r>
      <w:proofErr w:type="spellEnd"/>
      <w:r w:rsidRPr="001B2F31">
        <w:rPr>
          <w:rFonts w:asciiTheme="minorHAnsi" w:hAnsiTheme="minorHAnsi"/>
          <w:sz w:val="24"/>
        </w:rPr>
        <w:t>/m;</w:t>
      </w:r>
    </w:p>
    <w:p w:rsidR="0047701B" w:rsidRPr="001B2F31" w:rsidRDefault="0047701B" w:rsidP="0047701B">
      <w:pPr>
        <w:pStyle w:val="ListParagraph"/>
        <w:numPr>
          <w:ilvl w:val="0"/>
          <w:numId w:val="23"/>
        </w:numPr>
        <w:spacing w:before="120"/>
        <w:rPr>
          <w:rFonts w:asciiTheme="minorHAnsi" w:hAnsiTheme="minorHAnsi"/>
          <w:sz w:val="24"/>
        </w:rPr>
      </w:pPr>
      <w:r w:rsidRPr="001B2F31">
        <w:rPr>
          <w:rFonts w:asciiTheme="minorHAnsi" w:hAnsiTheme="minorHAnsi"/>
          <w:sz w:val="24"/>
        </w:rPr>
        <w:t xml:space="preserve">for a transmission in the band 174-230 MHz, in respect of a radio broadcasting service: 63 </w:t>
      </w:r>
      <w:proofErr w:type="spellStart"/>
      <w:r w:rsidRPr="001B2F31">
        <w:rPr>
          <w:rFonts w:asciiTheme="minorHAnsi" w:hAnsiTheme="minorHAnsi"/>
          <w:sz w:val="24"/>
        </w:rPr>
        <w:t>dBuV</w:t>
      </w:r>
      <w:proofErr w:type="spellEnd"/>
      <w:r w:rsidRPr="001B2F31">
        <w:rPr>
          <w:rFonts w:asciiTheme="minorHAnsi" w:hAnsiTheme="minorHAnsi"/>
          <w:sz w:val="24"/>
        </w:rPr>
        <w:t>/m;</w:t>
      </w:r>
    </w:p>
    <w:p w:rsidR="0047701B" w:rsidRPr="001B2F31" w:rsidRDefault="0047701B" w:rsidP="0047701B">
      <w:pPr>
        <w:pStyle w:val="ListParagraph"/>
        <w:numPr>
          <w:ilvl w:val="0"/>
          <w:numId w:val="23"/>
        </w:numPr>
        <w:spacing w:before="120"/>
        <w:rPr>
          <w:rFonts w:asciiTheme="minorHAnsi" w:hAnsiTheme="minorHAnsi"/>
          <w:sz w:val="24"/>
        </w:rPr>
      </w:pPr>
      <w:r w:rsidRPr="001B2F31">
        <w:rPr>
          <w:rFonts w:asciiTheme="minorHAnsi" w:hAnsiTheme="minorHAnsi"/>
          <w:sz w:val="24"/>
        </w:rPr>
        <w:t xml:space="preserve">for a transmission in the band 520-610 MHz: 50 </w:t>
      </w:r>
      <w:proofErr w:type="spellStart"/>
      <w:r w:rsidRPr="001B2F31">
        <w:rPr>
          <w:rFonts w:asciiTheme="minorHAnsi" w:hAnsiTheme="minorHAnsi"/>
          <w:sz w:val="24"/>
        </w:rPr>
        <w:t>dBuV</w:t>
      </w:r>
      <w:proofErr w:type="spellEnd"/>
      <w:r w:rsidRPr="001B2F31">
        <w:rPr>
          <w:rFonts w:asciiTheme="minorHAnsi" w:hAnsiTheme="minorHAnsi"/>
          <w:sz w:val="24"/>
        </w:rPr>
        <w:t>/m;</w:t>
      </w:r>
    </w:p>
    <w:p w:rsidR="0047701B" w:rsidRPr="001B2F31" w:rsidRDefault="0047701B" w:rsidP="0047701B">
      <w:pPr>
        <w:pStyle w:val="ListParagraph"/>
        <w:numPr>
          <w:ilvl w:val="0"/>
          <w:numId w:val="23"/>
        </w:numPr>
        <w:spacing w:before="120"/>
        <w:rPr>
          <w:rFonts w:asciiTheme="minorHAnsi" w:hAnsiTheme="minorHAnsi"/>
          <w:sz w:val="24"/>
        </w:rPr>
      </w:pPr>
      <w:r w:rsidRPr="001B2F31">
        <w:rPr>
          <w:rFonts w:asciiTheme="minorHAnsi" w:hAnsiTheme="minorHAnsi"/>
          <w:sz w:val="24"/>
        </w:rPr>
        <w:t xml:space="preserve">for a transmission in the band 610-694 MHz: 54 </w:t>
      </w:r>
      <w:proofErr w:type="spellStart"/>
      <w:r w:rsidRPr="001B2F31">
        <w:rPr>
          <w:rFonts w:asciiTheme="minorHAnsi" w:hAnsiTheme="minorHAnsi"/>
          <w:sz w:val="24"/>
        </w:rPr>
        <w:t>dBuV</w:t>
      </w:r>
      <w:proofErr w:type="spellEnd"/>
      <w:r w:rsidRPr="001B2F31">
        <w:rPr>
          <w:rFonts w:asciiTheme="minorHAnsi" w:hAnsiTheme="minorHAnsi"/>
          <w:sz w:val="24"/>
        </w:rPr>
        <w:t>/m.</w:t>
      </w:r>
    </w:p>
    <w:p w:rsidR="0047701B" w:rsidRDefault="0047701B">
      <w:pPr>
        <w:rPr>
          <w:rFonts w:cs="Calibri"/>
          <w:lang w:val="en-AU"/>
        </w:rPr>
      </w:pPr>
    </w:p>
    <w:p w:rsidR="00094E0C" w:rsidRDefault="00074C14">
      <w:pPr>
        <w:rPr>
          <w:rFonts w:cs="Calibri"/>
          <w:lang w:val="en-AU"/>
        </w:rPr>
      </w:pPr>
      <w:r>
        <w:rPr>
          <w:rFonts w:cs="Calibri"/>
          <w:lang w:val="en-AU"/>
        </w:rPr>
        <w:t xml:space="preserve">Meeting the coordination criteria that operation is in accordance with the </w:t>
      </w:r>
      <w:proofErr w:type="spellStart"/>
      <w:r>
        <w:rPr>
          <w:rFonts w:cs="Calibri"/>
          <w:lang w:val="en-AU"/>
        </w:rPr>
        <w:t>LIPD</w:t>
      </w:r>
      <w:proofErr w:type="spellEnd"/>
      <w:r>
        <w:rPr>
          <w:rFonts w:cs="Calibri"/>
          <w:lang w:val="en-AU"/>
        </w:rPr>
        <w:t xml:space="preserve"> class licence requires meeting the above criteria including the requirement not to cause interference to broadcasting television reception.  </w:t>
      </w:r>
      <w:r w:rsidR="002F6884">
        <w:rPr>
          <w:rFonts w:cs="Calibri"/>
          <w:lang w:val="en-AU"/>
        </w:rPr>
        <w:t>Note, while not specifi</w:t>
      </w:r>
      <w:r w:rsidR="00246C9A">
        <w:rPr>
          <w:rFonts w:cs="Calibri"/>
          <w:lang w:val="en-AU"/>
        </w:rPr>
        <w:t>ed</w:t>
      </w:r>
      <w:r w:rsidR="002F6884">
        <w:rPr>
          <w:rFonts w:cs="Calibri"/>
          <w:lang w:val="en-AU"/>
        </w:rPr>
        <w:t xml:space="preserve">, implicit in the </w:t>
      </w:r>
      <w:proofErr w:type="spellStart"/>
      <w:r w:rsidR="002F6884">
        <w:rPr>
          <w:rFonts w:cs="Calibri"/>
          <w:lang w:val="en-AU"/>
        </w:rPr>
        <w:t>LIPD</w:t>
      </w:r>
      <w:proofErr w:type="spellEnd"/>
      <w:r w:rsidR="002F6884">
        <w:rPr>
          <w:rFonts w:cs="Calibri"/>
          <w:lang w:val="en-AU"/>
        </w:rPr>
        <w:t xml:space="preserve"> requirem</w:t>
      </w:r>
      <w:r w:rsidR="00246C9A">
        <w:rPr>
          <w:rFonts w:cs="Calibri"/>
          <w:lang w:val="en-AU"/>
        </w:rPr>
        <w:t xml:space="preserve">ents is that the </w:t>
      </w:r>
      <w:r w:rsidR="002F6884">
        <w:rPr>
          <w:rFonts w:cs="Calibri"/>
          <w:lang w:val="en-AU"/>
        </w:rPr>
        <w:t>wireless audio device is operated by a person at ground level at average ground height, as a handheld device or equivalent. If</w:t>
      </w:r>
      <w:r w:rsidR="00FB1ADD" w:rsidRPr="00FB1ADD">
        <w:rPr>
          <w:rFonts w:cs="Calibri"/>
          <w:lang w:val="en-AU"/>
        </w:rPr>
        <w:t xml:space="preserve"> </w:t>
      </w:r>
      <w:r w:rsidR="00FB1ADD">
        <w:rPr>
          <w:rFonts w:cs="Calibri"/>
          <w:lang w:val="en-AU"/>
        </w:rPr>
        <w:t xml:space="preserve">operating under an apparatus licence </w:t>
      </w:r>
      <w:r w:rsidR="002F6884">
        <w:rPr>
          <w:rFonts w:cs="Calibri"/>
          <w:lang w:val="en-AU"/>
        </w:rPr>
        <w:t>in a different environment (</w:t>
      </w:r>
      <w:r w:rsidR="00FB1ADD">
        <w:rPr>
          <w:rFonts w:cs="Calibri"/>
          <w:lang w:val="en-AU"/>
        </w:rPr>
        <w:t>e.g.</w:t>
      </w:r>
      <w:r w:rsidR="002F6884">
        <w:rPr>
          <w:rFonts w:cs="Calibri"/>
          <w:lang w:val="en-AU"/>
        </w:rPr>
        <w:t xml:space="preserve"> on top a building or high site) then additional assessment </w:t>
      </w:r>
      <w:r w:rsidR="00CC419F">
        <w:rPr>
          <w:rFonts w:cs="Calibri"/>
          <w:lang w:val="en-AU"/>
        </w:rPr>
        <w:t xml:space="preserve">might be </w:t>
      </w:r>
      <w:r w:rsidR="002F6884">
        <w:rPr>
          <w:rFonts w:cs="Calibri"/>
          <w:lang w:val="en-AU"/>
        </w:rPr>
        <w:t xml:space="preserve">required. </w:t>
      </w:r>
    </w:p>
    <w:p w:rsidR="007960E5" w:rsidRDefault="007960E5">
      <w:pPr>
        <w:rPr>
          <w:rFonts w:cs="Calibri"/>
          <w:lang w:val="en-AU"/>
        </w:rPr>
      </w:pPr>
    </w:p>
    <w:p w:rsidR="007960E5" w:rsidRDefault="007960E5">
      <w:pPr>
        <w:rPr>
          <w:rFonts w:cs="Calibri"/>
          <w:lang w:val="en-AU"/>
        </w:rPr>
      </w:pPr>
      <w:r>
        <w:rPr>
          <w:rFonts w:cs="Calibri"/>
          <w:lang w:val="en-AU"/>
        </w:rPr>
        <w:t xml:space="preserve">For wireless audio device operating in accordance </w:t>
      </w:r>
      <w:r w:rsidR="00E565D5">
        <w:rPr>
          <w:rFonts w:cs="Calibri"/>
          <w:lang w:val="en-AU"/>
        </w:rPr>
        <w:t xml:space="preserve">the </w:t>
      </w:r>
      <w:proofErr w:type="spellStart"/>
      <w:r w:rsidR="00E565D5">
        <w:rPr>
          <w:rFonts w:cs="Calibri"/>
          <w:lang w:val="en-AU"/>
        </w:rPr>
        <w:t>LIPD</w:t>
      </w:r>
      <w:proofErr w:type="spellEnd"/>
      <w:r w:rsidR="00E565D5">
        <w:rPr>
          <w:rFonts w:cs="Calibri"/>
          <w:lang w:val="en-AU"/>
        </w:rPr>
        <w:t xml:space="preserve"> class licence (including the assumptions about operation as a hand held device by a person at ground level) </w:t>
      </w:r>
      <w:r w:rsidR="003C110C">
        <w:rPr>
          <w:rFonts w:cs="Calibri"/>
          <w:lang w:val="en-AU"/>
        </w:rPr>
        <w:t>the</w:t>
      </w:r>
      <w:r>
        <w:rPr>
          <w:rFonts w:cs="Calibri"/>
          <w:lang w:val="en-AU"/>
        </w:rPr>
        <w:t xml:space="preserve"> </w:t>
      </w:r>
      <w:proofErr w:type="spellStart"/>
      <w:r>
        <w:rPr>
          <w:rFonts w:cs="Calibri"/>
          <w:lang w:val="en-AU"/>
        </w:rPr>
        <w:t>ACMA’s</w:t>
      </w:r>
      <w:proofErr w:type="spellEnd"/>
      <w:r w:rsidR="003C110C">
        <w:rPr>
          <w:rFonts w:cs="Calibri"/>
          <w:lang w:val="en-AU"/>
        </w:rPr>
        <w:t xml:space="preserve"> channel finder</w:t>
      </w:r>
      <w:r w:rsidR="007D0350">
        <w:rPr>
          <w:rStyle w:val="FootnoteReference"/>
          <w:rFonts w:cs="Calibri"/>
          <w:lang w:val="en-AU"/>
        </w:rPr>
        <w:footnoteReference w:id="21"/>
      </w:r>
      <w:r w:rsidR="003C110C">
        <w:rPr>
          <w:rFonts w:cs="Calibri"/>
          <w:lang w:val="en-AU"/>
        </w:rPr>
        <w:t xml:space="preserve"> and regional fact sheets</w:t>
      </w:r>
      <w:r w:rsidR="007D0350">
        <w:rPr>
          <w:rStyle w:val="FootnoteReference"/>
          <w:rFonts w:cs="Calibri"/>
          <w:lang w:val="en-AU"/>
        </w:rPr>
        <w:footnoteReference w:id="22"/>
      </w:r>
      <w:r w:rsidR="003C110C">
        <w:rPr>
          <w:rFonts w:cs="Calibri"/>
          <w:lang w:val="en-AU"/>
        </w:rPr>
        <w:t xml:space="preserve"> on spectrum availability can be used to determine if the conditions of the </w:t>
      </w:r>
      <w:proofErr w:type="spellStart"/>
      <w:r w:rsidR="003C110C">
        <w:rPr>
          <w:rFonts w:cs="Calibri"/>
          <w:lang w:val="en-AU"/>
        </w:rPr>
        <w:t>LIPD</w:t>
      </w:r>
      <w:proofErr w:type="spellEnd"/>
      <w:r w:rsidR="003C110C">
        <w:rPr>
          <w:rFonts w:cs="Calibri"/>
          <w:lang w:val="en-AU"/>
        </w:rPr>
        <w:t xml:space="preserve"> class licence are met.</w:t>
      </w:r>
    </w:p>
    <w:p w:rsidR="00E91522" w:rsidRDefault="00E91522">
      <w:pPr>
        <w:rPr>
          <w:rFonts w:cs="Calibri"/>
          <w:lang w:val="en-AU"/>
        </w:rPr>
      </w:pPr>
    </w:p>
    <w:p w:rsidR="008A0517" w:rsidRDefault="008A0517">
      <w:pPr>
        <w:rPr>
          <w:rFonts w:cs="Calibri"/>
          <w:lang w:val="en-AU"/>
        </w:rPr>
      </w:pPr>
    </w:p>
    <w:p w:rsidR="00672B2C" w:rsidRPr="001117C9" w:rsidRDefault="00672B2C" w:rsidP="002B3098">
      <w:pPr>
        <w:pStyle w:val="Heading2"/>
        <w:numPr>
          <w:ilvl w:val="0"/>
          <w:numId w:val="0"/>
        </w:numPr>
        <w:rPr>
          <w:lang w:val="en-AU"/>
        </w:rPr>
      </w:pPr>
    </w:p>
    <w:sectPr w:rsidR="00672B2C" w:rsidRPr="001117C9" w:rsidSect="002C29E6">
      <w:headerReference w:type="even" r:id="rId33"/>
      <w:headerReference w:type="default" r:id="rId34"/>
      <w:headerReference w:type="first" r:id="rId35"/>
      <w:pgSz w:w="11907" w:h="16840" w:code="9"/>
      <w:pgMar w:top="1134" w:right="1134" w:bottom="1134" w:left="1418" w:header="720" w:footer="720" w:gutter="0"/>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776A" w:rsidRDefault="0005776A">
      <w:r>
        <w:separator/>
      </w:r>
    </w:p>
  </w:endnote>
  <w:endnote w:type="continuationSeparator" w:id="0">
    <w:p w:rsidR="0005776A" w:rsidRDefault="0005776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HelveticaNeueLT Std">
    <w:altName w:val="Arial"/>
    <w:panose1 w:val="00000000000000000000"/>
    <w:charset w:val="00"/>
    <w:family w:val="swiss"/>
    <w:notTrueType/>
    <w:pitch w:val="variable"/>
    <w:sig w:usb0="00000003" w:usb1="4000204A" w:usb2="00000000" w:usb3="00000000" w:csb0="00000001" w:csb1="00000000"/>
  </w:font>
  <w:font w:name="HelveticaNeueLT Std Lt">
    <w:panose1 w:val="00000000000000000000"/>
    <w:charset w:val="00"/>
    <w:family w:val="swiss"/>
    <w:notTrueType/>
    <w:pitch w:val="variable"/>
    <w:sig w:usb0="00000003" w:usb1="00000000" w:usb2="00000000" w:usb3="00000000" w:csb0="00000001" w:csb1="00000000"/>
  </w:font>
  <w:font w:name="HelveticaNeueW01-45Ligh">
    <w:altName w:val="Times New Roman"/>
    <w:charset w:val="00"/>
    <w:family w:val="auto"/>
    <w:pitch w:val="default"/>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A4388" w:rsidRDefault="00EA4388">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A4388" w:rsidRDefault="00EA4388">
    <w:pPr>
      <w:pStyle w:val="Footer"/>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Bdr>
        <w:bottom w:val="single" w:sz="48" w:space="1" w:color="auto"/>
      </w:pBdr>
      <w:rPr>
        <w:b/>
        <w:sz w:val="16"/>
      </w:rPr>
    </w:pPr>
  </w:p>
  <w:p w:rsidR="00EA4388" w:rsidRPr="009811DB" w:rsidRDefault="00EA4388" w:rsidP="009811DB">
    <w:pPr>
      <w:rPr>
        <w:rFonts w:cs="Calibri"/>
        <w:b/>
        <w:sz w:val="22"/>
      </w:rPr>
    </w:pPr>
    <w:r w:rsidRPr="009811DB">
      <w:rPr>
        <w:rFonts w:cs="Calibri"/>
        <w:b/>
        <w:sz w:val="22"/>
      </w:rPr>
      <w:t>AUSTRALIAN COMMUNICATIONS AND MEDIA AUTHORITY</w:t>
    </w:r>
  </w:p>
  <w:p w:rsidR="00EA4388" w:rsidRPr="009811DB" w:rsidRDefault="00EA4388" w:rsidP="009811DB">
    <w:pPr>
      <w:rPr>
        <w:rFonts w:cs="Calibri"/>
        <w:b/>
        <w:sz w:val="22"/>
      </w:rPr>
    </w:pPr>
    <w:r w:rsidRPr="009811DB">
      <w:rPr>
        <w:rFonts w:cs="Calibri"/>
        <w:b/>
        <w:sz w:val="22"/>
      </w:rPr>
      <w:t xml:space="preserve">SPECTRUM </w:t>
    </w:r>
    <w:r>
      <w:rPr>
        <w:rFonts w:cs="Calibri"/>
        <w:b/>
        <w:sz w:val="22"/>
      </w:rPr>
      <w:t>PLANNING AND ENGINEERING</w:t>
    </w:r>
    <w:r w:rsidRPr="009811DB">
      <w:rPr>
        <w:rFonts w:cs="Calibri"/>
        <w:b/>
        <w:sz w:val="22"/>
      </w:rPr>
      <w:t xml:space="preserve"> BRANCH</w:t>
    </w:r>
  </w:p>
  <w:p w:rsidR="00EA4388" w:rsidRDefault="00EA4388" w:rsidP="002B3501"/>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Pr="009811DB" w:rsidRDefault="0096139F" w:rsidP="00545509">
    <w:pPr>
      <w:pStyle w:val="Footer"/>
      <w:pBdr>
        <w:top w:val="single" w:sz="12" w:space="1" w:color="auto"/>
      </w:pBdr>
      <w:tabs>
        <w:tab w:val="left" w:pos="4388"/>
        <w:tab w:val="left" w:pos="7866"/>
        <w:tab w:val="right" w:pos="9355"/>
      </w:tabs>
      <w:rPr>
        <w:rFonts w:cs="Calibri"/>
        <w:sz w:val="20"/>
      </w:rPr>
    </w:pPr>
    <w:r>
      <w:rPr>
        <w:rFonts w:cs="Calibri"/>
        <w:sz w:val="20"/>
      </w:rPr>
      <w:t>LM</w:t>
    </w:r>
    <w:r w:rsidR="00EA4388">
      <w:rPr>
        <w:rFonts w:cs="Calibri"/>
        <w:sz w:val="20"/>
      </w:rPr>
      <w:t xml:space="preserve"> </w:t>
    </w:r>
    <w:r w:rsidR="00C90B9F">
      <w:rPr>
        <w:rFonts w:cs="Calibri"/>
        <w:sz w:val="20"/>
      </w:rPr>
      <w:t>9</w:t>
    </w:r>
    <w:r w:rsidR="00EA4388" w:rsidRPr="009811DB">
      <w:rPr>
        <w:rFonts w:cs="Calibri"/>
        <w:sz w:val="20"/>
      </w:rPr>
      <w:tab/>
    </w:r>
    <w:r w:rsidR="00EA4388">
      <w:rPr>
        <w:rFonts w:cs="Calibri"/>
        <w:sz w:val="20"/>
      </w:rPr>
      <w:tab/>
    </w:r>
    <w:r w:rsidR="00EA4388">
      <w:rPr>
        <w:rFonts w:cs="Calibri"/>
        <w:sz w:val="20"/>
      </w:rPr>
      <w:tab/>
    </w:r>
    <w:r w:rsidR="00C90B9F">
      <w:rPr>
        <w:rFonts w:cs="Calibri"/>
        <w:sz w:val="20"/>
      </w:rPr>
      <w:t>February 2015</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Pr="007E315A" w:rsidRDefault="0096139F">
    <w:pPr>
      <w:pStyle w:val="Footer"/>
      <w:pBdr>
        <w:top w:val="single" w:sz="12" w:space="0" w:color="auto"/>
      </w:pBdr>
      <w:tabs>
        <w:tab w:val="right" w:pos="9355"/>
      </w:tabs>
      <w:rPr>
        <w:rFonts w:cs="Calibri"/>
      </w:rPr>
    </w:pPr>
    <w:r>
      <w:rPr>
        <w:rFonts w:cs="Calibri"/>
        <w:sz w:val="20"/>
      </w:rPr>
      <w:t>LM</w:t>
    </w:r>
    <w:r w:rsidR="00EA4388">
      <w:rPr>
        <w:rFonts w:cs="Calibri"/>
        <w:sz w:val="20"/>
      </w:rPr>
      <w:t xml:space="preserve"> </w:t>
    </w:r>
    <w:r w:rsidR="00C90B9F">
      <w:rPr>
        <w:rFonts w:cs="Calibri"/>
        <w:sz w:val="20"/>
      </w:rPr>
      <w:t>9</w:t>
    </w:r>
    <w:r w:rsidR="00EA4388" w:rsidRPr="007E315A">
      <w:rPr>
        <w:rFonts w:cs="Calibri"/>
      </w:rPr>
      <w:tab/>
    </w:r>
    <w:r w:rsidR="00437F68">
      <w:rPr>
        <w:rFonts w:cs="Calibri"/>
        <w:sz w:val="20"/>
      </w:rPr>
      <w:t>February 2015</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776A" w:rsidRDefault="0005776A">
      <w:r>
        <w:separator/>
      </w:r>
    </w:p>
  </w:footnote>
  <w:footnote w:type="continuationSeparator" w:id="0">
    <w:p w:rsidR="0005776A" w:rsidRDefault="0005776A">
      <w:r>
        <w:continuationSeparator/>
      </w:r>
    </w:p>
  </w:footnote>
  <w:footnote w:id="1">
    <w:p w:rsidR="00EA4388" w:rsidRPr="00B00554" w:rsidRDefault="00EA4388" w:rsidP="006833FC">
      <w:pPr>
        <w:pStyle w:val="FootnoteText"/>
        <w:rPr>
          <w:lang w:val="en-AU"/>
        </w:rPr>
      </w:pPr>
      <w:r>
        <w:rPr>
          <w:rStyle w:val="FootnoteReference"/>
        </w:rPr>
        <w:footnoteRef/>
      </w:r>
      <w:r>
        <w:t xml:space="preserve"> </w:t>
      </w:r>
      <w:r>
        <w:rPr>
          <w:lang w:val="en-AU"/>
        </w:rPr>
        <w:t xml:space="preserve">See </w:t>
      </w:r>
      <w:proofErr w:type="spellStart"/>
      <w:r>
        <w:rPr>
          <w:lang w:val="en-AU"/>
        </w:rPr>
        <w:t>comlaw</w:t>
      </w:r>
      <w:proofErr w:type="spellEnd"/>
      <w:r>
        <w:rPr>
          <w:lang w:val="en-AU"/>
        </w:rPr>
        <w:t xml:space="preserve"> </w:t>
      </w:r>
      <w:hyperlink r:id="rId1" w:history="1">
        <w:r w:rsidRPr="008C1CD4">
          <w:rPr>
            <w:rStyle w:val="Hyperlink"/>
            <w:rFonts w:cs="Calibri"/>
          </w:rPr>
          <w:t>http://www.comlaw.gov.au/Series/F2005B00339</w:t>
        </w:r>
      </w:hyperlink>
      <w:r>
        <w:rPr>
          <w:rFonts w:cs="Calibri"/>
        </w:rPr>
        <w:t xml:space="preserve"> </w:t>
      </w:r>
    </w:p>
  </w:footnote>
  <w:footnote w:id="2">
    <w:p w:rsidR="002D0AD2" w:rsidRPr="008B38DF" w:rsidRDefault="002D0AD2">
      <w:pPr>
        <w:pStyle w:val="FootnoteText"/>
        <w:rPr>
          <w:lang w:val="en-AU"/>
        </w:rPr>
      </w:pPr>
      <w:r>
        <w:rPr>
          <w:rStyle w:val="FootnoteReference"/>
        </w:rPr>
        <w:footnoteRef/>
      </w:r>
      <w:r>
        <w:t xml:space="preserve"> </w:t>
      </w:r>
      <w:r>
        <w:rPr>
          <w:lang w:val="en-AU"/>
        </w:rPr>
        <w:t xml:space="preserve">See </w:t>
      </w:r>
      <w:hyperlink r:id="rId2" w:history="1">
        <w:r w:rsidRPr="00464DFD">
          <w:rPr>
            <w:rStyle w:val="Hyperlink"/>
            <w:lang w:val="en-AU"/>
          </w:rPr>
          <w:t>http://acma.gov.au/Industry/Suppliers/A-Type-of-equipment/WirelessMicrophones/frequency-finder-tools</w:t>
        </w:r>
      </w:hyperlink>
      <w:r>
        <w:rPr>
          <w:lang w:val="en-AU"/>
        </w:rPr>
        <w:t xml:space="preserve"> </w:t>
      </w:r>
    </w:p>
  </w:footnote>
  <w:footnote w:id="3">
    <w:p w:rsidR="0096139F" w:rsidRPr="0096139F" w:rsidRDefault="0096139F">
      <w:pPr>
        <w:pStyle w:val="FootnoteText"/>
        <w:rPr>
          <w:lang w:val="en-AU"/>
        </w:rPr>
      </w:pPr>
      <w:r>
        <w:rPr>
          <w:rStyle w:val="FootnoteReference"/>
        </w:rPr>
        <w:footnoteRef/>
      </w:r>
      <w:r>
        <w:t xml:space="preserve"> </w:t>
      </w:r>
      <w:r>
        <w:rPr>
          <w:lang w:val="en-AU"/>
        </w:rPr>
        <w:t xml:space="preserve">See </w:t>
      </w:r>
      <w:hyperlink r:id="rId3" w:history="1">
        <w:r w:rsidRPr="003137EE">
          <w:rPr>
            <w:rStyle w:val="Hyperlink"/>
            <w:lang w:val="en-AU"/>
          </w:rPr>
          <w:t>http://www.acma.gov.au/Industry/Spectrum/Radiocomms-licensing/Class-licences/class-licences</w:t>
        </w:r>
      </w:hyperlink>
      <w:r>
        <w:rPr>
          <w:lang w:val="en-AU"/>
        </w:rPr>
        <w:t xml:space="preserve"> </w:t>
      </w:r>
    </w:p>
  </w:footnote>
  <w:footnote w:id="4">
    <w:p w:rsidR="00EA4388" w:rsidRPr="00545509" w:rsidRDefault="00EA4388">
      <w:pPr>
        <w:pStyle w:val="FootnoteText"/>
        <w:rPr>
          <w:lang w:val="en-AU"/>
        </w:rPr>
      </w:pPr>
      <w:r>
        <w:rPr>
          <w:rStyle w:val="FootnoteReference"/>
        </w:rPr>
        <w:footnoteRef/>
      </w:r>
      <w:r>
        <w:t xml:space="preserve"> </w:t>
      </w:r>
      <w:r>
        <w:rPr>
          <w:lang w:val="en-AU"/>
        </w:rPr>
        <w:t xml:space="preserve"> The ACMA</w:t>
      </w:r>
      <w:r w:rsidR="001B7B37">
        <w:rPr>
          <w:lang w:val="en-AU"/>
        </w:rPr>
        <w:t xml:space="preserve"> is considering class licencing</w:t>
      </w:r>
      <w:r>
        <w:rPr>
          <w:lang w:val="en-AU"/>
        </w:rPr>
        <w:t xml:space="preserve"> indoor use in 1786-1790 MHz, with 1785-1786 MHz being a 1 MHz guard </w:t>
      </w:r>
      <w:r w:rsidR="00054C8E">
        <w:rPr>
          <w:lang w:val="en-AU"/>
        </w:rPr>
        <w:t>band between</w:t>
      </w:r>
      <w:r>
        <w:rPr>
          <w:lang w:val="en-AU"/>
        </w:rPr>
        <w:t xml:space="preserve"> adjacent band 1.8 GHz mobile broadband services (apparatus &amp; spectrum licence in 1710-1785 MHz).  </w:t>
      </w:r>
      <w:r w:rsidR="00AC1749">
        <w:rPr>
          <w:lang w:val="en-AU"/>
        </w:rPr>
        <w:t xml:space="preserve">See </w:t>
      </w:r>
      <w:proofErr w:type="spellStart"/>
      <w:r w:rsidR="00AC1749" w:rsidRPr="00AC1749">
        <w:rPr>
          <w:lang w:val="en"/>
        </w:rPr>
        <w:t>IFC</w:t>
      </w:r>
      <w:proofErr w:type="spellEnd"/>
      <w:r w:rsidR="00AC1749" w:rsidRPr="00AC1749">
        <w:rPr>
          <w:lang w:val="en"/>
        </w:rPr>
        <w:t xml:space="preserve"> 60/2014 </w:t>
      </w:r>
      <w:hyperlink r:id="rId4" w:history="1">
        <w:r w:rsidR="00AC1749" w:rsidRPr="00AC1749">
          <w:rPr>
            <w:rStyle w:val="Hyperlink"/>
            <w:lang w:val="en"/>
          </w:rPr>
          <w:t xml:space="preserve">Proposal to remake the </w:t>
        </w:r>
        <w:proofErr w:type="spellStart"/>
        <w:r w:rsidR="00AC1749" w:rsidRPr="00AC1749">
          <w:rPr>
            <w:rStyle w:val="Hyperlink"/>
            <w:lang w:val="en"/>
          </w:rPr>
          <w:t>LIPD</w:t>
        </w:r>
        <w:proofErr w:type="spellEnd"/>
        <w:r w:rsidR="00AC1749" w:rsidRPr="00AC1749">
          <w:rPr>
            <w:rStyle w:val="Hyperlink"/>
            <w:lang w:val="en"/>
          </w:rPr>
          <w:t xml:space="preserve"> Class </w:t>
        </w:r>
        <w:proofErr w:type="spellStart"/>
        <w:r w:rsidR="00AC1749" w:rsidRPr="00AC1749">
          <w:rPr>
            <w:rStyle w:val="Hyperlink"/>
            <w:lang w:val="en"/>
          </w:rPr>
          <w:t>Licence</w:t>
        </w:r>
        <w:proofErr w:type="spellEnd"/>
        <w:r w:rsidR="00AC1749" w:rsidRPr="00AC1749">
          <w:rPr>
            <w:rStyle w:val="Hyperlink"/>
            <w:lang w:val="en"/>
          </w:rPr>
          <w:t xml:space="preserve"> with variations</w:t>
        </w:r>
      </w:hyperlink>
      <w:r w:rsidR="00AC1749" w:rsidRPr="00AC1749">
        <w:rPr>
          <w:lang w:val="en"/>
        </w:rPr>
        <w:t xml:space="preserve"> (17 Dec, closes 6 Mar 2015)</w:t>
      </w:r>
    </w:p>
  </w:footnote>
  <w:footnote w:id="5">
    <w:p w:rsidR="00EA4388" w:rsidRPr="000B343A" w:rsidRDefault="00EA4388">
      <w:pPr>
        <w:pStyle w:val="FootnoteText"/>
        <w:rPr>
          <w:lang w:val="en-US"/>
        </w:rPr>
      </w:pPr>
      <w:r>
        <w:rPr>
          <w:rStyle w:val="FootnoteReference"/>
        </w:rPr>
        <w:footnoteRef/>
      </w:r>
      <w:r>
        <w:t xml:space="preserve"> </w:t>
      </w:r>
      <w:r>
        <w:rPr>
          <w:lang w:val="en-US"/>
        </w:rPr>
        <w:t xml:space="preserve">See </w:t>
      </w:r>
      <w:hyperlink r:id="rId5" w:history="1">
        <w:r w:rsidRPr="009A6532">
          <w:rPr>
            <w:rStyle w:val="Hyperlink"/>
            <w:lang w:val="en-US"/>
          </w:rPr>
          <w:t>http://acma.gov.au/Industry/Spectrum/Radiocomms-licensing/Apparatus-licences/apparatus-licensing-overview</w:t>
        </w:r>
      </w:hyperlink>
      <w:r>
        <w:rPr>
          <w:lang w:val="en-US"/>
        </w:rPr>
        <w:t xml:space="preserve"> </w:t>
      </w:r>
    </w:p>
  </w:footnote>
  <w:footnote w:id="6">
    <w:p w:rsidR="00EA4388" w:rsidRPr="00472DB6" w:rsidRDefault="00EA4388">
      <w:pPr>
        <w:pStyle w:val="FootnoteText"/>
        <w:rPr>
          <w:lang w:val="en-US"/>
        </w:rPr>
      </w:pPr>
      <w:r>
        <w:rPr>
          <w:rStyle w:val="FootnoteReference"/>
        </w:rPr>
        <w:footnoteRef/>
      </w:r>
      <w:r>
        <w:t xml:space="preserve"> </w:t>
      </w:r>
      <w:r w:rsidRPr="00472DB6">
        <w:rPr>
          <w:lang w:val="en"/>
        </w:rPr>
        <w:t xml:space="preserve">A 'person' is defined, by subsection 22(1) of the </w:t>
      </w:r>
      <w:hyperlink r:id="rId6" w:tgtFrame="_top" w:history="1">
        <w:r w:rsidRPr="00472DB6">
          <w:rPr>
            <w:rStyle w:val="Hyperlink"/>
            <w:i/>
            <w:iCs/>
            <w:lang w:val="en"/>
          </w:rPr>
          <w:t>Acts Interpretation Act 1901</w:t>
        </w:r>
      </w:hyperlink>
      <w:r w:rsidRPr="00472DB6">
        <w:rPr>
          <w:lang w:val="en"/>
        </w:rPr>
        <w:t>, to mean an individual, a body politic (i.e. a government) and a body corporate (for example, a 'company', a 'statutory corporation', or an 'incorporated association')</w:t>
      </w:r>
    </w:p>
  </w:footnote>
  <w:footnote w:id="7">
    <w:p w:rsidR="00EA4388" w:rsidRPr="006421B3" w:rsidRDefault="00EA4388" w:rsidP="006421B3">
      <w:pPr>
        <w:pStyle w:val="FootnoteText"/>
        <w:rPr>
          <w:lang w:val="en-AU"/>
        </w:rPr>
      </w:pPr>
      <w:r>
        <w:rPr>
          <w:rStyle w:val="FootnoteReference"/>
        </w:rPr>
        <w:footnoteRef/>
      </w:r>
      <w:r>
        <w:t xml:space="preserve"> </w:t>
      </w:r>
      <w:r>
        <w:rPr>
          <w:lang w:val="en-US"/>
        </w:rPr>
        <w:t xml:space="preserve">See </w:t>
      </w:r>
      <w:r w:rsidRPr="006421B3">
        <w:rPr>
          <w:i/>
          <w:lang w:val="en-AU"/>
        </w:rPr>
        <w:t xml:space="preserve">Radiocommunications (Transmitter Licence Tax) Determination 2003 (No. 2) </w:t>
      </w:r>
      <w:r w:rsidRPr="006421B3">
        <w:rPr>
          <w:lang w:val="en-AU"/>
        </w:rPr>
        <w:t>and</w:t>
      </w:r>
      <w:r w:rsidRPr="006421B3">
        <w:rPr>
          <w:i/>
          <w:lang w:val="en-AU"/>
        </w:rPr>
        <w:t xml:space="preserve">  Radiocommunications (Charges) Determination 2007</w:t>
      </w:r>
    </w:p>
  </w:footnote>
  <w:footnote w:id="8">
    <w:p w:rsidR="00EA4388" w:rsidRPr="00472DB6" w:rsidRDefault="00EA4388">
      <w:pPr>
        <w:pStyle w:val="FootnoteText"/>
        <w:rPr>
          <w:lang w:val="en-US"/>
        </w:rPr>
      </w:pPr>
      <w:r>
        <w:rPr>
          <w:rStyle w:val="FootnoteReference"/>
        </w:rPr>
        <w:footnoteRef/>
      </w:r>
      <w:r>
        <w:t xml:space="preserve"> </w:t>
      </w:r>
      <w:r>
        <w:rPr>
          <w:lang w:val="en-US"/>
        </w:rPr>
        <w:t xml:space="preserve">See </w:t>
      </w:r>
      <w:hyperlink r:id="rId7" w:history="1">
        <w:r w:rsidRPr="004F18F0">
          <w:rPr>
            <w:rStyle w:val="Hyperlink"/>
            <w:lang w:val="en-US"/>
          </w:rPr>
          <w:t>http://acma.gov.au/Industry/Spectrum/Radiocomms-licensing/Apparatus-licences/apparatus-licensing-system-acquire-a-licence-acma</w:t>
        </w:r>
      </w:hyperlink>
      <w:r>
        <w:rPr>
          <w:lang w:val="en-US"/>
        </w:rPr>
        <w:t xml:space="preserve"> </w:t>
      </w:r>
    </w:p>
  </w:footnote>
  <w:footnote w:id="9">
    <w:p w:rsidR="00EA4388" w:rsidRPr="00AB095B" w:rsidRDefault="00EA4388">
      <w:pPr>
        <w:pStyle w:val="FootnoteText"/>
        <w:rPr>
          <w:lang w:val="en-US"/>
        </w:rPr>
      </w:pPr>
      <w:r>
        <w:rPr>
          <w:rStyle w:val="FootnoteReference"/>
        </w:rPr>
        <w:footnoteRef/>
      </w:r>
      <w:r>
        <w:t xml:space="preserve">See </w:t>
      </w:r>
      <w:hyperlink r:id="rId8" w:history="1">
        <w:r w:rsidRPr="004F1500">
          <w:rPr>
            <w:rStyle w:val="Hyperlink"/>
          </w:rPr>
          <w:t>http://www.acma.gov.au/theACMA/land-mobile-licences-guidelines</w:t>
        </w:r>
      </w:hyperlink>
      <w:r>
        <w:t xml:space="preserve"> </w:t>
      </w:r>
    </w:p>
  </w:footnote>
  <w:footnote w:id="10">
    <w:p w:rsidR="00EA4388" w:rsidRPr="00A86AC1" w:rsidRDefault="00EA4388">
      <w:pPr>
        <w:pStyle w:val="FootnoteText"/>
        <w:rPr>
          <w:lang w:val="en-AU"/>
        </w:rPr>
      </w:pPr>
      <w:r>
        <w:rPr>
          <w:rStyle w:val="FootnoteReference"/>
        </w:rPr>
        <w:footnoteRef/>
      </w:r>
      <w:r>
        <w:t xml:space="preserve"> </w:t>
      </w:r>
      <w:r>
        <w:rPr>
          <w:lang w:val="en-AU"/>
        </w:rPr>
        <w:t xml:space="preserve"> See </w:t>
      </w:r>
      <w:hyperlink r:id="rId9" w:history="1">
        <w:r w:rsidRPr="00756775">
          <w:rPr>
            <w:rStyle w:val="Hyperlink"/>
            <w:lang w:val="en-AU"/>
          </w:rPr>
          <w:t>http://www.acma.gov.au/theACMA/Library/Corporate-library/Forms-and-registers/radiofrequency-spectrum-forms</w:t>
        </w:r>
      </w:hyperlink>
      <w:r>
        <w:rPr>
          <w:lang w:val="en-AU"/>
        </w:rPr>
        <w:t xml:space="preserve"> </w:t>
      </w:r>
    </w:p>
  </w:footnote>
  <w:footnote w:id="11">
    <w:p w:rsidR="00EA4388" w:rsidRPr="00A118EE" w:rsidRDefault="00EA4388" w:rsidP="003C703D">
      <w:pPr>
        <w:pStyle w:val="FootnoteText"/>
        <w:rPr>
          <w:lang w:val="en-US"/>
        </w:rPr>
      </w:pPr>
      <w:r>
        <w:rPr>
          <w:rStyle w:val="FootnoteReference"/>
        </w:rPr>
        <w:footnoteRef/>
      </w:r>
      <w:r>
        <w:t xml:space="preserve"> The </w:t>
      </w:r>
      <w:r>
        <w:rPr>
          <w:rFonts w:cs="Calibri"/>
        </w:rPr>
        <w:t xml:space="preserve">Radiocommunications (Wireless Audio Transmitters) Determination. </w:t>
      </w:r>
      <w:r>
        <w:t xml:space="preserve"> </w:t>
      </w:r>
      <w:r>
        <w:rPr>
          <w:lang w:val="en-US"/>
        </w:rPr>
        <w:t xml:space="preserve">See </w:t>
      </w:r>
      <w:hyperlink r:id="rId10" w:history="1">
        <w:r w:rsidRPr="000E2815">
          <w:rPr>
            <w:rStyle w:val="Hyperlink"/>
            <w:lang w:val="en-US"/>
          </w:rPr>
          <w:t>http://acma.gov.au/webwr/lib286/rad_wat06.pdf</w:t>
        </w:r>
      </w:hyperlink>
      <w:r>
        <w:rPr>
          <w:lang w:val="en-US"/>
        </w:rPr>
        <w:t xml:space="preserve"> </w:t>
      </w:r>
    </w:p>
  </w:footnote>
  <w:footnote w:id="12">
    <w:p w:rsidR="00EA4388" w:rsidRPr="00696F82" w:rsidRDefault="00EA4388" w:rsidP="003C703D">
      <w:pPr>
        <w:pStyle w:val="FootnoteText"/>
        <w:rPr>
          <w:lang w:val="en-US"/>
        </w:rPr>
      </w:pPr>
      <w:r>
        <w:rPr>
          <w:rStyle w:val="FootnoteReference"/>
        </w:rPr>
        <w:footnoteRef/>
      </w:r>
      <w:r>
        <w:t xml:space="preserve"> </w:t>
      </w:r>
      <w:r>
        <w:rPr>
          <w:lang w:val="en-US"/>
        </w:rPr>
        <w:t xml:space="preserve">See </w:t>
      </w:r>
      <w:hyperlink r:id="rId11" w:history="1">
        <w:r w:rsidRPr="000E2815">
          <w:rPr>
            <w:rStyle w:val="Hyperlink"/>
            <w:lang w:val="en-US"/>
          </w:rPr>
          <w:t>http://www.acma.gov.au/Industry/Spectrum/Radiocomms-licensing/Apparatus-licences/radiocommunications-services-in-broadcasting-bands</w:t>
        </w:r>
      </w:hyperlink>
      <w:r>
        <w:rPr>
          <w:lang w:val="en-US"/>
        </w:rPr>
        <w:t xml:space="preserve"> </w:t>
      </w:r>
    </w:p>
  </w:footnote>
  <w:footnote w:id="13">
    <w:p w:rsidR="00EA4388" w:rsidRPr="00454FA5" w:rsidRDefault="00EA4388">
      <w:pPr>
        <w:pStyle w:val="FootnoteText"/>
        <w:rPr>
          <w:lang w:val="en-US"/>
        </w:rPr>
      </w:pPr>
      <w:r>
        <w:rPr>
          <w:rStyle w:val="FootnoteReference"/>
        </w:rPr>
        <w:footnoteRef/>
      </w:r>
      <w:r>
        <w:t xml:space="preserve"> </w:t>
      </w:r>
      <w:r>
        <w:rPr>
          <w:lang w:val="en-US"/>
        </w:rPr>
        <w:t xml:space="preserve">See </w:t>
      </w:r>
      <w:hyperlink r:id="rId12" w:history="1">
        <w:r w:rsidRPr="004F18F0">
          <w:rPr>
            <w:rStyle w:val="Hyperlink"/>
            <w:lang w:val="en-US"/>
          </w:rPr>
          <w:t>http://acma.gov.au/theACMA/About/Making-payments/Apparatus-licence-fees/apparatus-licence-fees-acma</w:t>
        </w:r>
      </w:hyperlink>
      <w:r>
        <w:rPr>
          <w:lang w:val="en-US"/>
        </w:rPr>
        <w:t xml:space="preserve"> </w:t>
      </w:r>
    </w:p>
  </w:footnote>
  <w:footnote w:id="14">
    <w:p w:rsidR="00466344" w:rsidRPr="001B2F31" w:rsidRDefault="00466344">
      <w:pPr>
        <w:pStyle w:val="FootnoteText"/>
        <w:rPr>
          <w:lang w:val="en-AU"/>
        </w:rPr>
      </w:pPr>
      <w:r>
        <w:rPr>
          <w:rStyle w:val="FootnoteReference"/>
        </w:rPr>
        <w:footnoteRef/>
      </w:r>
      <w:r>
        <w:t xml:space="preserve"> </w:t>
      </w:r>
      <w:r>
        <w:rPr>
          <w:lang w:val="en-AU"/>
        </w:rPr>
        <w:t xml:space="preserve"> See </w:t>
      </w:r>
      <w:hyperlink r:id="rId13" w:history="1">
        <w:r w:rsidRPr="006F5B42">
          <w:rPr>
            <w:rStyle w:val="Hyperlink"/>
            <w:rFonts w:cs="Calibri"/>
            <w:lang w:val="en-AU"/>
          </w:rPr>
          <w:t>http://www.acma.gov.au/theACMA/About/Making-payments/Apparatus-licence-fees/apparatus-licence-fees-acma</w:t>
        </w:r>
      </w:hyperlink>
      <w:r w:rsidR="001B7B37">
        <w:rPr>
          <w:rStyle w:val="Hyperlink"/>
          <w:rFonts w:cs="Calibri"/>
          <w:lang w:val="en-AU"/>
        </w:rPr>
        <w:t xml:space="preserve">. </w:t>
      </w:r>
      <w:r>
        <w:rPr>
          <w:rStyle w:val="Hyperlink"/>
          <w:rFonts w:cs="Calibri"/>
          <w:lang w:val="en-AU"/>
        </w:rPr>
        <w:t xml:space="preserve"> </w:t>
      </w:r>
    </w:p>
  </w:footnote>
  <w:footnote w:id="15">
    <w:p w:rsidR="00EA4388" w:rsidRPr="00D62CDA" w:rsidRDefault="00EA4388">
      <w:pPr>
        <w:pStyle w:val="FootnoteText"/>
        <w:rPr>
          <w:lang w:val="en-US"/>
        </w:rPr>
      </w:pPr>
      <w:r>
        <w:rPr>
          <w:rStyle w:val="FootnoteReference"/>
        </w:rPr>
        <w:footnoteRef/>
      </w:r>
      <w:r>
        <w:t xml:space="preserve"> </w:t>
      </w:r>
      <w:r>
        <w:rPr>
          <w:lang w:val="en-US"/>
        </w:rPr>
        <w:t xml:space="preserve">See </w:t>
      </w:r>
      <w:hyperlink r:id="rId14" w:history="1">
        <w:r w:rsidRPr="004F18F0">
          <w:rPr>
            <w:rStyle w:val="Hyperlink"/>
            <w:lang w:val="en-US"/>
          </w:rPr>
          <w:t>http://www.acma.gov.au/Industry/Spectrum/Radiocomms-licensing/Apparatus-licences/apparatus-licence-periods-apparatus-licensing-acma</w:t>
        </w:r>
      </w:hyperlink>
      <w:r>
        <w:rPr>
          <w:lang w:val="en-US"/>
        </w:rPr>
        <w:t xml:space="preserve"> </w:t>
      </w:r>
    </w:p>
  </w:footnote>
  <w:footnote w:id="16">
    <w:p w:rsidR="006A2CA8" w:rsidRPr="00992E74" w:rsidRDefault="006A2CA8" w:rsidP="006A2CA8">
      <w:pPr>
        <w:pStyle w:val="FootnoteText"/>
        <w:rPr>
          <w:lang w:val="en-AU"/>
        </w:rPr>
      </w:pPr>
      <w:r>
        <w:rPr>
          <w:rStyle w:val="FootnoteReference"/>
        </w:rPr>
        <w:footnoteRef/>
      </w:r>
      <w:r>
        <w:t xml:space="preserve"> </w:t>
      </w:r>
      <w:r>
        <w:rPr>
          <w:lang w:val="en-AU"/>
        </w:rPr>
        <w:t xml:space="preserve">See </w:t>
      </w:r>
      <w:hyperlink r:id="rId15" w:history="1">
        <w:r w:rsidRPr="00F450EE">
          <w:rPr>
            <w:rStyle w:val="Hyperlink"/>
            <w:lang w:val="en-AU"/>
          </w:rPr>
          <w:t>http://www.acma.gov.au/theACMA/significant-events-exemption-from-regulatory-arrangements</w:t>
        </w:r>
      </w:hyperlink>
      <w:r>
        <w:rPr>
          <w:lang w:val="en-AU"/>
        </w:rPr>
        <w:t xml:space="preserve"> </w:t>
      </w:r>
    </w:p>
  </w:footnote>
  <w:footnote w:id="17">
    <w:p w:rsidR="00C97FF4" w:rsidRPr="00C97FF4" w:rsidRDefault="00C97FF4">
      <w:pPr>
        <w:pStyle w:val="FootnoteText"/>
        <w:rPr>
          <w:lang w:val="en-AU"/>
        </w:rPr>
      </w:pPr>
      <w:r>
        <w:rPr>
          <w:rStyle w:val="FootnoteReference"/>
        </w:rPr>
        <w:footnoteRef/>
      </w:r>
      <w:r>
        <w:t xml:space="preserve"> </w:t>
      </w:r>
      <w:r>
        <w:rPr>
          <w:lang w:val="en-AU"/>
        </w:rPr>
        <w:t xml:space="preserve">See </w:t>
      </w:r>
      <w:hyperlink r:id="rId16" w:history="1">
        <w:r w:rsidRPr="003137EE">
          <w:rPr>
            <w:rStyle w:val="Hyperlink"/>
            <w:lang w:val="en-AU"/>
          </w:rPr>
          <w:t>http://www.comlaw.gov.au/Series/F2014L00960</w:t>
        </w:r>
      </w:hyperlink>
      <w:r>
        <w:rPr>
          <w:lang w:val="en-AU"/>
        </w:rPr>
        <w:t xml:space="preserve"> </w:t>
      </w:r>
    </w:p>
  </w:footnote>
  <w:footnote w:id="18">
    <w:p w:rsidR="00C97FF4" w:rsidRPr="00C97FF4" w:rsidRDefault="00C97FF4">
      <w:pPr>
        <w:pStyle w:val="FootnoteText"/>
        <w:rPr>
          <w:lang w:val="en-AU"/>
        </w:rPr>
      </w:pPr>
      <w:r>
        <w:rPr>
          <w:rStyle w:val="FootnoteReference"/>
        </w:rPr>
        <w:footnoteRef/>
      </w:r>
      <w:r>
        <w:t xml:space="preserve"> </w:t>
      </w:r>
      <w:r>
        <w:rPr>
          <w:lang w:val="en-AU"/>
        </w:rPr>
        <w:t xml:space="preserve">See </w:t>
      </w:r>
      <w:hyperlink r:id="rId17" w:history="1">
        <w:r w:rsidRPr="003137EE">
          <w:rPr>
            <w:rStyle w:val="Hyperlink"/>
            <w:lang w:val="en-AU"/>
          </w:rPr>
          <w:t>http://www.comlaw.gov.au/Series/F2014L01253</w:t>
        </w:r>
      </w:hyperlink>
      <w:r>
        <w:rPr>
          <w:lang w:val="en-AU"/>
        </w:rPr>
        <w:t xml:space="preserve"> </w:t>
      </w:r>
    </w:p>
  </w:footnote>
  <w:footnote w:id="19">
    <w:p w:rsidR="00C97FF4" w:rsidRPr="00C97FF4" w:rsidRDefault="00C97FF4">
      <w:pPr>
        <w:pStyle w:val="FootnoteText"/>
        <w:rPr>
          <w:lang w:val="en-AU"/>
        </w:rPr>
      </w:pPr>
      <w:r>
        <w:rPr>
          <w:rStyle w:val="FootnoteReference"/>
        </w:rPr>
        <w:footnoteRef/>
      </w:r>
      <w:r>
        <w:t xml:space="preserve"> </w:t>
      </w:r>
      <w:hyperlink r:id="rId18" w:history="1">
        <w:r w:rsidRPr="003137EE">
          <w:rPr>
            <w:rStyle w:val="Hyperlink"/>
          </w:rPr>
          <w:t>http://www.acma.gov.au/Industry/Suppliers/Supplier-resources/Technical-standards</w:t>
        </w:r>
      </w:hyperlink>
      <w:r>
        <w:t xml:space="preserve"> </w:t>
      </w:r>
    </w:p>
  </w:footnote>
  <w:footnote w:id="20">
    <w:p w:rsidR="00EA4388" w:rsidRPr="00CE0069" w:rsidRDefault="00EA4388">
      <w:pPr>
        <w:pStyle w:val="FootnoteText"/>
        <w:rPr>
          <w:lang w:val="en-US"/>
        </w:rPr>
      </w:pPr>
      <w:r>
        <w:rPr>
          <w:rStyle w:val="FootnoteReference"/>
        </w:rPr>
        <w:footnoteRef/>
      </w:r>
      <w:r>
        <w:t xml:space="preserve"> See </w:t>
      </w:r>
      <w:hyperlink r:id="rId19" w:history="1">
        <w:r w:rsidRPr="006F5B42">
          <w:rPr>
            <w:rStyle w:val="Hyperlink"/>
          </w:rPr>
          <w:t>http://www.etsi.org/standards-search</w:t>
        </w:r>
      </w:hyperlink>
      <w:r>
        <w:t xml:space="preserve"> </w:t>
      </w:r>
    </w:p>
  </w:footnote>
  <w:footnote w:id="21">
    <w:p w:rsidR="00EA4388" w:rsidRPr="007D0350" w:rsidRDefault="00EA4388">
      <w:pPr>
        <w:pStyle w:val="FootnoteText"/>
        <w:rPr>
          <w:lang w:val="en-AU"/>
        </w:rPr>
      </w:pPr>
      <w:r>
        <w:rPr>
          <w:rStyle w:val="FootnoteReference"/>
        </w:rPr>
        <w:footnoteRef/>
      </w:r>
      <w:r>
        <w:t xml:space="preserve"> </w:t>
      </w:r>
      <w:r>
        <w:rPr>
          <w:lang w:val="en-AU"/>
        </w:rPr>
        <w:t xml:space="preserve">See </w:t>
      </w:r>
      <w:hyperlink r:id="rId20" w:history="1">
        <w:r w:rsidRPr="00F450EE">
          <w:rPr>
            <w:rStyle w:val="Hyperlink"/>
            <w:lang w:val="en-AU"/>
          </w:rPr>
          <w:t>http://www.acma.gov.au/Industry/Suppliers/A-Type-of-equipment/WirelessMicrophones/frequency-finder-tools</w:t>
        </w:r>
      </w:hyperlink>
      <w:r>
        <w:rPr>
          <w:lang w:val="en-AU"/>
        </w:rPr>
        <w:t xml:space="preserve"> </w:t>
      </w:r>
    </w:p>
  </w:footnote>
  <w:footnote w:id="22">
    <w:p w:rsidR="00EA4388" w:rsidRPr="007D0350" w:rsidRDefault="00EA4388">
      <w:pPr>
        <w:pStyle w:val="FootnoteText"/>
        <w:rPr>
          <w:lang w:val="en-AU"/>
        </w:rPr>
      </w:pPr>
      <w:r>
        <w:rPr>
          <w:rStyle w:val="FootnoteReference"/>
        </w:rPr>
        <w:footnoteRef/>
      </w:r>
      <w:r>
        <w:t xml:space="preserve"> </w:t>
      </w:r>
      <w:r>
        <w:rPr>
          <w:lang w:val="en-AU"/>
        </w:rPr>
        <w:t xml:space="preserve">See </w:t>
      </w:r>
      <w:hyperlink r:id="rId21" w:history="1">
        <w:r w:rsidRPr="00F450EE">
          <w:rPr>
            <w:rStyle w:val="Hyperlink"/>
            <w:lang w:val="en-AU"/>
          </w:rPr>
          <w:t>http://www.acma.gov.au/Industry/Suppliers/A-Type-of-equipment/WirelessMicrophones/fact-sheets-and-faqs</w:t>
        </w:r>
      </w:hyperlink>
      <w:r>
        <w:rPr>
          <w:lang w:val="en-AU"/>
        </w:rP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rsidR="00EA4388" w:rsidRDefault="00EA4388">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Header"/>
      <w:jc w:val="center"/>
    </w:pPr>
    <w:r>
      <w:t xml:space="preserve">- </w:t>
    </w:r>
    <w:r>
      <w:fldChar w:fldCharType="begin"/>
    </w:r>
    <w:r>
      <w:instrText>PAGE</w:instrText>
    </w:r>
    <w:r>
      <w:fldChar w:fldCharType="separate"/>
    </w:r>
    <w:r>
      <w:t>8</w:t>
    </w:r>
    <w:r>
      <w:fldChar w:fldCharType="end"/>
    </w:r>
    <w:r>
      <w:t xml:space="preserve"> -</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tbl>
    <w:tblPr>
      <w:tblW w:w="0" w:type="auto"/>
      <w:tblInd w:w="5495" w:type="dxa"/>
      <w:tblLayout w:type="fixed"/>
      <w:tblLook w:val="0000" w:firstRow="0" w:lastRow="0" w:firstColumn="0" w:lastColumn="0" w:noHBand="0" w:noVBand="0"/>
    </w:tblPr>
    <w:tblGrid>
      <w:gridCol w:w="2410"/>
      <w:gridCol w:w="1559"/>
    </w:tblGrid>
    <w:tr w:rsidR="00EA4388">
      <w:trPr>
        <w:cantSplit/>
      </w:trPr>
      <w:tc>
        <w:tcPr>
          <w:tcW w:w="2410" w:type="dxa"/>
        </w:tcPr>
        <w:p w:rsidR="00EA4388" w:rsidRPr="007E315A" w:rsidRDefault="00EA4388" w:rsidP="00C35E41">
          <w:pPr>
            <w:jc w:val="right"/>
            <w:rPr>
              <w:rFonts w:cs="Calibri"/>
              <w:b/>
            </w:rPr>
          </w:pPr>
          <w:proofErr w:type="spellStart"/>
          <w:r w:rsidRPr="007E315A">
            <w:rPr>
              <w:rFonts w:cs="Calibri"/>
              <w:b/>
            </w:rPr>
            <w:t>RALI</w:t>
          </w:r>
          <w:proofErr w:type="spellEnd"/>
        </w:p>
      </w:tc>
      <w:tc>
        <w:tcPr>
          <w:tcW w:w="1559" w:type="dxa"/>
        </w:tcPr>
        <w:p w:rsidR="00EA4388" w:rsidRPr="007E315A" w:rsidRDefault="00EA4388" w:rsidP="00C35E41">
          <w:pPr>
            <w:rPr>
              <w:rFonts w:cs="Calibri"/>
              <w:b/>
            </w:rPr>
          </w:pPr>
          <w:r w:rsidRPr="007E315A">
            <w:rPr>
              <w:rFonts w:cs="Calibri"/>
              <w:b/>
            </w:rPr>
            <w:t xml:space="preserve">: </w:t>
          </w:r>
          <w:r>
            <w:rPr>
              <w:rFonts w:cs="Calibri"/>
              <w:b/>
            </w:rPr>
            <w:t xml:space="preserve"> LM</w:t>
          </w:r>
          <w:r w:rsidR="00C90B9F">
            <w:rPr>
              <w:rFonts w:cs="Calibri"/>
              <w:b/>
            </w:rPr>
            <w:t xml:space="preserve"> </w:t>
          </w:r>
          <w:r w:rsidR="0019460F">
            <w:rPr>
              <w:rFonts w:cs="Calibri"/>
              <w:b/>
            </w:rPr>
            <w:t>0</w:t>
          </w:r>
          <w:bookmarkStart w:id="0" w:name="_GoBack"/>
          <w:bookmarkEnd w:id="0"/>
          <w:r w:rsidR="00C90B9F">
            <w:rPr>
              <w:rFonts w:cs="Calibri"/>
              <w:b/>
            </w:rPr>
            <w:t>9</w:t>
          </w:r>
        </w:p>
      </w:tc>
    </w:tr>
    <w:tr w:rsidR="00EA4388">
      <w:trPr>
        <w:cantSplit/>
      </w:trPr>
      <w:tc>
        <w:tcPr>
          <w:tcW w:w="2410" w:type="dxa"/>
        </w:tcPr>
        <w:p w:rsidR="00EA4388" w:rsidRPr="007E315A" w:rsidRDefault="00EA4388" w:rsidP="00C35E41">
          <w:pPr>
            <w:jc w:val="right"/>
            <w:rPr>
              <w:rFonts w:cs="Calibri"/>
              <w:b/>
            </w:rPr>
          </w:pPr>
          <w:r w:rsidRPr="007E315A">
            <w:rPr>
              <w:rFonts w:cs="Calibri"/>
              <w:b/>
            </w:rPr>
            <w:t>DATE OF EFFECT</w:t>
          </w:r>
        </w:p>
      </w:tc>
      <w:tc>
        <w:tcPr>
          <w:tcW w:w="1559" w:type="dxa"/>
        </w:tcPr>
        <w:p w:rsidR="00EA4388" w:rsidRPr="007E315A" w:rsidRDefault="00EA4388" w:rsidP="00EE0A5E">
          <w:pPr>
            <w:rPr>
              <w:rFonts w:cs="Calibri"/>
              <w:b/>
            </w:rPr>
          </w:pPr>
          <w:r w:rsidRPr="007E315A">
            <w:rPr>
              <w:rFonts w:cs="Calibri"/>
              <w:b/>
            </w:rPr>
            <w:t xml:space="preserve">: </w:t>
          </w:r>
          <w:r w:rsidR="00EE0A5E">
            <w:rPr>
              <w:rFonts w:cs="Calibri"/>
              <w:b/>
            </w:rPr>
            <w:t>23</w:t>
          </w:r>
          <w:r w:rsidR="00C90B9F">
            <w:rPr>
              <w:rFonts w:cs="Calibri"/>
              <w:b/>
            </w:rPr>
            <w:t>/02/2015</w:t>
          </w:r>
        </w:p>
      </w:tc>
    </w:tr>
    <w:tr w:rsidR="00EA4388">
      <w:trPr>
        <w:cantSplit/>
      </w:trPr>
      <w:tc>
        <w:tcPr>
          <w:tcW w:w="2410" w:type="dxa"/>
        </w:tcPr>
        <w:p w:rsidR="00EA4388" w:rsidRPr="007E315A" w:rsidRDefault="00EA4388" w:rsidP="00C35E41">
          <w:pPr>
            <w:jc w:val="right"/>
            <w:rPr>
              <w:rFonts w:cs="Calibri"/>
              <w:b/>
              <w:sz w:val="20"/>
            </w:rPr>
          </w:pPr>
        </w:p>
      </w:tc>
      <w:tc>
        <w:tcPr>
          <w:tcW w:w="1559" w:type="dxa"/>
        </w:tcPr>
        <w:p w:rsidR="00EA4388" w:rsidRPr="007E315A" w:rsidRDefault="00EA4388" w:rsidP="00C35E41">
          <w:pPr>
            <w:rPr>
              <w:rFonts w:cs="Calibri"/>
              <w:b/>
            </w:rPr>
          </w:pPr>
        </w:p>
      </w:tc>
    </w:tr>
    <w:tr w:rsidR="00EA4388">
      <w:trPr>
        <w:cantSplit/>
      </w:trPr>
      <w:tc>
        <w:tcPr>
          <w:tcW w:w="2410" w:type="dxa"/>
        </w:tcPr>
        <w:p w:rsidR="00EA4388" w:rsidRPr="007E315A" w:rsidRDefault="00EA4388" w:rsidP="00C35E41">
          <w:pPr>
            <w:jc w:val="right"/>
            <w:rPr>
              <w:rFonts w:cs="Calibri"/>
              <w:b/>
              <w:sz w:val="20"/>
            </w:rPr>
          </w:pPr>
        </w:p>
      </w:tc>
      <w:tc>
        <w:tcPr>
          <w:tcW w:w="1559" w:type="dxa"/>
        </w:tcPr>
        <w:p w:rsidR="00EA4388" w:rsidRPr="007E315A" w:rsidRDefault="00EA4388" w:rsidP="00C35E41">
          <w:pPr>
            <w:rPr>
              <w:rFonts w:cs="Calibri"/>
              <w:b/>
            </w:rPr>
          </w:pPr>
          <w:r w:rsidRPr="007E315A">
            <w:rPr>
              <w:rFonts w:cs="Calibri"/>
              <w:b/>
            </w:rPr>
            <w:t xml:space="preserve"> </w:t>
          </w:r>
        </w:p>
      </w:tc>
    </w:tr>
  </w:tbl>
  <w:p w:rsidR="00EA4388" w:rsidRDefault="00EA4388">
    <w:pPr>
      <w:pBdr>
        <w:bottom w:val="single" w:sz="48" w:space="1" w:color="auto"/>
      </w:pBdr>
    </w:pPr>
  </w:p>
  <w:p w:rsidR="00EA4388" w:rsidRPr="007E315A" w:rsidRDefault="00EA4388">
    <w:pPr>
      <w:ind w:right="-851"/>
      <w:rPr>
        <w:rFonts w:cs="Calibri"/>
        <w:b/>
      </w:rPr>
    </w:pPr>
    <w:r w:rsidRPr="007E315A">
      <w:rPr>
        <w:rFonts w:cs="Calibri"/>
        <w:b/>
      </w:rPr>
      <w:t>Radiocommunications Assignment and Licensing Instruction</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F0D" w:rsidRDefault="00152F0D">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F0D" w:rsidRDefault="00152F0D">
    <w:pPr>
      <w:pStyle w:val="Header"/>
    </w:pP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F0D" w:rsidRDefault="00152F0D">
    <w:pPr>
      <w:pStyle w:val="Heade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2</w:t>
    </w:r>
    <w:r>
      <w:rPr>
        <w:rStyle w:val="PageNumber"/>
      </w:rPr>
      <w:fldChar w:fldCharType="end"/>
    </w:r>
  </w:p>
  <w:p w:rsidR="00EA4388" w:rsidRDefault="00EA4388">
    <w:pPr>
      <w:pStyle w:val="Header"/>
      <w:tabs>
        <w:tab w:val="right" w:pos="9356"/>
      </w:tabs>
    </w:pPr>
  </w:p>
  <w:p w:rsidR="00EA4388" w:rsidRDefault="00EA4388">
    <w:pPr>
      <w:pStyle w:val="Header"/>
      <w:tabs>
        <w:tab w:val="right" w:pos="9356"/>
      </w:tabs>
    </w:pP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Default="00EA4388">
    <w:pPr>
      <w:pStyle w:val="Header"/>
      <w:jc w:val="center"/>
      <w:rPr>
        <w:rStyle w:val="PageNumber"/>
      </w:rPr>
    </w:pPr>
    <w:r>
      <w:rPr>
        <w:rStyle w:val="PageNumber"/>
      </w:rPr>
      <w:fldChar w:fldCharType="begin"/>
    </w:r>
    <w:r>
      <w:rPr>
        <w:rStyle w:val="PageNumber"/>
      </w:rPr>
      <w:instrText xml:space="preserve"> PAGE </w:instrText>
    </w:r>
    <w:r>
      <w:rPr>
        <w:rStyle w:val="PageNumber"/>
      </w:rPr>
      <w:fldChar w:fldCharType="separate"/>
    </w:r>
    <w:r w:rsidR="0019460F">
      <w:rPr>
        <w:rStyle w:val="PageNumber"/>
        <w:noProof/>
      </w:rPr>
      <w:t>iii</w:t>
    </w:r>
    <w:r>
      <w:rPr>
        <w:rStyle w:val="PageNumber"/>
      </w:rPr>
      <w:fldChar w:fldCharType="end"/>
    </w: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F0D" w:rsidRDefault="00152F0D">
    <w:pPr>
      <w:pStyle w:val="Header"/>
    </w:pP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Pr="009811DB" w:rsidRDefault="00EA4388">
    <w:pPr>
      <w:pStyle w:val="Header"/>
      <w:framePr w:wrap="around" w:vAnchor="text" w:hAnchor="margin" w:xAlign="center" w:y="1"/>
      <w:rPr>
        <w:rStyle w:val="PageNumber"/>
        <w:rFonts w:asciiTheme="minorHAnsi" w:hAnsiTheme="minorHAnsi" w:cstheme="minorHAnsi"/>
      </w:rPr>
    </w:pPr>
    <w:r w:rsidRPr="009811DB">
      <w:rPr>
        <w:rStyle w:val="PageNumber"/>
        <w:rFonts w:asciiTheme="minorHAnsi" w:hAnsiTheme="minorHAnsi" w:cstheme="minorHAnsi"/>
      </w:rPr>
      <w:fldChar w:fldCharType="begin"/>
    </w:r>
    <w:r w:rsidRPr="009811DB">
      <w:rPr>
        <w:rStyle w:val="PageNumber"/>
        <w:rFonts w:asciiTheme="minorHAnsi" w:hAnsiTheme="minorHAnsi" w:cstheme="minorHAnsi"/>
      </w:rPr>
      <w:instrText xml:space="preserve">PAGE  </w:instrText>
    </w:r>
    <w:r w:rsidRPr="009811DB">
      <w:rPr>
        <w:rStyle w:val="PageNumber"/>
        <w:rFonts w:asciiTheme="minorHAnsi" w:hAnsiTheme="minorHAnsi" w:cstheme="minorHAnsi"/>
      </w:rPr>
      <w:fldChar w:fldCharType="separate"/>
    </w:r>
    <w:r w:rsidR="0019460F">
      <w:rPr>
        <w:rStyle w:val="PageNumber"/>
        <w:rFonts w:asciiTheme="minorHAnsi" w:hAnsiTheme="minorHAnsi" w:cstheme="minorHAnsi"/>
        <w:noProof/>
      </w:rPr>
      <w:t>8</w:t>
    </w:r>
    <w:r w:rsidRPr="009811DB">
      <w:rPr>
        <w:rStyle w:val="PageNumber"/>
        <w:rFonts w:asciiTheme="minorHAnsi" w:hAnsiTheme="minorHAnsi" w:cstheme="minorHAnsi"/>
      </w:rPr>
      <w:fldChar w:fldCharType="end"/>
    </w:r>
  </w:p>
  <w:p w:rsidR="00EA4388" w:rsidRDefault="00EA4388">
    <w:pPr>
      <w:jc w:val="right"/>
      <w:rPr>
        <w:b/>
      </w:rPr>
    </w:pPr>
  </w:p>
</w:hdr>
</file>

<file path=word/header1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Pr="009811DB" w:rsidRDefault="00EA4388" w:rsidP="00986C73">
    <w:pPr>
      <w:pStyle w:val="Header"/>
      <w:jc w:val="center"/>
      <w:rPr>
        <w:rStyle w:val="PageNumber"/>
        <w:rFonts w:asciiTheme="minorHAnsi" w:hAnsiTheme="minorHAnsi" w:cstheme="minorHAnsi"/>
      </w:rPr>
    </w:pPr>
    <w:r w:rsidRPr="009811DB">
      <w:rPr>
        <w:rStyle w:val="PageNumber"/>
        <w:rFonts w:asciiTheme="minorHAnsi" w:hAnsiTheme="minorHAnsi" w:cstheme="minorHAnsi"/>
      </w:rPr>
      <w:fldChar w:fldCharType="begin"/>
    </w:r>
    <w:r w:rsidRPr="009811DB">
      <w:rPr>
        <w:rStyle w:val="PageNumber"/>
        <w:rFonts w:asciiTheme="minorHAnsi" w:hAnsiTheme="minorHAnsi" w:cstheme="minorHAnsi"/>
      </w:rPr>
      <w:instrText xml:space="preserve"> PAGE </w:instrText>
    </w:r>
    <w:r w:rsidRPr="009811DB">
      <w:rPr>
        <w:rStyle w:val="PageNumber"/>
        <w:rFonts w:asciiTheme="minorHAnsi" w:hAnsiTheme="minorHAnsi" w:cstheme="minorHAnsi"/>
      </w:rPr>
      <w:fldChar w:fldCharType="separate"/>
    </w:r>
    <w:r w:rsidR="0019460F">
      <w:rPr>
        <w:rStyle w:val="PageNumber"/>
        <w:rFonts w:asciiTheme="minorHAnsi" w:hAnsiTheme="minorHAnsi" w:cstheme="minorHAnsi"/>
        <w:noProof/>
      </w:rPr>
      <w:t>1</w:t>
    </w:r>
    <w:r w:rsidRPr="009811DB">
      <w:rPr>
        <w:rStyle w:val="PageNumber"/>
        <w:rFonts w:asciiTheme="minorHAnsi" w:hAnsiTheme="minorHAnsi" w:cstheme="minorHAnsi"/>
      </w:rPr>
      <w:fldChar w:fldCharType="end"/>
    </w:r>
  </w:p>
</w:hdr>
</file>

<file path=word/header1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F0D" w:rsidRDefault="00152F0D">
    <w:pPr>
      <w:pStyle w:val="Header"/>
    </w:pPr>
  </w:p>
</w:hdr>
</file>

<file path=word/header1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52F0D" w:rsidRDefault="00152F0D">
    <w:pPr>
      <w:pStyle w:val="Header"/>
    </w:pPr>
  </w:p>
</w:hdr>
</file>

<file path=word/header1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A4388" w:rsidRPr="007E315A" w:rsidRDefault="00EA4388">
    <w:pPr>
      <w:pStyle w:val="Header"/>
      <w:framePr w:wrap="around" w:vAnchor="text" w:hAnchor="page" w:x="6193" w:y="13"/>
      <w:ind w:left="-142" w:right="-22" w:firstLine="142"/>
      <w:rPr>
        <w:rStyle w:val="PageNumber"/>
        <w:rFonts w:cs="Calibri"/>
      </w:rPr>
    </w:pPr>
    <w:r w:rsidRPr="007E315A">
      <w:rPr>
        <w:rStyle w:val="PageNumber"/>
        <w:rFonts w:cs="Calibri"/>
      </w:rPr>
      <w:fldChar w:fldCharType="begin"/>
    </w:r>
    <w:r w:rsidRPr="007E315A">
      <w:rPr>
        <w:rStyle w:val="PageNumber"/>
        <w:rFonts w:cs="Calibri"/>
      </w:rPr>
      <w:instrText xml:space="preserve">PAGE  </w:instrText>
    </w:r>
    <w:r w:rsidRPr="007E315A">
      <w:rPr>
        <w:rStyle w:val="PageNumber"/>
        <w:rFonts w:cs="Calibri"/>
      </w:rPr>
      <w:fldChar w:fldCharType="separate"/>
    </w:r>
    <w:r w:rsidR="0019460F">
      <w:rPr>
        <w:rStyle w:val="PageNumber"/>
        <w:rFonts w:cs="Calibri"/>
        <w:noProof/>
      </w:rPr>
      <w:t>9</w:t>
    </w:r>
    <w:r w:rsidRPr="007E315A">
      <w:rPr>
        <w:rStyle w:val="PageNumber"/>
        <w:rFonts w:cs="Calibri"/>
      </w:rPr>
      <w:fldChar w:fldCharType="end"/>
    </w:r>
  </w:p>
  <w:p w:rsidR="00EA4388" w:rsidRPr="007E315A" w:rsidRDefault="00EA4388" w:rsidP="00545509">
    <w:pPr>
      <w:pStyle w:val="Header"/>
      <w:tabs>
        <w:tab w:val="clear" w:pos="4153"/>
      </w:tabs>
      <w:rPr>
        <w:rFonts w:cs="Calibri"/>
        <w:color w:val="C0C0C0"/>
      </w:rPr>
    </w:pPr>
    <w:r w:rsidRPr="007E315A">
      <w:rPr>
        <w:rFonts w:cs="Calibri"/>
        <w:b/>
      </w:rPr>
      <w:t xml:space="preserve">ANNEX </w:t>
    </w:r>
    <w:r>
      <w:rPr>
        <w:rFonts w:cs="Calibri"/>
        <w:b/>
      </w:rPr>
      <w:t>A</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F"/>
    <w:multiLevelType w:val="singleLevel"/>
    <w:tmpl w:val="44E69990"/>
    <w:lvl w:ilvl="0">
      <w:start w:val="1"/>
      <w:numFmt w:val="decimal"/>
      <w:pStyle w:val="ListNumber2"/>
      <w:lvlText w:val="%1/"/>
      <w:lvlJc w:val="left"/>
      <w:pPr>
        <w:tabs>
          <w:tab w:val="num" w:pos="295"/>
        </w:tabs>
        <w:ind w:left="295" w:hanging="295"/>
      </w:pPr>
      <w:rPr>
        <w:rFonts w:hint="default"/>
      </w:rPr>
    </w:lvl>
  </w:abstractNum>
  <w:abstractNum w:abstractNumId="1">
    <w:nsid w:val="065C166B"/>
    <w:multiLevelType w:val="hybridMultilevel"/>
    <w:tmpl w:val="F64A0F2C"/>
    <w:lvl w:ilvl="0" w:tplc="C74C495E">
      <w:start w:val="1"/>
      <w:numFmt w:val="decimal"/>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
    <w:nsid w:val="0A2E44A3"/>
    <w:multiLevelType w:val="hybridMultilevel"/>
    <w:tmpl w:val="B91AB8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3">
    <w:nsid w:val="15551D55"/>
    <w:multiLevelType w:val="hybridMultilevel"/>
    <w:tmpl w:val="A3685A9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
    <w:nsid w:val="18972156"/>
    <w:multiLevelType w:val="hybridMultilevel"/>
    <w:tmpl w:val="28E667F0"/>
    <w:lvl w:ilvl="0" w:tplc="0C09000F">
      <w:start w:val="1"/>
      <w:numFmt w:val="decimal"/>
      <w:lvlText w:val="%1."/>
      <w:lvlJc w:val="left"/>
      <w:pPr>
        <w:ind w:left="501" w:hanging="360"/>
      </w:pPr>
    </w:lvl>
    <w:lvl w:ilvl="1" w:tplc="0C090019" w:tentative="1">
      <w:start w:val="1"/>
      <w:numFmt w:val="lowerLetter"/>
      <w:lvlText w:val="%2."/>
      <w:lvlJc w:val="left"/>
      <w:pPr>
        <w:ind w:left="1221" w:hanging="360"/>
      </w:pPr>
    </w:lvl>
    <w:lvl w:ilvl="2" w:tplc="0C09001B" w:tentative="1">
      <w:start w:val="1"/>
      <w:numFmt w:val="lowerRoman"/>
      <w:lvlText w:val="%3."/>
      <w:lvlJc w:val="right"/>
      <w:pPr>
        <w:ind w:left="1941" w:hanging="180"/>
      </w:pPr>
    </w:lvl>
    <w:lvl w:ilvl="3" w:tplc="0C09000F" w:tentative="1">
      <w:start w:val="1"/>
      <w:numFmt w:val="decimal"/>
      <w:lvlText w:val="%4."/>
      <w:lvlJc w:val="left"/>
      <w:pPr>
        <w:ind w:left="2661" w:hanging="360"/>
      </w:pPr>
    </w:lvl>
    <w:lvl w:ilvl="4" w:tplc="0C090019" w:tentative="1">
      <w:start w:val="1"/>
      <w:numFmt w:val="lowerLetter"/>
      <w:lvlText w:val="%5."/>
      <w:lvlJc w:val="left"/>
      <w:pPr>
        <w:ind w:left="3381" w:hanging="360"/>
      </w:pPr>
    </w:lvl>
    <w:lvl w:ilvl="5" w:tplc="0C09001B" w:tentative="1">
      <w:start w:val="1"/>
      <w:numFmt w:val="lowerRoman"/>
      <w:lvlText w:val="%6."/>
      <w:lvlJc w:val="right"/>
      <w:pPr>
        <w:ind w:left="4101" w:hanging="180"/>
      </w:pPr>
    </w:lvl>
    <w:lvl w:ilvl="6" w:tplc="0C09000F" w:tentative="1">
      <w:start w:val="1"/>
      <w:numFmt w:val="decimal"/>
      <w:lvlText w:val="%7."/>
      <w:lvlJc w:val="left"/>
      <w:pPr>
        <w:ind w:left="4821" w:hanging="360"/>
      </w:pPr>
    </w:lvl>
    <w:lvl w:ilvl="7" w:tplc="0C090019" w:tentative="1">
      <w:start w:val="1"/>
      <w:numFmt w:val="lowerLetter"/>
      <w:lvlText w:val="%8."/>
      <w:lvlJc w:val="left"/>
      <w:pPr>
        <w:ind w:left="5541" w:hanging="360"/>
      </w:pPr>
    </w:lvl>
    <w:lvl w:ilvl="8" w:tplc="0C09001B" w:tentative="1">
      <w:start w:val="1"/>
      <w:numFmt w:val="lowerRoman"/>
      <w:lvlText w:val="%9."/>
      <w:lvlJc w:val="right"/>
      <w:pPr>
        <w:ind w:left="6261" w:hanging="180"/>
      </w:pPr>
    </w:lvl>
  </w:abstractNum>
  <w:abstractNum w:abstractNumId="5">
    <w:nsid w:val="18A64931"/>
    <w:multiLevelType w:val="hybridMultilevel"/>
    <w:tmpl w:val="DCC052F6"/>
    <w:lvl w:ilvl="0" w:tplc="71B4A0EA">
      <w:start w:val="1"/>
      <w:numFmt w:val="lowerLetter"/>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6">
    <w:nsid w:val="20A2266E"/>
    <w:multiLevelType w:val="hybridMultilevel"/>
    <w:tmpl w:val="0308BD3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7">
    <w:nsid w:val="220710AC"/>
    <w:multiLevelType w:val="singleLevel"/>
    <w:tmpl w:val="FFFFFFFF"/>
    <w:lvl w:ilvl="0">
      <w:start w:val="1"/>
      <w:numFmt w:val="bullet"/>
      <w:lvlText w:val=""/>
      <w:legacy w:legacy="1" w:legacySpace="0" w:legacyIndent="283"/>
      <w:lvlJc w:val="left"/>
      <w:pPr>
        <w:ind w:left="283" w:hanging="283"/>
      </w:pPr>
      <w:rPr>
        <w:rFonts w:ascii="Symbol" w:hAnsi="Symbol" w:hint="default"/>
      </w:rPr>
    </w:lvl>
  </w:abstractNum>
  <w:abstractNum w:abstractNumId="8">
    <w:nsid w:val="2743782D"/>
    <w:multiLevelType w:val="multilevel"/>
    <w:tmpl w:val="33BAEBA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9">
    <w:nsid w:val="2A7329A5"/>
    <w:multiLevelType w:val="hybridMultilevel"/>
    <w:tmpl w:val="CBC87250"/>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0">
    <w:nsid w:val="399D6C95"/>
    <w:multiLevelType w:val="multilevel"/>
    <w:tmpl w:val="BE204AF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1">
    <w:nsid w:val="3AD12800"/>
    <w:multiLevelType w:val="multilevel"/>
    <w:tmpl w:val="76A4045A"/>
    <w:lvl w:ilvl="0">
      <w:start w:val="1"/>
      <w:numFmt w:val="bullet"/>
      <w:lvlText w:val=""/>
      <w:lvlJc w:val="left"/>
      <w:pPr>
        <w:tabs>
          <w:tab w:val="num" w:pos="360"/>
        </w:tabs>
        <w:ind w:left="360" w:hanging="360"/>
      </w:pPr>
      <w:rPr>
        <w:rFonts w:ascii="Symbol" w:hAnsi="Symbol" w:hint="default"/>
        <w:sz w:val="20"/>
      </w:rPr>
    </w:lvl>
    <w:lvl w:ilvl="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2">
    <w:nsid w:val="3D191744"/>
    <w:multiLevelType w:val="hybridMultilevel"/>
    <w:tmpl w:val="7DD6106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3">
    <w:nsid w:val="412E436E"/>
    <w:multiLevelType w:val="hybridMultilevel"/>
    <w:tmpl w:val="4B0463F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
    <w:nsid w:val="42F31F5C"/>
    <w:multiLevelType w:val="multilevel"/>
    <w:tmpl w:val="6D40B48E"/>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5">
    <w:nsid w:val="4C4F3483"/>
    <w:multiLevelType w:val="multilevel"/>
    <w:tmpl w:val="6890C66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080"/>
        </w:tabs>
        <w:ind w:left="1080" w:hanging="360"/>
      </w:pPr>
      <w:rPr>
        <w:rFonts w:ascii="Courier New" w:hAnsi="Courier New" w:hint="default"/>
        <w:sz w:val="20"/>
      </w:rPr>
    </w:lvl>
    <w:lvl w:ilvl="2" w:tentative="1">
      <w:start w:val="1"/>
      <w:numFmt w:val="bullet"/>
      <w:lvlText w:val=""/>
      <w:lvlJc w:val="left"/>
      <w:pPr>
        <w:tabs>
          <w:tab w:val="num" w:pos="1800"/>
        </w:tabs>
        <w:ind w:left="1800" w:hanging="360"/>
      </w:pPr>
      <w:rPr>
        <w:rFonts w:ascii="Wingdings" w:hAnsi="Wingdings" w:hint="default"/>
        <w:sz w:val="20"/>
      </w:rPr>
    </w:lvl>
    <w:lvl w:ilvl="3" w:tentative="1">
      <w:start w:val="1"/>
      <w:numFmt w:val="bullet"/>
      <w:lvlText w:val=""/>
      <w:lvlJc w:val="left"/>
      <w:pPr>
        <w:tabs>
          <w:tab w:val="num" w:pos="2520"/>
        </w:tabs>
        <w:ind w:left="2520" w:hanging="360"/>
      </w:pPr>
      <w:rPr>
        <w:rFonts w:ascii="Wingdings" w:hAnsi="Wingdings" w:hint="default"/>
        <w:sz w:val="20"/>
      </w:rPr>
    </w:lvl>
    <w:lvl w:ilvl="4" w:tentative="1">
      <w:start w:val="1"/>
      <w:numFmt w:val="bullet"/>
      <w:lvlText w:val=""/>
      <w:lvlJc w:val="left"/>
      <w:pPr>
        <w:tabs>
          <w:tab w:val="num" w:pos="3240"/>
        </w:tabs>
        <w:ind w:left="3240" w:hanging="360"/>
      </w:pPr>
      <w:rPr>
        <w:rFonts w:ascii="Wingdings" w:hAnsi="Wingdings" w:hint="default"/>
        <w:sz w:val="20"/>
      </w:rPr>
    </w:lvl>
    <w:lvl w:ilvl="5" w:tentative="1">
      <w:start w:val="1"/>
      <w:numFmt w:val="bullet"/>
      <w:lvlText w:val=""/>
      <w:lvlJc w:val="left"/>
      <w:pPr>
        <w:tabs>
          <w:tab w:val="num" w:pos="3960"/>
        </w:tabs>
        <w:ind w:left="3960" w:hanging="360"/>
      </w:pPr>
      <w:rPr>
        <w:rFonts w:ascii="Wingdings" w:hAnsi="Wingdings" w:hint="default"/>
        <w:sz w:val="20"/>
      </w:rPr>
    </w:lvl>
    <w:lvl w:ilvl="6" w:tentative="1">
      <w:start w:val="1"/>
      <w:numFmt w:val="bullet"/>
      <w:lvlText w:val=""/>
      <w:lvlJc w:val="left"/>
      <w:pPr>
        <w:tabs>
          <w:tab w:val="num" w:pos="4680"/>
        </w:tabs>
        <w:ind w:left="4680" w:hanging="360"/>
      </w:pPr>
      <w:rPr>
        <w:rFonts w:ascii="Wingdings" w:hAnsi="Wingdings" w:hint="default"/>
        <w:sz w:val="20"/>
      </w:rPr>
    </w:lvl>
    <w:lvl w:ilvl="7" w:tentative="1">
      <w:start w:val="1"/>
      <w:numFmt w:val="bullet"/>
      <w:lvlText w:val=""/>
      <w:lvlJc w:val="left"/>
      <w:pPr>
        <w:tabs>
          <w:tab w:val="num" w:pos="5400"/>
        </w:tabs>
        <w:ind w:left="5400" w:hanging="360"/>
      </w:pPr>
      <w:rPr>
        <w:rFonts w:ascii="Wingdings" w:hAnsi="Wingdings" w:hint="default"/>
        <w:sz w:val="20"/>
      </w:rPr>
    </w:lvl>
    <w:lvl w:ilvl="8" w:tentative="1">
      <w:start w:val="1"/>
      <w:numFmt w:val="bullet"/>
      <w:lvlText w:val=""/>
      <w:lvlJc w:val="left"/>
      <w:pPr>
        <w:tabs>
          <w:tab w:val="num" w:pos="6120"/>
        </w:tabs>
        <w:ind w:left="6120" w:hanging="360"/>
      </w:pPr>
      <w:rPr>
        <w:rFonts w:ascii="Wingdings" w:hAnsi="Wingdings" w:hint="default"/>
        <w:sz w:val="20"/>
      </w:rPr>
    </w:lvl>
  </w:abstractNum>
  <w:abstractNum w:abstractNumId="16">
    <w:nsid w:val="51AE4E1F"/>
    <w:multiLevelType w:val="hybridMultilevel"/>
    <w:tmpl w:val="74B6C90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7">
    <w:nsid w:val="51E57C2A"/>
    <w:multiLevelType w:val="multilevel"/>
    <w:tmpl w:val="0C090025"/>
    <w:lvl w:ilvl="0">
      <w:start w:val="1"/>
      <w:numFmt w:val="decimal"/>
      <w:pStyle w:val="Heading1"/>
      <w:lvlText w:val="%1"/>
      <w:lvlJc w:val="left"/>
      <w:pPr>
        <w:ind w:left="432" w:hanging="432"/>
      </w:pPr>
    </w:lvl>
    <w:lvl w:ilvl="1">
      <w:start w:val="1"/>
      <w:numFmt w:val="decimal"/>
      <w:pStyle w:val="Heading2"/>
      <w:lvlText w:val="%1.%2"/>
      <w:lvlJc w:val="left"/>
      <w:pPr>
        <w:ind w:left="576" w:hanging="576"/>
      </w:pPr>
    </w:lvl>
    <w:lvl w:ilvl="2">
      <w:start w:val="1"/>
      <w:numFmt w:val="decimal"/>
      <w:pStyle w:val="Heading3"/>
      <w:lvlText w:val="%1.%2.%3"/>
      <w:lvlJc w:val="left"/>
      <w:pPr>
        <w:ind w:left="720" w:hanging="720"/>
      </w:pPr>
    </w:lvl>
    <w:lvl w:ilvl="3">
      <w:start w:val="1"/>
      <w:numFmt w:val="decimal"/>
      <w:pStyle w:val="Heading4"/>
      <w:lvlText w:val="%1.%2.%3.%4"/>
      <w:lvlJc w:val="left"/>
      <w:pPr>
        <w:ind w:left="864" w:hanging="864"/>
      </w:pPr>
    </w:lvl>
    <w:lvl w:ilvl="4">
      <w:start w:val="1"/>
      <w:numFmt w:val="decimal"/>
      <w:pStyle w:val="Heading5"/>
      <w:lvlText w:val="%1.%2.%3.%4.%5"/>
      <w:lvlJc w:val="left"/>
      <w:pPr>
        <w:ind w:left="1008" w:hanging="1008"/>
      </w:pPr>
    </w:lvl>
    <w:lvl w:ilvl="5">
      <w:start w:val="1"/>
      <w:numFmt w:val="decimal"/>
      <w:pStyle w:val="Heading6"/>
      <w:lvlText w:val="%1.%2.%3.%4.%5.%6"/>
      <w:lvlJc w:val="left"/>
      <w:pPr>
        <w:ind w:left="1152" w:hanging="1152"/>
      </w:pPr>
    </w:lvl>
    <w:lvl w:ilvl="6">
      <w:start w:val="1"/>
      <w:numFmt w:val="decimal"/>
      <w:pStyle w:val="Heading7"/>
      <w:lvlText w:val="%1.%2.%3.%4.%5.%6.%7"/>
      <w:lvlJc w:val="left"/>
      <w:pPr>
        <w:ind w:left="1296" w:hanging="1296"/>
      </w:pPr>
    </w:lvl>
    <w:lvl w:ilvl="7">
      <w:start w:val="1"/>
      <w:numFmt w:val="decimal"/>
      <w:pStyle w:val="Heading8"/>
      <w:lvlText w:val="%1.%2.%3.%4.%5.%6.%7.%8"/>
      <w:lvlJc w:val="left"/>
      <w:pPr>
        <w:ind w:left="1440" w:hanging="1440"/>
      </w:pPr>
    </w:lvl>
    <w:lvl w:ilvl="8">
      <w:start w:val="1"/>
      <w:numFmt w:val="decimal"/>
      <w:pStyle w:val="Heading9"/>
      <w:lvlText w:val="%1.%2.%3.%4.%5.%6.%7.%8.%9"/>
      <w:lvlJc w:val="left"/>
      <w:pPr>
        <w:ind w:left="1584" w:hanging="1584"/>
      </w:pPr>
    </w:lvl>
  </w:abstractNum>
  <w:abstractNum w:abstractNumId="18">
    <w:nsid w:val="568621BD"/>
    <w:multiLevelType w:val="multilevel"/>
    <w:tmpl w:val="298E97E4"/>
    <w:lvl w:ilvl="0">
      <w:start w:val="1"/>
      <w:numFmt w:val="decimal"/>
      <w:lvlText w:val="%1."/>
      <w:lvlJc w:val="left"/>
      <w:pPr>
        <w:tabs>
          <w:tab w:val="num" w:pos="567"/>
        </w:tabs>
        <w:ind w:left="567" w:hanging="567"/>
      </w:pPr>
    </w:lvl>
    <w:lvl w:ilvl="1">
      <w:start w:val="1"/>
      <w:numFmt w:val="lowerLetter"/>
      <w:lvlText w:val="%1.%2."/>
      <w:lvlJc w:val="left"/>
      <w:pPr>
        <w:tabs>
          <w:tab w:val="num" w:pos="1134"/>
        </w:tabs>
        <w:ind w:left="1134" w:hanging="567"/>
      </w:pPr>
    </w:lvl>
    <w:lvl w:ilvl="2">
      <w:start w:val="1"/>
      <w:numFmt w:val="decimal"/>
      <w:lvlText w:val="%1.%2.%3."/>
      <w:lvlJc w:val="left"/>
      <w:pPr>
        <w:tabs>
          <w:tab w:val="num" w:pos="1418"/>
        </w:tabs>
        <w:ind w:left="1418" w:hanging="851"/>
      </w:pPr>
    </w:lvl>
    <w:lvl w:ilvl="3">
      <w:start w:val="1"/>
      <w:numFmt w:val="decimal"/>
      <w:lvlText w:val="%1.%2.%3.%4."/>
      <w:lvlJc w:val="left"/>
      <w:pPr>
        <w:tabs>
          <w:tab w:val="num" w:pos="2498"/>
        </w:tabs>
        <w:ind w:left="1985" w:hanging="567"/>
      </w:pPr>
    </w:lvl>
    <w:lvl w:ilvl="4">
      <w:start w:val="1"/>
      <w:numFmt w:val="decimal"/>
      <w:lvlText w:val="%1.%2.%3.%4.%5."/>
      <w:lvlJc w:val="left"/>
      <w:pPr>
        <w:tabs>
          <w:tab w:val="num" w:pos="3708"/>
        </w:tabs>
        <w:ind w:left="2835" w:hanging="567"/>
      </w:pPr>
    </w:lvl>
    <w:lvl w:ilvl="5">
      <w:start w:val="1"/>
      <w:numFmt w:val="decimal"/>
      <w:lvlText w:val="%1.%2.%3.%4.%5.%6."/>
      <w:lvlJc w:val="left"/>
      <w:pPr>
        <w:tabs>
          <w:tab w:val="num" w:pos="3240"/>
        </w:tabs>
        <w:ind w:left="2736" w:hanging="936"/>
      </w:pPr>
    </w:lvl>
    <w:lvl w:ilvl="6">
      <w:start w:val="1"/>
      <w:numFmt w:val="decimal"/>
      <w:lvlText w:val="%1.%2.%3.%4.%5.%6.%7."/>
      <w:lvlJc w:val="left"/>
      <w:pPr>
        <w:tabs>
          <w:tab w:val="num" w:pos="3960"/>
        </w:tabs>
        <w:ind w:left="3240" w:hanging="1080"/>
      </w:pPr>
    </w:lvl>
    <w:lvl w:ilvl="7">
      <w:start w:val="1"/>
      <w:numFmt w:val="decimal"/>
      <w:lvlText w:val="%1.%2.%3.%4.%5.%6.%7.%8."/>
      <w:lvlJc w:val="left"/>
      <w:pPr>
        <w:tabs>
          <w:tab w:val="num" w:pos="4320"/>
        </w:tabs>
        <w:ind w:left="3744" w:hanging="1224"/>
      </w:pPr>
    </w:lvl>
    <w:lvl w:ilvl="8">
      <w:start w:val="1"/>
      <w:numFmt w:val="decimal"/>
      <w:lvlText w:val="%1.%2.%3.%4.%5.%6.%7.%8.%9."/>
      <w:lvlJc w:val="left"/>
      <w:pPr>
        <w:tabs>
          <w:tab w:val="num" w:pos="5040"/>
        </w:tabs>
        <w:ind w:left="4320" w:hanging="1440"/>
      </w:pPr>
    </w:lvl>
  </w:abstractNum>
  <w:abstractNum w:abstractNumId="19">
    <w:nsid w:val="5BFB0373"/>
    <w:multiLevelType w:val="hybridMultilevel"/>
    <w:tmpl w:val="DF102A6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0">
    <w:nsid w:val="5CB00A2B"/>
    <w:multiLevelType w:val="hybridMultilevel"/>
    <w:tmpl w:val="8208DA86"/>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1">
    <w:nsid w:val="6A2D1CFD"/>
    <w:multiLevelType w:val="hybridMultilevel"/>
    <w:tmpl w:val="B31490BC"/>
    <w:lvl w:ilvl="0" w:tplc="0C090001">
      <w:start w:val="1"/>
      <w:numFmt w:val="bullet"/>
      <w:lvlText w:val=""/>
      <w:lvlJc w:val="left"/>
      <w:pPr>
        <w:ind w:left="360" w:hanging="360"/>
      </w:pPr>
      <w:rPr>
        <w:rFonts w:ascii="Symbol" w:hAnsi="Symbol" w:hint="default"/>
      </w:rPr>
    </w:lvl>
    <w:lvl w:ilvl="1" w:tplc="0C090003">
      <w:start w:val="1"/>
      <w:numFmt w:val="bullet"/>
      <w:lvlText w:val="o"/>
      <w:lvlJc w:val="left"/>
      <w:pPr>
        <w:ind w:left="1080" w:hanging="360"/>
      </w:pPr>
      <w:rPr>
        <w:rFonts w:ascii="Courier New" w:hAnsi="Courier New" w:cs="Courier New" w:hint="default"/>
      </w:rPr>
    </w:lvl>
    <w:lvl w:ilvl="2" w:tplc="0C090005">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2">
    <w:nsid w:val="6A51619C"/>
    <w:multiLevelType w:val="hybridMultilevel"/>
    <w:tmpl w:val="AD0668C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3">
    <w:nsid w:val="6F7A6DFF"/>
    <w:multiLevelType w:val="hybridMultilevel"/>
    <w:tmpl w:val="60646D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4">
    <w:nsid w:val="7C28564C"/>
    <w:multiLevelType w:val="hybridMultilevel"/>
    <w:tmpl w:val="E494B9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nsid w:val="7E183D01"/>
    <w:multiLevelType w:val="hybridMultilevel"/>
    <w:tmpl w:val="7DF48AD4"/>
    <w:lvl w:ilvl="0" w:tplc="BAA2726E">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num w:numId="1">
    <w:abstractNumId w:val="7"/>
  </w:num>
  <w:num w:numId="2">
    <w:abstractNumId w:val="18"/>
  </w:num>
  <w:num w:numId="3">
    <w:abstractNumId w:val="1"/>
  </w:num>
  <w:num w:numId="4">
    <w:abstractNumId w:val="17"/>
  </w:num>
  <w:num w:numId="5">
    <w:abstractNumId w:val="22"/>
  </w:num>
  <w:num w:numId="6">
    <w:abstractNumId w:val="14"/>
  </w:num>
  <w:num w:numId="7">
    <w:abstractNumId w:val="19"/>
  </w:num>
  <w:num w:numId="8">
    <w:abstractNumId w:val="12"/>
  </w:num>
  <w:num w:numId="9">
    <w:abstractNumId w:val="21"/>
  </w:num>
  <w:num w:numId="10">
    <w:abstractNumId w:val="4"/>
  </w:num>
  <w:num w:numId="11">
    <w:abstractNumId w:val="11"/>
  </w:num>
  <w:num w:numId="12">
    <w:abstractNumId w:val="10"/>
  </w:num>
  <w:num w:numId="13">
    <w:abstractNumId w:val="8"/>
  </w:num>
  <w:num w:numId="14">
    <w:abstractNumId w:val="0"/>
  </w:num>
  <w:num w:numId="15">
    <w:abstractNumId w:val="23"/>
  </w:num>
  <w:num w:numId="16">
    <w:abstractNumId w:val="15"/>
  </w:num>
  <w:num w:numId="17">
    <w:abstractNumId w:val="13"/>
  </w:num>
  <w:num w:numId="18">
    <w:abstractNumId w:val="9"/>
  </w:num>
  <w:num w:numId="19">
    <w:abstractNumId w:val="2"/>
  </w:num>
  <w:num w:numId="20">
    <w:abstractNumId w:val="24"/>
  </w:num>
  <w:num w:numId="21">
    <w:abstractNumId w:val="20"/>
  </w:num>
  <w:num w:numId="22">
    <w:abstractNumId w:val="6"/>
  </w:num>
  <w:num w:numId="23">
    <w:abstractNumId w:val="5"/>
  </w:num>
  <w:num w:numId="24">
    <w:abstractNumId w:val="3"/>
  </w:num>
  <w:num w:numId="25">
    <w:abstractNumId w:val="25"/>
  </w:num>
  <w:num w:numId="26">
    <w:abstractNumId w:val="16"/>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defaultTabStop w:val="720"/>
  <w:displayHorizontalDrawingGridEvery w:val="0"/>
  <w:displayVerticalDrawingGridEvery w:val="0"/>
  <w:doNotUseMarginsForDrawingGridOrigin/>
  <w:noPunctuationKerning/>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51A9"/>
    <w:rsid w:val="000209E3"/>
    <w:rsid w:val="00022F01"/>
    <w:rsid w:val="00037C54"/>
    <w:rsid w:val="000420F4"/>
    <w:rsid w:val="000505DD"/>
    <w:rsid w:val="000518A6"/>
    <w:rsid w:val="00054C8E"/>
    <w:rsid w:val="000551A9"/>
    <w:rsid w:val="000562A9"/>
    <w:rsid w:val="0005776A"/>
    <w:rsid w:val="00061464"/>
    <w:rsid w:val="00070CE3"/>
    <w:rsid w:val="00074C14"/>
    <w:rsid w:val="00085A7E"/>
    <w:rsid w:val="00090DA7"/>
    <w:rsid w:val="000918B5"/>
    <w:rsid w:val="00094E0C"/>
    <w:rsid w:val="000A133D"/>
    <w:rsid w:val="000A63C5"/>
    <w:rsid w:val="000B2D94"/>
    <w:rsid w:val="000B343A"/>
    <w:rsid w:val="000B4206"/>
    <w:rsid w:val="000B5BEF"/>
    <w:rsid w:val="000B6D93"/>
    <w:rsid w:val="000C3501"/>
    <w:rsid w:val="000C522A"/>
    <w:rsid w:val="000D77FA"/>
    <w:rsid w:val="000E1FB3"/>
    <w:rsid w:val="000E3F98"/>
    <w:rsid w:val="000E7CC5"/>
    <w:rsid w:val="000F0308"/>
    <w:rsid w:val="000F1A2A"/>
    <w:rsid w:val="000F3194"/>
    <w:rsid w:val="000F5ECF"/>
    <w:rsid w:val="00103EE2"/>
    <w:rsid w:val="00106985"/>
    <w:rsid w:val="00107D78"/>
    <w:rsid w:val="001117C9"/>
    <w:rsid w:val="001135DA"/>
    <w:rsid w:val="00113CA3"/>
    <w:rsid w:val="001236FE"/>
    <w:rsid w:val="0012744F"/>
    <w:rsid w:val="001321DF"/>
    <w:rsid w:val="00135687"/>
    <w:rsid w:val="001367A4"/>
    <w:rsid w:val="00141545"/>
    <w:rsid w:val="00144777"/>
    <w:rsid w:val="00144EDA"/>
    <w:rsid w:val="00152F0D"/>
    <w:rsid w:val="00160317"/>
    <w:rsid w:val="0017416D"/>
    <w:rsid w:val="0019392F"/>
    <w:rsid w:val="0019460F"/>
    <w:rsid w:val="001A5852"/>
    <w:rsid w:val="001A67A3"/>
    <w:rsid w:val="001B0EF7"/>
    <w:rsid w:val="001B2F31"/>
    <w:rsid w:val="001B4977"/>
    <w:rsid w:val="001B5F7B"/>
    <w:rsid w:val="001B6885"/>
    <w:rsid w:val="001B784A"/>
    <w:rsid w:val="001B7B37"/>
    <w:rsid w:val="001D62CF"/>
    <w:rsid w:val="001E06D2"/>
    <w:rsid w:val="001E21D7"/>
    <w:rsid w:val="001E7620"/>
    <w:rsid w:val="001F3E31"/>
    <w:rsid w:val="001F4783"/>
    <w:rsid w:val="002023E2"/>
    <w:rsid w:val="00206092"/>
    <w:rsid w:val="00206935"/>
    <w:rsid w:val="00226795"/>
    <w:rsid w:val="0023643E"/>
    <w:rsid w:val="00246C9A"/>
    <w:rsid w:val="00252B5E"/>
    <w:rsid w:val="0025306F"/>
    <w:rsid w:val="00256A06"/>
    <w:rsid w:val="00266378"/>
    <w:rsid w:val="0029233C"/>
    <w:rsid w:val="0029727A"/>
    <w:rsid w:val="002B3098"/>
    <w:rsid w:val="002B3501"/>
    <w:rsid w:val="002C29E6"/>
    <w:rsid w:val="002C501D"/>
    <w:rsid w:val="002D0AD2"/>
    <w:rsid w:val="002D6F4C"/>
    <w:rsid w:val="002D7148"/>
    <w:rsid w:val="002E41B7"/>
    <w:rsid w:val="002F6884"/>
    <w:rsid w:val="003126F7"/>
    <w:rsid w:val="00314494"/>
    <w:rsid w:val="00323A0D"/>
    <w:rsid w:val="00324C01"/>
    <w:rsid w:val="00327A64"/>
    <w:rsid w:val="0033105A"/>
    <w:rsid w:val="003363FA"/>
    <w:rsid w:val="00337AC7"/>
    <w:rsid w:val="00355AEE"/>
    <w:rsid w:val="00356BCE"/>
    <w:rsid w:val="00367559"/>
    <w:rsid w:val="003C110C"/>
    <w:rsid w:val="003C1900"/>
    <w:rsid w:val="003C295B"/>
    <w:rsid w:val="003C2E4E"/>
    <w:rsid w:val="003C703D"/>
    <w:rsid w:val="003D0E8F"/>
    <w:rsid w:val="003D75A3"/>
    <w:rsid w:val="003E24A1"/>
    <w:rsid w:val="003E42A1"/>
    <w:rsid w:val="003E5428"/>
    <w:rsid w:val="004006C4"/>
    <w:rsid w:val="004008FC"/>
    <w:rsid w:val="00401FAB"/>
    <w:rsid w:val="00406964"/>
    <w:rsid w:val="00406C63"/>
    <w:rsid w:val="00431539"/>
    <w:rsid w:val="00437F68"/>
    <w:rsid w:val="0044349D"/>
    <w:rsid w:val="00453095"/>
    <w:rsid w:val="00454FA5"/>
    <w:rsid w:val="00460CD3"/>
    <w:rsid w:val="004610EA"/>
    <w:rsid w:val="00466344"/>
    <w:rsid w:val="00472DB6"/>
    <w:rsid w:val="004761FE"/>
    <w:rsid w:val="0047701B"/>
    <w:rsid w:val="004808E2"/>
    <w:rsid w:val="004A3682"/>
    <w:rsid w:val="004C1B04"/>
    <w:rsid w:val="004C3072"/>
    <w:rsid w:val="004C5FA3"/>
    <w:rsid w:val="004D0E85"/>
    <w:rsid w:val="004D4C54"/>
    <w:rsid w:val="004F0ACE"/>
    <w:rsid w:val="004F131A"/>
    <w:rsid w:val="004F26E6"/>
    <w:rsid w:val="004F4175"/>
    <w:rsid w:val="00501018"/>
    <w:rsid w:val="005068DD"/>
    <w:rsid w:val="00516565"/>
    <w:rsid w:val="00523355"/>
    <w:rsid w:val="0052564F"/>
    <w:rsid w:val="00545509"/>
    <w:rsid w:val="00555E3B"/>
    <w:rsid w:val="005711C5"/>
    <w:rsid w:val="005729E5"/>
    <w:rsid w:val="005762D0"/>
    <w:rsid w:val="00576DC9"/>
    <w:rsid w:val="005775A1"/>
    <w:rsid w:val="00586D49"/>
    <w:rsid w:val="005945C8"/>
    <w:rsid w:val="005A1E7F"/>
    <w:rsid w:val="005A31B3"/>
    <w:rsid w:val="005A46B7"/>
    <w:rsid w:val="005A57F9"/>
    <w:rsid w:val="005B14FF"/>
    <w:rsid w:val="005D55A2"/>
    <w:rsid w:val="00620969"/>
    <w:rsid w:val="00624940"/>
    <w:rsid w:val="00633ADE"/>
    <w:rsid w:val="006421B3"/>
    <w:rsid w:val="00647FE2"/>
    <w:rsid w:val="00651A98"/>
    <w:rsid w:val="00652A13"/>
    <w:rsid w:val="00655D00"/>
    <w:rsid w:val="00656A87"/>
    <w:rsid w:val="00660478"/>
    <w:rsid w:val="00671D06"/>
    <w:rsid w:val="00672B2C"/>
    <w:rsid w:val="006753AD"/>
    <w:rsid w:val="00680E14"/>
    <w:rsid w:val="006833FC"/>
    <w:rsid w:val="0069435E"/>
    <w:rsid w:val="00696F82"/>
    <w:rsid w:val="006A2CA8"/>
    <w:rsid w:val="006A37DE"/>
    <w:rsid w:val="006B27F1"/>
    <w:rsid w:val="006B6015"/>
    <w:rsid w:val="006C0561"/>
    <w:rsid w:val="006C5C07"/>
    <w:rsid w:val="006C76CC"/>
    <w:rsid w:val="006D70D6"/>
    <w:rsid w:val="006F47EE"/>
    <w:rsid w:val="006F4F74"/>
    <w:rsid w:val="0070660E"/>
    <w:rsid w:val="00715E72"/>
    <w:rsid w:val="0077514E"/>
    <w:rsid w:val="00790F2F"/>
    <w:rsid w:val="00793FC7"/>
    <w:rsid w:val="0079407F"/>
    <w:rsid w:val="007960E5"/>
    <w:rsid w:val="0079773E"/>
    <w:rsid w:val="007A1251"/>
    <w:rsid w:val="007B30C9"/>
    <w:rsid w:val="007C2B96"/>
    <w:rsid w:val="007C338A"/>
    <w:rsid w:val="007C4D3B"/>
    <w:rsid w:val="007C7439"/>
    <w:rsid w:val="007C77E8"/>
    <w:rsid w:val="007D0350"/>
    <w:rsid w:val="007E315A"/>
    <w:rsid w:val="007E32BB"/>
    <w:rsid w:val="007E44D5"/>
    <w:rsid w:val="007F28CA"/>
    <w:rsid w:val="007F3CA1"/>
    <w:rsid w:val="008024B4"/>
    <w:rsid w:val="00815814"/>
    <w:rsid w:val="00822E88"/>
    <w:rsid w:val="008328C8"/>
    <w:rsid w:val="0083356B"/>
    <w:rsid w:val="00836227"/>
    <w:rsid w:val="008470BE"/>
    <w:rsid w:val="0086205A"/>
    <w:rsid w:val="00877ECE"/>
    <w:rsid w:val="00885A82"/>
    <w:rsid w:val="008872A3"/>
    <w:rsid w:val="00887AD3"/>
    <w:rsid w:val="008A0517"/>
    <w:rsid w:val="008A6ED0"/>
    <w:rsid w:val="008B38DF"/>
    <w:rsid w:val="008B61CD"/>
    <w:rsid w:val="008C413E"/>
    <w:rsid w:val="008E239A"/>
    <w:rsid w:val="008E2A5D"/>
    <w:rsid w:val="008E3777"/>
    <w:rsid w:val="008E5AB2"/>
    <w:rsid w:val="008E60C5"/>
    <w:rsid w:val="008E66E4"/>
    <w:rsid w:val="008F0FD3"/>
    <w:rsid w:val="009064E9"/>
    <w:rsid w:val="00930A5B"/>
    <w:rsid w:val="00930ED3"/>
    <w:rsid w:val="00934341"/>
    <w:rsid w:val="009353EA"/>
    <w:rsid w:val="00960D23"/>
    <w:rsid w:val="0096139F"/>
    <w:rsid w:val="0097257C"/>
    <w:rsid w:val="009811DB"/>
    <w:rsid w:val="009821F9"/>
    <w:rsid w:val="00986C73"/>
    <w:rsid w:val="00990C0A"/>
    <w:rsid w:val="00992E74"/>
    <w:rsid w:val="00995A71"/>
    <w:rsid w:val="009A300E"/>
    <w:rsid w:val="009A4ED8"/>
    <w:rsid w:val="009B36A0"/>
    <w:rsid w:val="009C0489"/>
    <w:rsid w:val="009C7610"/>
    <w:rsid w:val="009E1265"/>
    <w:rsid w:val="009E4D01"/>
    <w:rsid w:val="00A03E6C"/>
    <w:rsid w:val="00A118EE"/>
    <w:rsid w:val="00A205D1"/>
    <w:rsid w:val="00A33D25"/>
    <w:rsid w:val="00A45B3D"/>
    <w:rsid w:val="00A541C4"/>
    <w:rsid w:val="00A71E41"/>
    <w:rsid w:val="00A72138"/>
    <w:rsid w:val="00A73E3B"/>
    <w:rsid w:val="00A74F49"/>
    <w:rsid w:val="00A7762F"/>
    <w:rsid w:val="00A86534"/>
    <w:rsid w:val="00A86AC1"/>
    <w:rsid w:val="00AA16DB"/>
    <w:rsid w:val="00AB095B"/>
    <w:rsid w:val="00AB0C4E"/>
    <w:rsid w:val="00AC06FA"/>
    <w:rsid w:val="00AC16D2"/>
    <w:rsid w:val="00AC1749"/>
    <w:rsid w:val="00AC6BC3"/>
    <w:rsid w:val="00AE196B"/>
    <w:rsid w:val="00AF5AC3"/>
    <w:rsid w:val="00B00554"/>
    <w:rsid w:val="00B13296"/>
    <w:rsid w:val="00B20C26"/>
    <w:rsid w:val="00B310ED"/>
    <w:rsid w:val="00B320C1"/>
    <w:rsid w:val="00B34D2E"/>
    <w:rsid w:val="00B40C74"/>
    <w:rsid w:val="00B55EF2"/>
    <w:rsid w:val="00B56DDB"/>
    <w:rsid w:val="00B57F9A"/>
    <w:rsid w:val="00B61DFB"/>
    <w:rsid w:val="00B653E2"/>
    <w:rsid w:val="00B739BE"/>
    <w:rsid w:val="00B75799"/>
    <w:rsid w:val="00B762EB"/>
    <w:rsid w:val="00B822AE"/>
    <w:rsid w:val="00BA2322"/>
    <w:rsid w:val="00BA68E3"/>
    <w:rsid w:val="00BD417D"/>
    <w:rsid w:val="00BD490F"/>
    <w:rsid w:val="00BE7423"/>
    <w:rsid w:val="00BF0492"/>
    <w:rsid w:val="00BF3910"/>
    <w:rsid w:val="00C002AE"/>
    <w:rsid w:val="00C03813"/>
    <w:rsid w:val="00C10134"/>
    <w:rsid w:val="00C15A04"/>
    <w:rsid w:val="00C174B0"/>
    <w:rsid w:val="00C20633"/>
    <w:rsid w:val="00C25B9B"/>
    <w:rsid w:val="00C336E9"/>
    <w:rsid w:val="00C35E41"/>
    <w:rsid w:val="00C41BDB"/>
    <w:rsid w:val="00C41FA4"/>
    <w:rsid w:val="00C47DDA"/>
    <w:rsid w:val="00C57E13"/>
    <w:rsid w:val="00C61B39"/>
    <w:rsid w:val="00C7035F"/>
    <w:rsid w:val="00C706B7"/>
    <w:rsid w:val="00C71A98"/>
    <w:rsid w:val="00C74B87"/>
    <w:rsid w:val="00C74FE0"/>
    <w:rsid w:val="00C75105"/>
    <w:rsid w:val="00C850E1"/>
    <w:rsid w:val="00C872C8"/>
    <w:rsid w:val="00C87585"/>
    <w:rsid w:val="00C90B9F"/>
    <w:rsid w:val="00C97FF4"/>
    <w:rsid w:val="00CA3A74"/>
    <w:rsid w:val="00CC419F"/>
    <w:rsid w:val="00CE0069"/>
    <w:rsid w:val="00CE749A"/>
    <w:rsid w:val="00CF2DFA"/>
    <w:rsid w:val="00CF7D33"/>
    <w:rsid w:val="00D02753"/>
    <w:rsid w:val="00D0339B"/>
    <w:rsid w:val="00D2051F"/>
    <w:rsid w:val="00D230AA"/>
    <w:rsid w:val="00D258E1"/>
    <w:rsid w:val="00D53309"/>
    <w:rsid w:val="00D53FAF"/>
    <w:rsid w:val="00D62CDA"/>
    <w:rsid w:val="00D63ED4"/>
    <w:rsid w:val="00D75DD4"/>
    <w:rsid w:val="00D832BC"/>
    <w:rsid w:val="00D963C4"/>
    <w:rsid w:val="00DA5458"/>
    <w:rsid w:val="00DA7A64"/>
    <w:rsid w:val="00DB65AB"/>
    <w:rsid w:val="00DC3F0F"/>
    <w:rsid w:val="00DC53A7"/>
    <w:rsid w:val="00DC5C2F"/>
    <w:rsid w:val="00DD3135"/>
    <w:rsid w:val="00DD7B56"/>
    <w:rsid w:val="00DD7C1C"/>
    <w:rsid w:val="00DE7038"/>
    <w:rsid w:val="00E06CCE"/>
    <w:rsid w:val="00E10008"/>
    <w:rsid w:val="00E10D47"/>
    <w:rsid w:val="00E128A9"/>
    <w:rsid w:val="00E15BDD"/>
    <w:rsid w:val="00E20282"/>
    <w:rsid w:val="00E2654D"/>
    <w:rsid w:val="00E26B06"/>
    <w:rsid w:val="00E372C7"/>
    <w:rsid w:val="00E379B4"/>
    <w:rsid w:val="00E37C94"/>
    <w:rsid w:val="00E408D6"/>
    <w:rsid w:val="00E45C23"/>
    <w:rsid w:val="00E565D5"/>
    <w:rsid w:val="00E62D83"/>
    <w:rsid w:val="00E77762"/>
    <w:rsid w:val="00E91522"/>
    <w:rsid w:val="00E97CE4"/>
    <w:rsid w:val="00E97EC4"/>
    <w:rsid w:val="00EA4388"/>
    <w:rsid w:val="00EA7152"/>
    <w:rsid w:val="00EB002C"/>
    <w:rsid w:val="00EB617E"/>
    <w:rsid w:val="00EB78A2"/>
    <w:rsid w:val="00EC16E9"/>
    <w:rsid w:val="00ED6806"/>
    <w:rsid w:val="00EE0A5E"/>
    <w:rsid w:val="00EF543B"/>
    <w:rsid w:val="00F0322F"/>
    <w:rsid w:val="00F0473C"/>
    <w:rsid w:val="00F10EC6"/>
    <w:rsid w:val="00F32BE7"/>
    <w:rsid w:val="00F35D58"/>
    <w:rsid w:val="00F36295"/>
    <w:rsid w:val="00F41323"/>
    <w:rsid w:val="00F41A04"/>
    <w:rsid w:val="00F427AF"/>
    <w:rsid w:val="00F507E2"/>
    <w:rsid w:val="00F5126D"/>
    <w:rsid w:val="00F64621"/>
    <w:rsid w:val="00F8337E"/>
    <w:rsid w:val="00FA36BD"/>
    <w:rsid w:val="00FA594A"/>
    <w:rsid w:val="00FB1ADD"/>
    <w:rsid w:val="00FB3B4C"/>
    <w:rsid w:val="00FB3BC0"/>
    <w:rsid w:val="00FB66F5"/>
    <w:rsid w:val="00FC323D"/>
    <w:rsid w:val="00FC6D0B"/>
    <w:rsid w:val="00FD1051"/>
    <w:rsid w:val="00FD6BC4"/>
    <w:rsid w:val="00FE1D4D"/>
    <w:rsid w:val="00FE7A11"/>
    <w:rsid w:val="00FF0065"/>
    <w:rsid w:val="00FF7D4D"/>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26795"/>
    <w:pPr>
      <w:widowControl w:val="0"/>
    </w:pPr>
    <w:rPr>
      <w:rFonts w:ascii="Calibri" w:hAnsi="Calibri"/>
      <w:sz w:val="24"/>
      <w:lang w:val="en-GB"/>
    </w:rPr>
  </w:style>
  <w:style w:type="paragraph" w:styleId="Heading1">
    <w:name w:val="heading 1"/>
    <w:basedOn w:val="Normal"/>
    <w:next w:val="Normal"/>
    <w:autoRedefine/>
    <w:qFormat/>
    <w:rsid w:val="00206092"/>
    <w:pPr>
      <w:keepNext/>
      <w:numPr>
        <w:numId w:val="4"/>
      </w:numPr>
      <w:spacing w:before="360" w:after="120"/>
      <w:outlineLvl w:val="0"/>
    </w:pPr>
    <w:rPr>
      <w:b/>
      <w:kern w:val="28"/>
      <w:sz w:val="32"/>
    </w:rPr>
  </w:style>
  <w:style w:type="paragraph" w:styleId="Heading2">
    <w:name w:val="heading 2"/>
    <w:basedOn w:val="Normal"/>
    <w:next w:val="Normal"/>
    <w:autoRedefine/>
    <w:qFormat/>
    <w:rsid w:val="00206092"/>
    <w:pPr>
      <w:keepNext/>
      <w:numPr>
        <w:ilvl w:val="1"/>
        <w:numId w:val="4"/>
      </w:numPr>
      <w:spacing w:after="120"/>
      <w:outlineLvl w:val="1"/>
    </w:pPr>
    <w:rPr>
      <w:b/>
      <w:sz w:val="28"/>
    </w:rPr>
  </w:style>
  <w:style w:type="paragraph" w:styleId="Heading3">
    <w:name w:val="heading 3"/>
    <w:basedOn w:val="Normal"/>
    <w:next w:val="Normal"/>
    <w:autoRedefine/>
    <w:qFormat/>
    <w:rsid w:val="00206092"/>
    <w:pPr>
      <w:keepNext/>
      <w:numPr>
        <w:ilvl w:val="2"/>
        <w:numId w:val="4"/>
      </w:numPr>
      <w:outlineLvl w:val="2"/>
    </w:pPr>
    <w:rPr>
      <w:b/>
      <w:color w:val="000000"/>
    </w:rPr>
  </w:style>
  <w:style w:type="paragraph" w:styleId="Heading4">
    <w:name w:val="heading 4"/>
    <w:aliases w:val="H4"/>
    <w:basedOn w:val="Normal"/>
    <w:next w:val="Normal"/>
    <w:qFormat/>
    <w:rsid w:val="00206092"/>
    <w:pPr>
      <w:keepNext/>
      <w:numPr>
        <w:ilvl w:val="3"/>
        <w:numId w:val="4"/>
      </w:numPr>
      <w:outlineLvl w:val="3"/>
    </w:pPr>
    <w:rPr>
      <w:b/>
      <w:sz w:val="28"/>
    </w:rPr>
  </w:style>
  <w:style w:type="paragraph" w:styleId="Heading5">
    <w:name w:val="heading 5"/>
    <w:basedOn w:val="Normal"/>
    <w:next w:val="Normal"/>
    <w:qFormat/>
    <w:rsid w:val="00206092"/>
    <w:pPr>
      <w:keepNext/>
      <w:numPr>
        <w:ilvl w:val="4"/>
        <w:numId w:val="4"/>
      </w:numPr>
      <w:outlineLvl w:val="4"/>
    </w:pPr>
    <w:rPr>
      <w:b/>
      <w:sz w:val="26"/>
    </w:rPr>
  </w:style>
  <w:style w:type="paragraph" w:styleId="Heading6">
    <w:name w:val="heading 6"/>
    <w:basedOn w:val="Normal"/>
    <w:next w:val="Normal"/>
    <w:qFormat/>
    <w:rsid w:val="00206092"/>
    <w:pPr>
      <w:keepNext/>
      <w:numPr>
        <w:ilvl w:val="5"/>
        <w:numId w:val="4"/>
      </w:numPr>
      <w:spacing w:before="240" w:after="240"/>
      <w:outlineLvl w:val="5"/>
    </w:pPr>
    <w:rPr>
      <w:b/>
    </w:rPr>
  </w:style>
  <w:style w:type="paragraph" w:styleId="Heading7">
    <w:name w:val="heading 7"/>
    <w:basedOn w:val="Normal"/>
    <w:next w:val="Normal"/>
    <w:qFormat/>
    <w:rsid w:val="00206092"/>
    <w:pPr>
      <w:keepNext/>
      <w:numPr>
        <w:ilvl w:val="6"/>
        <w:numId w:val="4"/>
      </w:numPr>
      <w:outlineLvl w:val="6"/>
    </w:pPr>
    <w:rPr>
      <w:u w:val="single"/>
    </w:rPr>
  </w:style>
  <w:style w:type="paragraph" w:styleId="Heading8">
    <w:name w:val="heading 8"/>
    <w:basedOn w:val="Normal"/>
    <w:next w:val="Normal"/>
    <w:qFormat/>
    <w:rsid w:val="00206092"/>
    <w:pPr>
      <w:numPr>
        <w:ilvl w:val="7"/>
        <w:numId w:val="4"/>
      </w:numPr>
      <w:spacing w:before="240" w:after="60"/>
      <w:outlineLvl w:val="7"/>
    </w:pPr>
    <w:rPr>
      <w:rFonts w:ascii="Arial" w:hAnsi="Arial"/>
      <w:i/>
      <w:sz w:val="20"/>
    </w:rPr>
  </w:style>
  <w:style w:type="paragraph" w:styleId="Heading9">
    <w:name w:val="heading 9"/>
    <w:basedOn w:val="Normal"/>
    <w:next w:val="Normal"/>
    <w:qFormat/>
    <w:rsid w:val="00206092"/>
    <w:pPr>
      <w:numPr>
        <w:ilvl w:val="8"/>
        <w:numId w:val="4"/>
      </w:numPr>
      <w:spacing w:before="240" w:after="60"/>
      <w:outlineLvl w:val="8"/>
    </w:pPr>
    <w:rPr>
      <w:rFonts w:ascii="Arial" w:hAnsi="Arial"/>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rsid w:val="00C41BDB"/>
    <w:pPr>
      <w:tabs>
        <w:tab w:val="center" w:pos="4153"/>
        <w:tab w:val="right" w:pos="8306"/>
      </w:tabs>
    </w:pPr>
  </w:style>
  <w:style w:type="paragraph" w:styleId="Footer">
    <w:name w:val="footer"/>
    <w:basedOn w:val="Normal"/>
    <w:link w:val="FooterChar"/>
    <w:rsid w:val="00C41BDB"/>
  </w:style>
  <w:style w:type="character" w:styleId="PageNumber">
    <w:name w:val="page number"/>
    <w:basedOn w:val="DefaultParagraphFont"/>
    <w:rsid w:val="00C41BDB"/>
  </w:style>
  <w:style w:type="paragraph" w:styleId="TOC1">
    <w:name w:val="toc 1"/>
    <w:basedOn w:val="Normal"/>
    <w:next w:val="Normal"/>
    <w:autoRedefine/>
    <w:uiPriority w:val="39"/>
    <w:rsid w:val="00E10008"/>
    <w:rPr>
      <w:b/>
      <w:caps/>
      <w:sz w:val="22"/>
    </w:rPr>
  </w:style>
  <w:style w:type="paragraph" w:styleId="NormalIndent">
    <w:name w:val="Normal Indent"/>
    <w:basedOn w:val="Normal"/>
    <w:rsid w:val="00C41BDB"/>
    <w:pPr>
      <w:ind w:left="720"/>
    </w:pPr>
  </w:style>
  <w:style w:type="paragraph" w:styleId="TOC2">
    <w:name w:val="toc 2"/>
    <w:basedOn w:val="Normal"/>
    <w:next w:val="Normal"/>
    <w:autoRedefine/>
    <w:uiPriority w:val="39"/>
    <w:rsid w:val="00E10008"/>
    <w:pPr>
      <w:ind w:left="240"/>
    </w:pPr>
    <w:rPr>
      <w:smallCaps/>
    </w:rPr>
  </w:style>
  <w:style w:type="paragraph" w:styleId="TOC3">
    <w:name w:val="toc 3"/>
    <w:basedOn w:val="Normal"/>
    <w:next w:val="Normal"/>
    <w:autoRedefine/>
    <w:uiPriority w:val="39"/>
    <w:rsid w:val="00E10008"/>
    <w:pPr>
      <w:ind w:left="480"/>
    </w:pPr>
    <w:rPr>
      <w:rFonts w:asciiTheme="minorHAnsi" w:hAnsiTheme="minorHAnsi"/>
      <w:sz w:val="22"/>
    </w:rPr>
  </w:style>
  <w:style w:type="paragraph" w:styleId="TOC4">
    <w:name w:val="toc 4"/>
    <w:basedOn w:val="Normal"/>
    <w:next w:val="Normal"/>
    <w:semiHidden/>
    <w:rsid w:val="00C41BDB"/>
    <w:pPr>
      <w:ind w:left="720"/>
    </w:pPr>
    <w:rPr>
      <w:sz w:val="18"/>
    </w:rPr>
  </w:style>
  <w:style w:type="paragraph" w:styleId="TOC5">
    <w:name w:val="toc 5"/>
    <w:basedOn w:val="Normal"/>
    <w:next w:val="Normal"/>
    <w:semiHidden/>
    <w:rsid w:val="00C41BDB"/>
    <w:pPr>
      <w:ind w:left="960"/>
    </w:pPr>
    <w:rPr>
      <w:sz w:val="18"/>
    </w:rPr>
  </w:style>
  <w:style w:type="paragraph" w:styleId="TOC6">
    <w:name w:val="toc 6"/>
    <w:basedOn w:val="Normal"/>
    <w:next w:val="Normal"/>
    <w:semiHidden/>
    <w:rsid w:val="00C41BDB"/>
    <w:pPr>
      <w:ind w:left="1200"/>
    </w:pPr>
    <w:rPr>
      <w:sz w:val="18"/>
    </w:rPr>
  </w:style>
  <w:style w:type="paragraph" w:styleId="TOC7">
    <w:name w:val="toc 7"/>
    <w:basedOn w:val="Normal"/>
    <w:next w:val="Normal"/>
    <w:semiHidden/>
    <w:rsid w:val="00C41BDB"/>
    <w:pPr>
      <w:ind w:left="1440"/>
    </w:pPr>
    <w:rPr>
      <w:sz w:val="18"/>
    </w:rPr>
  </w:style>
  <w:style w:type="paragraph" w:styleId="TOC8">
    <w:name w:val="toc 8"/>
    <w:basedOn w:val="Normal"/>
    <w:next w:val="Normal"/>
    <w:semiHidden/>
    <w:rsid w:val="00C41BDB"/>
    <w:pPr>
      <w:ind w:left="1680"/>
    </w:pPr>
    <w:rPr>
      <w:sz w:val="18"/>
    </w:rPr>
  </w:style>
  <w:style w:type="paragraph" w:styleId="TOC9">
    <w:name w:val="toc 9"/>
    <w:basedOn w:val="Normal"/>
    <w:next w:val="Normal"/>
    <w:semiHidden/>
    <w:rsid w:val="00C41BDB"/>
    <w:pPr>
      <w:ind w:left="1920"/>
    </w:pPr>
    <w:rPr>
      <w:sz w:val="18"/>
    </w:rPr>
  </w:style>
  <w:style w:type="paragraph" w:styleId="FootnoteText">
    <w:name w:val="footnote text"/>
    <w:basedOn w:val="Normal"/>
    <w:semiHidden/>
    <w:rsid w:val="00C41BDB"/>
    <w:pPr>
      <w:keepLines/>
      <w:spacing w:after="60"/>
      <w:ind w:left="284" w:hanging="284"/>
    </w:pPr>
    <w:rPr>
      <w:sz w:val="16"/>
    </w:rPr>
  </w:style>
  <w:style w:type="character" w:styleId="FootnoteReference">
    <w:name w:val="footnote reference"/>
    <w:basedOn w:val="DefaultParagraphFont"/>
    <w:semiHidden/>
    <w:rsid w:val="00C41BDB"/>
    <w:rPr>
      <w:vertAlign w:val="superscript"/>
    </w:rPr>
  </w:style>
  <w:style w:type="paragraph" w:styleId="ListNumber">
    <w:name w:val="List Number"/>
    <w:basedOn w:val="Normal"/>
    <w:next w:val="Normal"/>
    <w:rsid w:val="00C41BDB"/>
    <w:pPr>
      <w:ind w:left="567" w:hanging="567"/>
    </w:pPr>
  </w:style>
  <w:style w:type="paragraph" w:customStyle="1" w:styleId="ListNumberSub">
    <w:name w:val="List Number  Sub"/>
    <w:basedOn w:val="Normal"/>
    <w:rsid w:val="00C41BDB"/>
    <w:pPr>
      <w:ind w:left="1134" w:hanging="567"/>
    </w:pPr>
  </w:style>
  <w:style w:type="paragraph" w:customStyle="1" w:styleId="ListBulletSub">
    <w:name w:val="List Bullet Sub"/>
    <w:basedOn w:val="ListBullet"/>
    <w:rsid w:val="00C41BDB"/>
    <w:pPr>
      <w:ind w:left="1134"/>
    </w:pPr>
  </w:style>
  <w:style w:type="paragraph" w:styleId="ListBullet">
    <w:name w:val="List Bullet"/>
    <w:aliases w:val="UL"/>
    <w:basedOn w:val="Normal"/>
    <w:rsid w:val="00C41BDB"/>
    <w:pPr>
      <w:ind w:left="567" w:hanging="567"/>
    </w:pPr>
  </w:style>
  <w:style w:type="paragraph" w:customStyle="1" w:styleId="Disclaimer">
    <w:name w:val="Disclaimer"/>
    <w:basedOn w:val="Normal"/>
    <w:rsid w:val="00C41BDB"/>
    <w:pPr>
      <w:keepNext/>
      <w:framePr w:hSpace="181" w:wrap="around" w:vAnchor="text" w:hAnchor="text" w:y="1"/>
      <w:pBdr>
        <w:top w:val="double" w:sz="6" w:space="1" w:color="auto"/>
        <w:left w:val="double" w:sz="6" w:space="1" w:color="auto"/>
        <w:bottom w:val="double" w:sz="6" w:space="1" w:color="auto"/>
        <w:right w:val="double" w:sz="6" w:space="1" w:color="auto"/>
      </w:pBdr>
    </w:pPr>
  </w:style>
  <w:style w:type="paragraph" w:customStyle="1" w:styleId="ListNumberSubSub">
    <w:name w:val="List Number Sub Sub"/>
    <w:basedOn w:val="Normal"/>
    <w:next w:val="Normal"/>
    <w:rsid w:val="00C41BDB"/>
    <w:pPr>
      <w:ind w:left="1701" w:hanging="567"/>
    </w:pPr>
  </w:style>
  <w:style w:type="paragraph" w:customStyle="1" w:styleId="Note">
    <w:name w:val="Note"/>
    <w:basedOn w:val="Normal"/>
    <w:next w:val="Normal"/>
    <w:rsid w:val="00C41BDB"/>
    <w:pPr>
      <w:tabs>
        <w:tab w:val="left" w:pos="851"/>
      </w:tabs>
    </w:pPr>
  </w:style>
  <w:style w:type="paragraph" w:customStyle="1" w:styleId="ListBulletSubSub">
    <w:name w:val="List Bullet Sub Sub"/>
    <w:basedOn w:val="ListBulletSub"/>
    <w:rsid w:val="00C41BDB"/>
    <w:pPr>
      <w:ind w:left="1701"/>
    </w:pPr>
  </w:style>
  <w:style w:type="paragraph" w:customStyle="1" w:styleId="ListBulletSubSubSub">
    <w:name w:val="List Bullet Sub Sub Sub"/>
    <w:basedOn w:val="ListBulletSubSub"/>
    <w:rsid w:val="00C41BDB"/>
    <w:pPr>
      <w:ind w:left="2268"/>
    </w:pPr>
  </w:style>
  <w:style w:type="paragraph" w:customStyle="1" w:styleId="dash">
    <w:name w:val="dash"/>
    <w:basedOn w:val="dot"/>
    <w:rsid w:val="00C41BDB"/>
    <w:pPr>
      <w:ind w:left="1134"/>
    </w:pPr>
  </w:style>
  <w:style w:type="paragraph" w:customStyle="1" w:styleId="dot">
    <w:name w:val="dot"/>
    <w:basedOn w:val="Normal"/>
    <w:rsid w:val="00C41BDB"/>
    <w:pPr>
      <w:ind w:left="567" w:hanging="567"/>
    </w:pPr>
  </w:style>
  <w:style w:type="paragraph" w:customStyle="1" w:styleId="TITLEOFRALI">
    <w:name w:val="TITLE OF RALI"/>
    <w:basedOn w:val="Normal"/>
    <w:rsid w:val="00C41BDB"/>
    <w:pPr>
      <w:shd w:val="clear" w:color="auto" w:fill="FFFFFF"/>
      <w:jc w:val="center"/>
    </w:pPr>
    <w:rPr>
      <w:b/>
      <w:caps/>
      <w:sz w:val="40"/>
    </w:rPr>
  </w:style>
  <w:style w:type="paragraph" w:customStyle="1" w:styleId="Normal1">
    <w:name w:val="Normal 1"/>
    <w:basedOn w:val="Normal"/>
    <w:rsid w:val="00C41BDB"/>
    <w:pPr>
      <w:widowControl/>
      <w:spacing w:after="240"/>
    </w:pPr>
  </w:style>
  <w:style w:type="paragraph" w:customStyle="1" w:styleId="Appendix2">
    <w:name w:val="Appendix 2"/>
    <w:basedOn w:val="Normal"/>
    <w:next w:val="Normal"/>
    <w:rsid w:val="00C41BDB"/>
    <w:pPr>
      <w:widowControl/>
      <w:spacing w:before="240" w:after="240"/>
    </w:pPr>
    <w:rPr>
      <w:b/>
      <w:lang w:val="en-AU"/>
    </w:rPr>
  </w:style>
  <w:style w:type="character" w:styleId="EndnoteReference">
    <w:name w:val="endnote reference"/>
    <w:basedOn w:val="DefaultParagraphFont"/>
    <w:semiHidden/>
    <w:rsid w:val="00C41BDB"/>
    <w:rPr>
      <w:vertAlign w:val="superscript"/>
    </w:rPr>
  </w:style>
  <w:style w:type="paragraph" w:customStyle="1" w:styleId="dotptstem">
    <w:name w:val="dotptstem"/>
    <w:basedOn w:val="dotpoint"/>
    <w:rsid w:val="00C41BDB"/>
    <w:pPr>
      <w:ind w:left="0" w:firstLine="0"/>
    </w:pPr>
  </w:style>
  <w:style w:type="paragraph" w:customStyle="1" w:styleId="dotpoint">
    <w:name w:val="dotpoint"/>
    <w:basedOn w:val="Normal"/>
    <w:next w:val="Normal"/>
    <w:rsid w:val="00C41BDB"/>
    <w:pPr>
      <w:widowControl/>
      <w:spacing w:after="60"/>
      <w:ind w:left="284" w:hanging="284"/>
    </w:pPr>
  </w:style>
  <w:style w:type="paragraph" w:customStyle="1" w:styleId="ralicentreappendix">
    <w:name w:val="rali centre appendix"/>
    <w:basedOn w:val="Normal"/>
    <w:rsid w:val="00C41BDB"/>
    <w:pPr>
      <w:widowControl/>
      <w:jc w:val="center"/>
    </w:pPr>
    <w:rPr>
      <w:b/>
      <w:sz w:val="28"/>
    </w:rPr>
  </w:style>
  <w:style w:type="paragraph" w:styleId="DocumentMap">
    <w:name w:val="Document Map"/>
    <w:basedOn w:val="Normal"/>
    <w:semiHidden/>
    <w:rsid w:val="00C41BDB"/>
    <w:pPr>
      <w:shd w:val="clear" w:color="auto" w:fill="000080"/>
    </w:pPr>
    <w:rPr>
      <w:rFonts w:ascii="Tahoma" w:hAnsi="Tahoma"/>
    </w:rPr>
  </w:style>
  <w:style w:type="character" w:styleId="CommentReference">
    <w:name w:val="annotation reference"/>
    <w:basedOn w:val="DefaultParagraphFont"/>
    <w:semiHidden/>
    <w:rsid w:val="00C41BDB"/>
    <w:rPr>
      <w:sz w:val="16"/>
    </w:rPr>
  </w:style>
  <w:style w:type="paragraph" w:styleId="CommentText">
    <w:name w:val="annotation text"/>
    <w:basedOn w:val="Normal"/>
    <w:link w:val="CommentTextChar"/>
    <w:semiHidden/>
    <w:rsid w:val="00C41BDB"/>
    <w:rPr>
      <w:sz w:val="20"/>
    </w:rPr>
  </w:style>
  <w:style w:type="paragraph" w:styleId="Index1">
    <w:name w:val="index 1"/>
    <w:basedOn w:val="Normal"/>
    <w:next w:val="Normal"/>
    <w:autoRedefine/>
    <w:semiHidden/>
    <w:rsid w:val="00C41BDB"/>
    <w:pPr>
      <w:ind w:left="240" w:hanging="240"/>
    </w:pPr>
    <w:rPr>
      <w:sz w:val="20"/>
    </w:rPr>
  </w:style>
  <w:style w:type="paragraph" w:styleId="Index2">
    <w:name w:val="index 2"/>
    <w:basedOn w:val="Normal"/>
    <w:next w:val="Normal"/>
    <w:autoRedefine/>
    <w:semiHidden/>
    <w:rsid w:val="00C41BDB"/>
    <w:pPr>
      <w:ind w:left="480" w:hanging="240"/>
    </w:pPr>
    <w:rPr>
      <w:sz w:val="20"/>
    </w:rPr>
  </w:style>
  <w:style w:type="paragraph" w:styleId="Index3">
    <w:name w:val="index 3"/>
    <w:basedOn w:val="Normal"/>
    <w:next w:val="Normal"/>
    <w:autoRedefine/>
    <w:semiHidden/>
    <w:rsid w:val="00C41BDB"/>
    <w:pPr>
      <w:ind w:left="720" w:hanging="240"/>
    </w:pPr>
    <w:rPr>
      <w:sz w:val="20"/>
    </w:rPr>
  </w:style>
  <w:style w:type="paragraph" w:styleId="Index4">
    <w:name w:val="index 4"/>
    <w:basedOn w:val="Normal"/>
    <w:next w:val="Normal"/>
    <w:autoRedefine/>
    <w:semiHidden/>
    <w:rsid w:val="00C41BDB"/>
    <w:pPr>
      <w:ind w:left="960" w:hanging="240"/>
    </w:pPr>
    <w:rPr>
      <w:sz w:val="20"/>
    </w:rPr>
  </w:style>
  <w:style w:type="paragraph" w:styleId="Index5">
    <w:name w:val="index 5"/>
    <w:basedOn w:val="Normal"/>
    <w:next w:val="Normal"/>
    <w:autoRedefine/>
    <w:semiHidden/>
    <w:rsid w:val="00C41BDB"/>
    <w:pPr>
      <w:ind w:left="1200" w:hanging="240"/>
    </w:pPr>
    <w:rPr>
      <w:sz w:val="20"/>
    </w:rPr>
  </w:style>
  <w:style w:type="paragraph" w:styleId="Index6">
    <w:name w:val="index 6"/>
    <w:basedOn w:val="Normal"/>
    <w:next w:val="Normal"/>
    <w:autoRedefine/>
    <w:semiHidden/>
    <w:rsid w:val="00C41BDB"/>
    <w:pPr>
      <w:ind w:left="1440" w:hanging="240"/>
    </w:pPr>
    <w:rPr>
      <w:sz w:val="20"/>
    </w:rPr>
  </w:style>
  <w:style w:type="paragraph" w:styleId="Index7">
    <w:name w:val="index 7"/>
    <w:basedOn w:val="Normal"/>
    <w:next w:val="Normal"/>
    <w:autoRedefine/>
    <w:semiHidden/>
    <w:rsid w:val="00C41BDB"/>
    <w:pPr>
      <w:ind w:left="1680" w:hanging="240"/>
    </w:pPr>
    <w:rPr>
      <w:sz w:val="20"/>
    </w:rPr>
  </w:style>
  <w:style w:type="paragraph" w:styleId="Index8">
    <w:name w:val="index 8"/>
    <w:basedOn w:val="Normal"/>
    <w:next w:val="Normal"/>
    <w:autoRedefine/>
    <w:semiHidden/>
    <w:rsid w:val="00C41BDB"/>
    <w:pPr>
      <w:ind w:left="1920" w:hanging="240"/>
    </w:pPr>
    <w:rPr>
      <w:sz w:val="20"/>
    </w:rPr>
  </w:style>
  <w:style w:type="paragraph" w:styleId="Index9">
    <w:name w:val="index 9"/>
    <w:basedOn w:val="Normal"/>
    <w:next w:val="Normal"/>
    <w:autoRedefine/>
    <w:semiHidden/>
    <w:rsid w:val="00C41BDB"/>
    <w:pPr>
      <w:ind w:left="2160" w:hanging="240"/>
    </w:pPr>
    <w:rPr>
      <w:sz w:val="20"/>
    </w:rPr>
  </w:style>
  <w:style w:type="paragraph" w:styleId="IndexHeading">
    <w:name w:val="index heading"/>
    <w:basedOn w:val="Normal"/>
    <w:next w:val="Index1"/>
    <w:semiHidden/>
    <w:rsid w:val="00C41BDB"/>
    <w:rPr>
      <w:b/>
      <w:i/>
      <w:sz w:val="20"/>
    </w:rPr>
  </w:style>
  <w:style w:type="table" w:styleId="TableGrid">
    <w:name w:val="Table Grid"/>
    <w:basedOn w:val="TableNormal"/>
    <w:uiPriority w:val="59"/>
    <w:rsid w:val="00037C54"/>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paragraph" w:styleId="CommentSubject">
    <w:name w:val="annotation subject"/>
    <w:basedOn w:val="CommentText"/>
    <w:next w:val="CommentText"/>
    <w:link w:val="CommentSubjectChar"/>
    <w:rsid w:val="000B6D93"/>
    <w:rPr>
      <w:b/>
      <w:bCs/>
    </w:rPr>
  </w:style>
  <w:style w:type="character" w:customStyle="1" w:styleId="CommentTextChar">
    <w:name w:val="Comment Text Char"/>
    <w:basedOn w:val="DefaultParagraphFont"/>
    <w:link w:val="CommentText"/>
    <w:semiHidden/>
    <w:rsid w:val="000B6D93"/>
    <w:rPr>
      <w:lang w:val="en-GB"/>
    </w:rPr>
  </w:style>
  <w:style w:type="character" w:customStyle="1" w:styleId="CommentSubjectChar">
    <w:name w:val="Comment Subject Char"/>
    <w:basedOn w:val="CommentTextChar"/>
    <w:link w:val="CommentSubject"/>
    <w:rsid w:val="000B6D93"/>
    <w:rPr>
      <w:lang w:val="en-GB"/>
    </w:rPr>
  </w:style>
  <w:style w:type="paragraph" w:styleId="BalloonText">
    <w:name w:val="Balloon Text"/>
    <w:basedOn w:val="Normal"/>
    <w:link w:val="BalloonTextChar"/>
    <w:rsid w:val="000B6D93"/>
    <w:rPr>
      <w:rFonts w:ascii="Tahoma" w:hAnsi="Tahoma" w:cs="Tahoma"/>
      <w:sz w:val="16"/>
      <w:szCs w:val="16"/>
    </w:rPr>
  </w:style>
  <w:style w:type="character" w:customStyle="1" w:styleId="BalloonTextChar">
    <w:name w:val="Balloon Text Char"/>
    <w:basedOn w:val="DefaultParagraphFont"/>
    <w:link w:val="BalloonText"/>
    <w:rsid w:val="000B6D93"/>
    <w:rPr>
      <w:rFonts w:ascii="Tahoma" w:hAnsi="Tahoma" w:cs="Tahoma"/>
      <w:sz w:val="16"/>
      <w:szCs w:val="16"/>
      <w:lang w:val="en-GB"/>
    </w:rPr>
  </w:style>
  <w:style w:type="character" w:styleId="Hyperlink">
    <w:name w:val="Hyperlink"/>
    <w:basedOn w:val="DefaultParagraphFont"/>
    <w:uiPriority w:val="99"/>
    <w:rsid w:val="000A63C5"/>
    <w:rPr>
      <w:color w:val="0000FF"/>
      <w:u w:val="single"/>
    </w:rPr>
  </w:style>
  <w:style w:type="character" w:styleId="FollowedHyperlink">
    <w:name w:val="FollowedHyperlink"/>
    <w:basedOn w:val="DefaultParagraphFont"/>
    <w:rsid w:val="00790F2F"/>
    <w:rPr>
      <w:color w:val="800080" w:themeColor="followedHyperlink"/>
      <w:u w:val="single"/>
    </w:rPr>
  </w:style>
  <w:style w:type="paragraph" w:styleId="ListParagraph">
    <w:name w:val="List Paragraph"/>
    <w:basedOn w:val="Normal"/>
    <w:uiPriority w:val="34"/>
    <w:qFormat/>
    <w:rsid w:val="00672B2C"/>
    <w:pPr>
      <w:widowControl/>
      <w:ind w:left="720"/>
      <w:contextualSpacing/>
    </w:pPr>
    <w:rPr>
      <w:rFonts w:eastAsia="Calibri"/>
      <w:sz w:val="22"/>
      <w:szCs w:val="22"/>
      <w:lang w:val="en-AU" w:eastAsia="en-US"/>
    </w:rPr>
  </w:style>
  <w:style w:type="paragraph" w:styleId="ListNumber2">
    <w:name w:val="List Number 2"/>
    <w:basedOn w:val="Normal"/>
    <w:rsid w:val="00633ADE"/>
    <w:pPr>
      <w:widowControl/>
      <w:numPr>
        <w:numId w:val="14"/>
      </w:numPr>
      <w:spacing w:after="80" w:line="240" w:lineRule="atLeast"/>
    </w:pPr>
    <w:rPr>
      <w:rFonts w:ascii="Arial" w:hAnsi="Arial"/>
      <w:sz w:val="20"/>
      <w:szCs w:val="24"/>
      <w:lang w:val="en-AU"/>
    </w:rPr>
  </w:style>
  <w:style w:type="character" w:customStyle="1" w:styleId="FooterChar">
    <w:name w:val="Footer Char"/>
    <w:basedOn w:val="DefaultParagraphFont"/>
    <w:link w:val="Footer"/>
    <w:rsid w:val="004C3072"/>
    <w:rPr>
      <w:rFonts w:ascii="Calibri" w:hAnsi="Calibri"/>
      <w:sz w:val="24"/>
      <w:lang w:val="en-GB"/>
    </w:rPr>
  </w:style>
  <w:style w:type="paragraph" w:customStyle="1" w:styleId="R1">
    <w:name w:val="R1"/>
    <w:aliases w:val="1. or 1.(1)"/>
    <w:basedOn w:val="Normal"/>
    <w:next w:val="Normal"/>
    <w:rsid w:val="00C706B7"/>
    <w:pPr>
      <w:keepLines/>
      <w:widowControl/>
      <w:tabs>
        <w:tab w:val="right" w:pos="794"/>
      </w:tabs>
      <w:spacing w:before="120" w:line="260" w:lineRule="exact"/>
      <w:ind w:left="964" w:hanging="964"/>
      <w:jc w:val="both"/>
    </w:pPr>
    <w:rPr>
      <w:rFonts w:ascii="Times New Roman" w:hAnsi="Times New Roman"/>
      <w:szCs w:val="24"/>
      <w:lang w:val="en-AU"/>
    </w:rPr>
  </w:style>
  <w:style w:type="paragraph" w:customStyle="1" w:styleId="paragraph">
    <w:name w:val="paragraph"/>
    <w:aliases w:val="a"/>
    <w:basedOn w:val="Normal"/>
    <w:rsid w:val="00C706B7"/>
    <w:pPr>
      <w:widowControl/>
      <w:tabs>
        <w:tab w:val="right" w:pos="1531"/>
      </w:tabs>
      <w:spacing w:before="40"/>
      <w:ind w:left="1644" w:hanging="1644"/>
    </w:pPr>
    <w:rPr>
      <w:rFonts w:ascii="Times New Roman" w:hAnsi="Times New Roman"/>
      <w:sz w:val="22"/>
      <w:lang w:val="en-AU"/>
    </w:rPr>
  </w:style>
  <w:style w:type="paragraph" w:styleId="Revision">
    <w:name w:val="Revision"/>
    <w:hidden/>
    <w:uiPriority w:val="99"/>
    <w:semiHidden/>
    <w:rsid w:val="00C706B7"/>
    <w:rPr>
      <w:rFonts w:ascii="Calibri" w:hAnsi="Calibri"/>
      <w:sz w:val="24"/>
      <w:lang w:val="en-GB"/>
    </w:rPr>
  </w:style>
  <w:style w:type="character" w:customStyle="1" w:styleId="HeaderChar">
    <w:name w:val="Header Char"/>
    <w:basedOn w:val="DefaultParagraphFont"/>
    <w:link w:val="Header"/>
    <w:rsid w:val="00103EE2"/>
    <w:rPr>
      <w:rFonts w:ascii="Calibri" w:hAnsi="Calibri"/>
      <w:sz w:val="24"/>
      <w:lang w:val="en-GB"/>
    </w:rPr>
  </w:style>
  <w:style w:type="paragraph" w:customStyle="1" w:styleId="TableHeading">
    <w:name w:val="Table Heading"/>
    <w:basedOn w:val="Normal"/>
    <w:rsid w:val="00103EE2"/>
    <w:pPr>
      <w:spacing w:line="240" w:lineRule="atLeast"/>
    </w:pPr>
    <w:rPr>
      <w:rFonts w:ascii="HelveticaNeueLT Std" w:eastAsia="Calibri" w:hAnsi="HelveticaNeueLT Std"/>
      <w:b/>
      <w:sz w:val="20"/>
      <w:szCs w:val="24"/>
    </w:rPr>
  </w:style>
  <w:style w:type="paragraph" w:customStyle="1" w:styleId="TableBody">
    <w:name w:val="Table Body"/>
    <w:basedOn w:val="Normal"/>
    <w:rsid w:val="00103EE2"/>
    <w:rPr>
      <w:rFonts w:ascii="HelveticaNeueLT Std Lt" w:eastAsia="Calibri" w:hAnsi="HelveticaNeueLT Std Lt"/>
      <w:sz w:val="2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378626">
      <w:bodyDiv w:val="1"/>
      <w:marLeft w:val="0"/>
      <w:marRight w:val="0"/>
      <w:marTop w:val="0"/>
      <w:marBottom w:val="0"/>
      <w:divBdr>
        <w:top w:val="none" w:sz="0" w:space="0" w:color="auto"/>
        <w:left w:val="none" w:sz="0" w:space="0" w:color="auto"/>
        <w:bottom w:val="none" w:sz="0" w:space="0" w:color="auto"/>
        <w:right w:val="none" w:sz="0" w:space="0" w:color="auto"/>
      </w:divBdr>
      <w:divsChild>
        <w:div w:id="1751535829">
          <w:marLeft w:val="0"/>
          <w:marRight w:val="0"/>
          <w:marTop w:val="0"/>
          <w:marBottom w:val="0"/>
          <w:divBdr>
            <w:top w:val="none" w:sz="0" w:space="0" w:color="auto"/>
            <w:left w:val="none" w:sz="0" w:space="0" w:color="auto"/>
            <w:bottom w:val="none" w:sz="0" w:space="0" w:color="auto"/>
            <w:right w:val="none" w:sz="0" w:space="0" w:color="auto"/>
          </w:divBdr>
          <w:divsChild>
            <w:div w:id="1283224767">
              <w:marLeft w:val="0"/>
              <w:marRight w:val="0"/>
              <w:marTop w:val="0"/>
              <w:marBottom w:val="0"/>
              <w:divBdr>
                <w:top w:val="none" w:sz="0" w:space="0" w:color="auto"/>
                <w:left w:val="none" w:sz="0" w:space="0" w:color="auto"/>
                <w:bottom w:val="none" w:sz="0" w:space="0" w:color="auto"/>
                <w:right w:val="none" w:sz="0" w:space="0" w:color="auto"/>
              </w:divBdr>
              <w:divsChild>
                <w:div w:id="1762750397">
                  <w:marLeft w:val="0"/>
                  <w:marRight w:val="0"/>
                  <w:marTop w:val="0"/>
                  <w:marBottom w:val="0"/>
                  <w:divBdr>
                    <w:top w:val="none" w:sz="0" w:space="0" w:color="auto"/>
                    <w:left w:val="none" w:sz="0" w:space="0" w:color="auto"/>
                    <w:bottom w:val="none" w:sz="0" w:space="0" w:color="auto"/>
                    <w:right w:val="none" w:sz="0" w:space="0" w:color="auto"/>
                  </w:divBdr>
                  <w:divsChild>
                    <w:div w:id="1069158444">
                      <w:marLeft w:val="0"/>
                      <w:marRight w:val="0"/>
                      <w:marTop w:val="0"/>
                      <w:marBottom w:val="0"/>
                      <w:divBdr>
                        <w:top w:val="none" w:sz="0" w:space="0" w:color="auto"/>
                        <w:left w:val="none" w:sz="0" w:space="0" w:color="auto"/>
                        <w:bottom w:val="none" w:sz="0" w:space="0" w:color="auto"/>
                        <w:right w:val="none" w:sz="0" w:space="0" w:color="auto"/>
                      </w:divBdr>
                      <w:divsChild>
                        <w:div w:id="14666620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493683433">
      <w:bodyDiv w:val="1"/>
      <w:marLeft w:val="0"/>
      <w:marRight w:val="0"/>
      <w:marTop w:val="0"/>
      <w:marBottom w:val="0"/>
      <w:divBdr>
        <w:top w:val="none" w:sz="0" w:space="0" w:color="auto"/>
        <w:left w:val="none" w:sz="0" w:space="0" w:color="auto"/>
        <w:bottom w:val="none" w:sz="0" w:space="0" w:color="auto"/>
        <w:right w:val="none" w:sz="0" w:space="0" w:color="auto"/>
      </w:divBdr>
      <w:divsChild>
        <w:div w:id="1463226621">
          <w:marLeft w:val="0"/>
          <w:marRight w:val="0"/>
          <w:marTop w:val="0"/>
          <w:marBottom w:val="0"/>
          <w:divBdr>
            <w:top w:val="none" w:sz="0" w:space="0" w:color="auto"/>
            <w:left w:val="none" w:sz="0" w:space="0" w:color="auto"/>
            <w:bottom w:val="none" w:sz="0" w:space="0" w:color="auto"/>
            <w:right w:val="none" w:sz="0" w:space="0" w:color="auto"/>
          </w:divBdr>
        </w:div>
        <w:div w:id="1356268680">
          <w:marLeft w:val="0"/>
          <w:marRight w:val="0"/>
          <w:marTop w:val="0"/>
          <w:marBottom w:val="0"/>
          <w:divBdr>
            <w:top w:val="none" w:sz="0" w:space="0" w:color="auto"/>
            <w:left w:val="none" w:sz="0" w:space="0" w:color="auto"/>
            <w:bottom w:val="none" w:sz="0" w:space="0" w:color="auto"/>
            <w:right w:val="none" w:sz="0" w:space="0" w:color="auto"/>
          </w:divBdr>
        </w:div>
        <w:div w:id="1266573840">
          <w:marLeft w:val="0"/>
          <w:marRight w:val="0"/>
          <w:marTop w:val="0"/>
          <w:marBottom w:val="0"/>
          <w:divBdr>
            <w:top w:val="none" w:sz="0" w:space="0" w:color="auto"/>
            <w:left w:val="none" w:sz="0" w:space="0" w:color="auto"/>
            <w:bottom w:val="none" w:sz="0" w:space="0" w:color="auto"/>
            <w:right w:val="none" w:sz="0" w:space="0" w:color="auto"/>
          </w:divBdr>
        </w:div>
        <w:div w:id="924416397">
          <w:marLeft w:val="0"/>
          <w:marRight w:val="0"/>
          <w:marTop w:val="0"/>
          <w:marBottom w:val="0"/>
          <w:divBdr>
            <w:top w:val="none" w:sz="0" w:space="0" w:color="auto"/>
            <w:left w:val="none" w:sz="0" w:space="0" w:color="auto"/>
            <w:bottom w:val="none" w:sz="0" w:space="0" w:color="auto"/>
            <w:right w:val="none" w:sz="0" w:space="0" w:color="auto"/>
          </w:divBdr>
        </w:div>
        <w:div w:id="813915952">
          <w:marLeft w:val="0"/>
          <w:marRight w:val="0"/>
          <w:marTop w:val="0"/>
          <w:marBottom w:val="0"/>
          <w:divBdr>
            <w:top w:val="none" w:sz="0" w:space="0" w:color="auto"/>
            <w:left w:val="none" w:sz="0" w:space="0" w:color="auto"/>
            <w:bottom w:val="none" w:sz="0" w:space="0" w:color="auto"/>
            <w:right w:val="none" w:sz="0" w:space="0" w:color="auto"/>
          </w:divBdr>
        </w:div>
        <w:div w:id="1435318409">
          <w:marLeft w:val="0"/>
          <w:marRight w:val="0"/>
          <w:marTop w:val="0"/>
          <w:marBottom w:val="0"/>
          <w:divBdr>
            <w:top w:val="none" w:sz="0" w:space="0" w:color="auto"/>
            <w:left w:val="none" w:sz="0" w:space="0" w:color="auto"/>
            <w:bottom w:val="none" w:sz="0" w:space="0" w:color="auto"/>
            <w:right w:val="none" w:sz="0" w:space="0" w:color="auto"/>
          </w:divBdr>
        </w:div>
        <w:div w:id="2071224442">
          <w:marLeft w:val="0"/>
          <w:marRight w:val="0"/>
          <w:marTop w:val="0"/>
          <w:marBottom w:val="0"/>
          <w:divBdr>
            <w:top w:val="none" w:sz="0" w:space="0" w:color="auto"/>
            <w:left w:val="none" w:sz="0" w:space="0" w:color="auto"/>
            <w:bottom w:val="none" w:sz="0" w:space="0" w:color="auto"/>
            <w:right w:val="none" w:sz="0" w:space="0" w:color="auto"/>
          </w:divBdr>
        </w:div>
        <w:div w:id="985010705">
          <w:marLeft w:val="0"/>
          <w:marRight w:val="0"/>
          <w:marTop w:val="0"/>
          <w:marBottom w:val="0"/>
          <w:divBdr>
            <w:top w:val="none" w:sz="0" w:space="0" w:color="auto"/>
            <w:left w:val="none" w:sz="0" w:space="0" w:color="auto"/>
            <w:bottom w:val="none" w:sz="0" w:space="0" w:color="auto"/>
            <w:right w:val="none" w:sz="0" w:space="0" w:color="auto"/>
          </w:divBdr>
        </w:div>
        <w:div w:id="506873723">
          <w:marLeft w:val="0"/>
          <w:marRight w:val="0"/>
          <w:marTop w:val="0"/>
          <w:marBottom w:val="0"/>
          <w:divBdr>
            <w:top w:val="none" w:sz="0" w:space="0" w:color="auto"/>
            <w:left w:val="none" w:sz="0" w:space="0" w:color="auto"/>
            <w:bottom w:val="none" w:sz="0" w:space="0" w:color="auto"/>
            <w:right w:val="none" w:sz="0" w:space="0" w:color="auto"/>
          </w:divBdr>
        </w:div>
        <w:div w:id="1519347464">
          <w:marLeft w:val="0"/>
          <w:marRight w:val="0"/>
          <w:marTop w:val="0"/>
          <w:marBottom w:val="0"/>
          <w:divBdr>
            <w:top w:val="none" w:sz="0" w:space="0" w:color="auto"/>
            <w:left w:val="none" w:sz="0" w:space="0" w:color="auto"/>
            <w:bottom w:val="none" w:sz="0" w:space="0" w:color="auto"/>
            <w:right w:val="none" w:sz="0" w:space="0" w:color="auto"/>
          </w:divBdr>
        </w:div>
        <w:div w:id="1227647846">
          <w:marLeft w:val="0"/>
          <w:marRight w:val="0"/>
          <w:marTop w:val="0"/>
          <w:marBottom w:val="0"/>
          <w:divBdr>
            <w:top w:val="none" w:sz="0" w:space="0" w:color="auto"/>
            <w:left w:val="none" w:sz="0" w:space="0" w:color="auto"/>
            <w:bottom w:val="none" w:sz="0" w:space="0" w:color="auto"/>
            <w:right w:val="none" w:sz="0" w:space="0" w:color="auto"/>
          </w:divBdr>
        </w:div>
        <w:div w:id="1573345751">
          <w:marLeft w:val="0"/>
          <w:marRight w:val="0"/>
          <w:marTop w:val="0"/>
          <w:marBottom w:val="0"/>
          <w:divBdr>
            <w:top w:val="none" w:sz="0" w:space="0" w:color="auto"/>
            <w:left w:val="none" w:sz="0" w:space="0" w:color="auto"/>
            <w:bottom w:val="none" w:sz="0" w:space="0" w:color="auto"/>
            <w:right w:val="none" w:sz="0" w:space="0" w:color="auto"/>
          </w:divBdr>
        </w:div>
        <w:div w:id="1104955005">
          <w:marLeft w:val="0"/>
          <w:marRight w:val="0"/>
          <w:marTop w:val="0"/>
          <w:marBottom w:val="0"/>
          <w:divBdr>
            <w:top w:val="none" w:sz="0" w:space="0" w:color="auto"/>
            <w:left w:val="none" w:sz="0" w:space="0" w:color="auto"/>
            <w:bottom w:val="none" w:sz="0" w:space="0" w:color="auto"/>
            <w:right w:val="none" w:sz="0" w:space="0" w:color="auto"/>
          </w:divBdr>
        </w:div>
        <w:div w:id="1422486960">
          <w:marLeft w:val="0"/>
          <w:marRight w:val="0"/>
          <w:marTop w:val="0"/>
          <w:marBottom w:val="0"/>
          <w:divBdr>
            <w:top w:val="none" w:sz="0" w:space="0" w:color="auto"/>
            <w:left w:val="none" w:sz="0" w:space="0" w:color="auto"/>
            <w:bottom w:val="none" w:sz="0" w:space="0" w:color="auto"/>
            <w:right w:val="none" w:sz="0" w:space="0" w:color="auto"/>
          </w:divBdr>
        </w:div>
        <w:div w:id="438961772">
          <w:marLeft w:val="0"/>
          <w:marRight w:val="0"/>
          <w:marTop w:val="0"/>
          <w:marBottom w:val="0"/>
          <w:divBdr>
            <w:top w:val="none" w:sz="0" w:space="0" w:color="auto"/>
            <w:left w:val="none" w:sz="0" w:space="0" w:color="auto"/>
            <w:bottom w:val="none" w:sz="0" w:space="0" w:color="auto"/>
            <w:right w:val="none" w:sz="0" w:space="0" w:color="auto"/>
          </w:divBdr>
        </w:div>
        <w:div w:id="1448235881">
          <w:marLeft w:val="0"/>
          <w:marRight w:val="0"/>
          <w:marTop w:val="0"/>
          <w:marBottom w:val="0"/>
          <w:divBdr>
            <w:top w:val="none" w:sz="0" w:space="0" w:color="auto"/>
            <w:left w:val="none" w:sz="0" w:space="0" w:color="auto"/>
            <w:bottom w:val="none" w:sz="0" w:space="0" w:color="auto"/>
            <w:right w:val="none" w:sz="0" w:space="0" w:color="auto"/>
          </w:divBdr>
        </w:div>
        <w:div w:id="22443515">
          <w:marLeft w:val="0"/>
          <w:marRight w:val="0"/>
          <w:marTop w:val="0"/>
          <w:marBottom w:val="0"/>
          <w:divBdr>
            <w:top w:val="none" w:sz="0" w:space="0" w:color="auto"/>
            <w:left w:val="none" w:sz="0" w:space="0" w:color="auto"/>
            <w:bottom w:val="none" w:sz="0" w:space="0" w:color="auto"/>
            <w:right w:val="none" w:sz="0" w:space="0" w:color="auto"/>
          </w:divBdr>
        </w:div>
        <w:div w:id="1337853045">
          <w:marLeft w:val="0"/>
          <w:marRight w:val="0"/>
          <w:marTop w:val="0"/>
          <w:marBottom w:val="0"/>
          <w:divBdr>
            <w:top w:val="none" w:sz="0" w:space="0" w:color="auto"/>
            <w:left w:val="none" w:sz="0" w:space="0" w:color="auto"/>
            <w:bottom w:val="none" w:sz="0" w:space="0" w:color="auto"/>
            <w:right w:val="none" w:sz="0" w:space="0" w:color="auto"/>
          </w:divBdr>
        </w:div>
        <w:div w:id="2115444454">
          <w:marLeft w:val="0"/>
          <w:marRight w:val="0"/>
          <w:marTop w:val="0"/>
          <w:marBottom w:val="0"/>
          <w:divBdr>
            <w:top w:val="none" w:sz="0" w:space="0" w:color="auto"/>
            <w:left w:val="none" w:sz="0" w:space="0" w:color="auto"/>
            <w:bottom w:val="none" w:sz="0" w:space="0" w:color="auto"/>
            <w:right w:val="none" w:sz="0" w:space="0" w:color="auto"/>
          </w:divBdr>
        </w:div>
        <w:div w:id="2090879807">
          <w:marLeft w:val="0"/>
          <w:marRight w:val="0"/>
          <w:marTop w:val="0"/>
          <w:marBottom w:val="0"/>
          <w:divBdr>
            <w:top w:val="none" w:sz="0" w:space="0" w:color="auto"/>
            <w:left w:val="none" w:sz="0" w:space="0" w:color="auto"/>
            <w:bottom w:val="none" w:sz="0" w:space="0" w:color="auto"/>
            <w:right w:val="none" w:sz="0" w:space="0" w:color="auto"/>
          </w:divBdr>
        </w:div>
        <w:div w:id="1528060641">
          <w:marLeft w:val="0"/>
          <w:marRight w:val="0"/>
          <w:marTop w:val="0"/>
          <w:marBottom w:val="0"/>
          <w:divBdr>
            <w:top w:val="none" w:sz="0" w:space="0" w:color="auto"/>
            <w:left w:val="none" w:sz="0" w:space="0" w:color="auto"/>
            <w:bottom w:val="none" w:sz="0" w:space="0" w:color="auto"/>
            <w:right w:val="none" w:sz="0" w:space="0" w:color="auto"/>
          </w:divBdr>
        </w:div>
        <w:div w:id="125659307">
          <w:marLeft w:val="0"/>
          <w:marRight w:val="0"/>
          <w:marTop w:val="0"/>
          <w:marBottom w:val="0"/>
          <w:divBdr>
            <w:top w:val="none" w:sz="0" w:space="0" w:color="auto"/>
            <w:left w:val="none" w:sz="0" w:space="0" w:color="auto"/>
            <w:bottom w:val="none" w:sz="0" w:space="0" w:color="auto"/>
            <w:right w:val="none" w:sz="0" w:space="0" w:color="auto"/>
          </w:divBdr>
        </w:div>
        <w:div w:id="2120754798">
          <w:marLeft w:val="0"/>
          <w:marRight w:val="0"/>
          <w:marTop w:val="0"/>
          <w:marBottom w:val="0"/>
          <w:divBdr>
            <w:top w:val="none" w:sz="0" w:space="0" w:color="auto"/>
            <w:left w:val="none" w:sz="0" w:space="0" w:color="auto"/>
            <w:bottom w:val="none" w:sz="0" w:space="0" w:color="auto"/>
            <w:right w:val="none" w:sz="0" w:space="0" w:color="auto"/>
          </w:divBdr>
        </w:div>
        <w:div w:id="1814104299">
          <w:marLeft w:val="0"/>
          <w:marRight w:val="0"/>
          <w:marTop w:val="0"/>
          <w:marBottom w:val="0"/>
          <w:divBdr>
            <w:top w:val="none" w:sz="0" w:space="0" w:color="auto"/>
            <w:left w:val="none" w:sz="0" w:space="0" w:color="auto"/>
            <w:bottom w:val="none" w:sz="0" w:space="0" w:color="auto"/>
            <w:right w:val="none" w:sz="0" w:space="0" w:color="auto"/>
          </w:divBdr>
        </w:div>
        <w:div w:id="642581502">
          <w:marLeft w:val="0"/>
          <w:marRight w:val="0"/>
          <w:marTop w:val="0"/>
          <w:marBottom w:val="0"/>
          <w:divBdr>
            <w:top w:val="none" w:sz="0" w:space="0" w:color="auto"/>
            <w:left w:val="none" w:sz="0" w:space="0" w:color="auto"/>
            <w:bottom w:val="none" w:sz="0" w:space="0" w:color="auto"/>
            <w:right w:val="none" w:sz="0" w:space="0" w:color="auto"/>
          </w:divBdr>
        </w:div>
        <w:div w:id="759638408">
          <w:marLeft w:val="0"/>
          <w:marRight w:val="0"/>
          <w:marTop w:val="0"/>
          <w:marBottom w:val="0"/>
          <w:divBdr>
            <w:top w:val="none" w:sz="0" w:space="0" w:color="auto"/>
            <w:left w:val="none" w:sz="0" w:space="0" w:color="auto"/>
            <w:bottom w:val="none" w:sz="0" w:space="0" w:color="auto"/>
            <w:right w:val="none" w:sz="0" w:space="0" w:color="auto"/>
          </w:divBdr>
        </w:div>
        <w:div w:id="1782916452">
          <w:marLeft w:val="0"/>
          <w:marRight w:val="0"/>
          <w:marTop w:val="0"/>
          <w:marBottom w:val="0"/>
          <w:divBdr>
            <w:top w:val="none" w:sz="0" w:space="0" w:color="auto"/>
            <w:left w:val="none" w:sz="0" w:space="0" w:color="auto"/>
            <w:bottom w:val="none" w:sz="0" w:space="0" w:color="auto"/>
            <w:right w:val="none" w:sz="0" w:space="0" w:color="auto"/>
          </w:divBdr>
        </w:div>
        <w:div w:id="173081794">
          <w:marLeft w:val="0"/>
          <w:marRight w:val="0"/>
          <w:marTop w:val="0"/>
          <w:marBottom w:val="0"/>
          <w:divBdr>
            <w:top w:val="none" w:sz="0" w:space="0" w:color="auto"/>
            <w:left w:val="none" w:sz="0" w:space="0" w:color="auto"/>
            <w:bottom w:val="none" w:sz="0" w:space="0" w:color="auto"/>
            <w:right w:val="none" w:sz="0" w:space="0" w:color="auto"/>
          </w:divBdr>
        </w:div>
        <w:div w:id="7030709">
          <w:marLeft w:val="0"/>
          <w:marRight w:val="0"/>
          <w:marTop w:val="0"/>
          <w:marBottom w:val="0"/>
          <w:divBdr>
            <w:top w:val="none" w:sz="0" w:space="0" w:color="auto"/>
            <w:left w:val="none" w:sz="0" w:space="0" w:color="auto"/>
            <w:bottom w:val="none" w:sz="0" w:space="0" w:color="auto"/>
            <w:right w:val="none" w:sz="0" w:space="0" w:color="auto"/>
          </w:divBdr>
        </w:div>
        <w:div w:id="444347369">
          <w:marLeft w:val="0"/>
          <w:marRight w:val="0"/>
          <w:marTop w:val="0"/>
          <w:marBottom w:val="0"/>
          <w:divBdr>
            <w:top w:val="none" w:sz="0" w:space="0" w:color="auto"/>
            <w:left w:val="none" w:sz="0" w:space="0" w:color="auto"/>
            <w:bottom w:val="none" w:sz="0" w:space="0" w:color="auto"/>
            <w:right w:val="none" w:sz="0" w:space="0" w:color="auto"/>
          </w:divBdr>
        </w:div>
        <w:div w:id="333344029">
          <w:marLeft w:val="0"/>
          <w:marRight w:val="0"/>
          <w:marTop w:val="0"/>
          <w:marBottom w:val="0"/>
          <w:divBdr>
            <w:top w:val="none" w:sz="0" w:space="0" w:color="auto"/>
            <w:left w:val="none" w:sz="0" w:space="0" w:color="auto"/>
            <w:bottom w:val="none" w:sz="0" w:space="0" w:color="auto"/>
            <w:right w:val="none" w:sz="0" w:space="0" w:color="auto"/>
          </w:divBdr>
        </w:div>
        <w:div w:id="746653762">
          <w:marLeft w:val="0"/>
          <w:marRight w:val="0"/>
          <w:marTop w:val="0"/>
          <w:marBottom w:val="0"/>
          <w:divBdr>
            <w:top w:val="none" w:sz="0" w:space="0" w:color="auto"/>
            <w:left w:val="none" w:sz="0" w:space="0" w:color="auto"/>
            <w:bottom w:val="none" w:sz="0" w:space="0" w:color="auto"/>
            <w:right w:val="none" w:sz="0" w:space="0" w:color="auto"/>
          </w:divBdr>
        </w:div>
        <w:div w:id="1635451346">
          <w:marLeft w:val="0"/>
          <w:marRight w:val="0"/>
          <w:marTop w:val="0"/>
          <w:marBottom w:val="0"/>
          <w:divBdr>
            <w:top w:val="none" w:sz="0" w:space="0" w:color="auto"/>
            <w:left w:val="none" w:sz="0" w:space="0" w:color="auto"/>
            <w:bottom w:val="none" w:sz="0" w:space="0" w:color="auto"/>
            <w:right w:val="none" w:sz="0" w:space="0" w:color="auto"/>
          </w:divBdr>
        </w:div>
        <w:div w:id="1880123713">
          <w:marLeft w:val="0"/>
          <w:marRight w:val="0"/>
          <w:marTop w:val="0"/>
          <w:marBottom w:val="0"/>
          <w:divBdr>
            <w:top w:val="none" w:sz="0" w:space="0" w:color="auto"/>
            <w:left w:val="none" w:sz="0" w:space="0" w:color="auto"/>
            <w:bottom w:val="none" w:sz="0" w:space="0" w:color="auto"/>
            <w:right w:val="none" w:sz="0" w:space="0" w:color="auto"/>
          </w:divBdr>
        </w:div>
        <w:div w:id="280303946">
          <w:marLeft w:val="0"/>
          <w:marRight w:val="0"/>
          <w:marTop w:val="0"/>
          <w:marBottom w:val="0"/>
          <w:divBdr>
            <w:top w:val="none" w:sz="0" w:space="0" w:color="auto"/>
            <w:left w:val="none" w:sz="0" w:space="0" w:color="auto"/>
            <w:bottom w:val="none" w:sz="0" w:space="0" w:color="auto"/>
            <w:right w:val="none" w:sz="0" w:space="0" w:color="auto"/>
          </w:divBdr>
        </w:div>
        <w:div w:id="1179739896">
          <w:marLeft w:val="0"/>
          <w:marRight w:val="0"/>
          <w:marTop w:val="0"/>
          <w:marBottom w:val="0"/>
          <w:divBdr>
            <w:top w:val="none" w:sz="0" w:space="0" w:color="auto"/>
            <w:left w:val="none" w:sz="0" w:space="0" w:color="auto"/>
            <w:bottom w:val="none" w:sz="0" w:space="0" w:color="auto"/>
            <w:right w:val="none" w:sz="0" w:space="0" w:color="auto"/>
          </w:divBdr>
        </w:div>
        <w:div w:id="1837988729">
          <w:marLeft w:val="0"/>
          <w:marRight w:val="0"/>
          <w:marTop w:val="0"/>
          <w:marBottom w:val="0"/>
          <w:divBdr>
            <w:top w:val="none" w:sz="0" w:space="0" w:color="auto"/>
            <w:left w:val="none" w:sz="0" w:space="0" w:color="auto"/>
            <w:bottom w:val="none" w:sz="0" w:space="0" w:color="auto"/>
            <w:right w:val="none" w:sz="0" w:space="0" w:color="auto"/>
          </w:divBdr>
        </w:div>
        <w:div w:id="253980481">
          <w:marLeft w:val="0"/>
          <w:marRight w:val="0"/>
          <w:marTop w:val="0"/>
          <w:marBottom w:val="0"/>
          <w:divBdr>
            <w:top w:val="none" w:sz="0" w:space="0" w:color="auto"/>
            <w:left w:val="none" w:sz="0" w:space="0" w:color="auto"/>
            <w:bottom w:val="none" w:sz="0" w:space="0" w:color="auto"/>
            <w:right w:val="none" w:sz="0" w:space="0" w:color="auto"/>
          </w:divBdr>
        </w:div>
        <w:div w:id="1173758231">
          <w:marLeft w:val="0"/>
          <w:marRight w:val="0"/>
          <w:marTop w:val="0"/>
          <w:marBottom w:val="0"/>
          <w:divBdr>
            <w:top w:val="none" w:sz="0" w:space="0" w:color="auto"/>
            <w:left w:val="none" w:sz="0" w:space="0" w:color="auto"/>
            <w:bottom w:val="none" w:sz="0" w:space="0" w:color="auto"/>
            <w:right w:val="none" w:sz="0" w:space="0" w:color="auto"/>
          </w:divBdr>
        </w:div>
        <w:div w:id="28461579">
          <w:marLeft w:val="0"/>
          <w:marRight w:val="0"/>
          <w:marTop w:val="0"/>
          <w:marBottom w:val="0"/>
          <w:divBdr>
            <w:top w:val="none" w:sz="0" w:space="0" w:color="auto"/>
            <w:left w:val="none" w:sz="0" w:space="0" w:color="auto"/>
            <w:bottom w:val="none" w:sz="0" w:space="0" w:color="auto"/>
            <w:right w:val="none" w:sz="0" w:space="0" w:color="auto"/>
          </w:divBdr>
        </w:div>
        <w:div w:id="605969436">
          <w:marLeft w:val="0"/>
          <w:marRight w:val="0"/>
          <w:marTop w:val="0"/>
          <w:marBottom w:val="0"/>
          <w:divBdr>
            <w:top w:val="none" w:sz="0" w:space="0" w:color="auto"/>
            <w:left w:val="none" w:sz="0" w:space="0" w:color="auto"/>
            <w:bottom w:val="none" w:sz="0" w:space="0" w:color="auto"/>
            <w:right w:val="none" w:sz="0" w:space="0" w:color="auto"/>
          </w:divBdr>
        </w:div>
        <w:div w:id="1332101978">
          <w:marLeft w:val="0"/>
          <w:marRight w:val="0"/>
          <w:marTop w:val="0"/>
          <w:marBottom w:val="0"/>
          <w:divBdr>
            <w:top w:val="none" w:sz="0" w:space="0" w:color="auto"/>
            <w:left w:val="none" w:sz="0" w:space="0" w:color="auto"/>
            <w:bottom w:val="none" w:sz="0" w:space="0" w:color="auto"/>
            <w:right w:val="none" w:sz="0" w:space="0" w:color="auto"/>
          </w:divBdr>
        </w:div>
        <w:div w:id="1791515498">
          <w:marLeft w:val="0"/>
          <w:marRight w:val="0"/>
          <w:marTop w:val="0"/>
          <w:marBottom w:val="0"/>
          <w:divBdr>
            <w:top w:val="none" w:sz="0" w:space="0" w:color="auto"/>
            <w:left w:val="none" w:sz="0" w:space="0" w:color="auto"/>
            <w:bottom w:val="none" w:sz="0" w:space="0" w:color="auto"/>
            <w:right w:val="none" w:sz="0" w:space="0" w:color="auto"/>
          </w:divBdr>
        </w:div>
        <w:div w:id="121849609">
          <w:marLeft w:val="0"/>
          <w:marRight w:val="0"/>
          <w:marTop w:val="0"/>
          <w:marBottom w:val="0"/>
          <w:divBdr>
            <w:top w:val="none" w:sz="0" w:space="0" w:color="auto"/>
            <w:left w:val="none" w:sz="0" w:space="0" w:color="auto"/>
            <w:bottom w:val="none" w:sz="0" w:space="0" w:color="auto"/>
            <w:right w:val="none" w:sz="0" w:space="0" w:color="auto"/>
          </w:divBdr>
        </w:div>
        <w:div w:id="1090463606">
          <w:marLeft w:val="0"/>
          <w:marRight w:val="0"/>
          <w:marTop w:val="0"/>
          <w:marBottom w:val="0"/>
          <w:divBdr>
            <w:top w:val="none" w:sz="0" w:space="0" w:color="auto"/>
            <w:left w:val="none" w:sz="0" w:space="0" w:color="auto"/>
            <w:bottom w:val="none" w:sz="0" w:space="0" w:color="auto"/>
            <w:right w:val="none" w:sz="0" w:space="0" w:color="auto"/>
          </w:divBdr>
        </w:div>
        <w:div w:id="1917279969">
          <w:marLeft w:val="0"/>
          <w:marRight w:val="0"/>
          <w:marTop w:val="0"/>
          <w:marBottom w:val="0"/>
          <w:divBdr>
            <w:top w:val="none" w:sz="0" w:space="0" w:color="auto"/>
            <w:left w:val="none" w:sz="0" w:space="0" w:color="auto"/>
            <w:bottom w:val="none" w:sz="0" w:space="0" w:color="auto"/>
            <w:right w:val="none" w:sz="0" w:space="0" w:color="auto"/>
          </w:divBdr>
        </w:div>
        <w:div w:id="171603999">
          <w:marLeft w:val="0"/>
          <w:marRight w:val="0"/>
          <w:marTop w:val="0"/>
          <w:marBottom w:val="0"/>
          <w:divBdr>
            <w:top w:val="none" w:sz="0" w:space="0" w:color="auto"/>
            <w:left w:val="none" w:sz="0" w:space="0" w:color="auto"/>
            <w:bottom w:val="none" w:sz="0" w:space="0" w:color="auto"/>
            <w:right w:val="none" w:sz="0" w:space="0" w:color="auto"/>
          </w:divBdr>
        </w:div>
        <w:div w:id="1687439480">
          <w:marLeft w:val="0"/>
          <w:marRight w:val="0"/>
          <w:marTop w:val="0"/>
          <w:marBottom w:val="0"/>
          <w:divBdr>
            <w:top w:val="none" w:sz="0" w:space="0" w:color="auto"/>
            <w:left w:val="none" w:sz="0" w:space="0" w:color="auto"/>
            <w:bottom w:val="none" w:sz="0" w:space="0" w:color="auto"/>
            <w:right w:val="none" w:sz="0" w:space="0" w:color="auto"/>
          </w:divBdr>
        </w:div>
        <w:div w:id="905459278">
          <w:marLeft w:val="0"/>
          <w:marRight w:val="0"/>
          <w:marTop w:val="0"/>
          <w:marBottom w:val="0"/>
          <w:divBdr>
            <w:top w:val="none" w:sz="0" w:space="0" w:color="auto"/>
            <w:left w:val="none" w:sz="0" w:space="0" w:color="auto"/>
            <w:bottom w:val="none" w:sz="0" w:space="0" w:color="auto"/>
            <w:right w:val="none" w:sz="0" w:space="0" w:color="auto"/>
          </w:divBdr>
        </w:div>
        <w:div w:id="1611472182">
          <w:marLeft w:val="0"/>
          <w:marRight w:val="0"/>
          <w:marTop w:val="0"/>
          <w:marBottom w:val="0"/>
          <w:divBdr>
            <w:top w:val="none" w:sz="0" w:space="0" w:color="auto"/>
            <w:left w:val="none" w:sz="0" w:space="0" w:color="auto"/>
            <w:bottom w:val="none" w:sz="0" w:space="0" w:color="auto"/>
            <w:right w:val="none" w:sz="0" w:space="0" w:color="auto"/>
          </w:divBdr>
        </w:div>
        <w:div w:id="507066831">
          <w:marLeft w:val="0"/>
          <w:marRight w:val="0"/>
          <w:marTop w:val="0"/>
          <w:marBottom w:val="0"/>
          <w:divBdr>
            <w:top w:val="none" w:sz="0" w:space="0" w:color="auto"/>
            <w:left w:val="none" w:sz="0" w:space="0" w:color="auto"/>
            <w:bottom w:val="none" w:sz="0" w:space="0" w:color="auto"/>
            <w:right w:val="none" w:sz="0" w:space="0" w:color="auto"/>
          </w:divBdr>
        </w:div>
        <w:div w:id="1088311413">
          <w:marLeft w:val="0"/>
          <w:marRight w:val="0"/>
          <w:marTop w:val="0"/>
          <w:marBottom w:val="0"/>
          <w:divBdr>
            <w:top w:val="none" w:sz="0" w:space="0" w:color="auto"/>
            <w:left w:val="none" w:sz="0" w:space="0" w:color="auto"/>
            <w:bottom w:val="none" w:sz="0" w:space="0" w:color="auto"/>
            <w:right w:val="none" w:sz="0" w:space="0" w:color="auto"/>
          </w:divBdr>
        </w:div>
        <w:div w:id="728377907">
          <w:marLeft w:val="0"/>
          <w:marRight w:val="0"/>
          <w:marTop w:val="0"/>
          <w:marBottom w:val="0"/>
          <w:divBdr>
            <w:top w:val="none" w:sz="0" w:space="0" w:color="auto"/>
            <w:left w:val="none" w:sz="0" w:space="0" w:color="auto"/>
            <w:bottom w:val="none" w:sz="0" w:space="0" w:color="auto"/>
            <w:right w:val="none" w:sz="0" w:space="0" w:color="auto"/>
          </w:divBdr>
        </w:div>
        <w:div w:id="2076319155">
          <w:marLeft w:val="0"/>
          <w:marRight w:val="0"/>
          <w:marTop w:val="0"/>
          <w:marBottom w:val="0"/>
          <w:divBdr>
            <w:top w:val="none" w:sz="0" w:space="0" w:color="auto"/>
            <w:left w:val="none" w:sz="0" w:space="0" w:color="auto"/>
            <w:bottom w:val="none" w:sz="0" w:space="0" w:color="auto"/>
            <w:right w:val="none" w:sz="0" w:space="0" w:color="auto"/>
          </w:divBdr>
        </w:div>
        <w:div w:id="2022663599">
          <w:marLeft w:val="0"/>
          <w:marRight w:val="0"/>
          <w:marTop w:val="0"/>
          <w:marBottom w:val="0"/>
          <w:divBdr>
            <w:top w:val="none" w:sz="0" w:space="0" w:color="auto"/>
            <w:left w:val="none" w:sz="0" w:space="0" w:color="auto"/>
            <w:bottom w:val="none" w:sz="0" w:space="0" w:color="auto"/>
            <w:right w:val="none" w:sz="0" w:space="0" w:color="auto"/>
          </w:divBdr>
        </w:div>
      </w:divsChild>
    </w:div>
    <w:div w:id="1006250864">
      <w:bodyDiv w:val="1"/>
      <w:marLeft w:val="0"/>
      <w:marRight w:val="0"/>
      <w:marTop w:val="0"/>
      <w:marBottom w:val="0"/>
      <w:divBdr>
        <w:top w:val="none" w:sz="0" w:space="0" w:color="auto"/>
        <w:left w:val="none" w:sz="0" w:space="0" w:color="auto"/>
        <w:bottom w:val="none" w:sz="0" w:space="0" w:color="auto"/>
        <w:right w:val="none" w:sz="0" w:space="0" w:color="auto"/>
      </w:divBdr>
      <w:divsChild>
        <w:div w:id="425075416">
          <w:marLeft w:val="0"/>
          <w:marRight w:val="0"/>
          <w:marTop w:val="0"/>
          <w:marBottom w:val="0"/>
          <w:divBdr>
            <w:top w:val="none" w:sz="0" w:space="0" w:color="auto"/>
            <w:left w:val="none" w:sz="0" w:space="0" w:color="auto"/>
            <w:bottom w:val="none" w:sz="0" w:space="0" w:color="auto"/>
            <w:right w:val="none" w:sz="0" w:space="0" w:color="auto"/>
          </w:divBdr>
          <w:divsChild>
            <w:div w:id="1820265397">
              <w:marLeft w:val="0"/>
              <w:marRight w:val="0"/>
              <w:marTop w:val="0"/>
              <w:marBottom w:val="0"/>
              <w:divBdr>
                <w:top w:val="none" w:sz="0" w:space="0" w:color="auto"/>
                <w:left w:val="none" w:sz="0" w:space="0" w:color="auto"/>
                <w:bottom w:val="none" w:sz="0" w:space="0" w:color="auto"/>
                <w:right w:val="none" w:sz="0" w:space="0" w:color="auto"/>
              </w:divBdr>
              <w:divsChild>
                <w:div w:id="1245644186">
                  <w:marLeft w:val="0"/>
                  <w:marRight w:val="0"/>
                  <w:marTop w:val="0"/>
                  <w:marBottom w:val="0"/>
                  <w:divBdr>
                    <w:top w:val="none" w:sz="0" w:space="0" w:color="auto"/>
                    <w:left w:val="none" w:sz="0" w:space="0" w:color="auto"/>
                    <w:bottom w:val="none" w:sz="0" w:space="0" w:color="auto"/>
                    <w:right w:val="none" w:sz="0" w:space="0" w:color="auto"/>
                  </w:divBdr>
                  <w:divsChild>
                    <w:div w:id="193151369">
                      <w:marLeft w:val="0"/>
                      <w:marRight w:val="0"/>
                      <w:marTop w:val="0"/>
                      <w:marBottom w:val="0"/>
                      <w:divBdr>
                        <w:top w:val="none" w:sz="0" w:space="0" w:color="auto"/>
                        <w:left w:val="none" w:sz="0" w:space="0" w:color="auto"/>
                        <w:bottom w:val="none" w:sz="0" w:space="0" w:color="auto"/>
                        <w:right w:val="none" w:sz="0" w:space="0" w:color="auto"/>
                      </w:divBdr>
                      <w:divsChild>
                        <w:div w:id="17699596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072853645">
      <w:bodyDiv w:val="1"/>
      <w:marLeft w:val="0"/>
      <w:marRight w:val="0"/>
      <w:marTop w:val="0"/>
      <w:marBottom w:val="0"/>
      <w:divBdr>
        <w:top w:val="none" w:sz="0" w:space="0" w:color="auto"/>
        <w:left w:val="none" w:sz="0" w:space="0" w:color="auto"/>
        <w:bottom w:val="none" w:sz="0" w:space="0" w:color="auto"/>
        <w:right w:val="none" w:sz="0" w:space="0" w:color="auto"/>
      </w:divBdr>
      <w:divsChild>
        <w:div w:id="1022821518">
          <w:marLeft w:val="0"/>
          <w:marRight w:val="0"/>
          <w:marTop w:val="0"/>
          <w:marBottom w:val="0"/>
          <w:divBdr>
            <w:top w:val="none" w:sz="0" w:space="0" w:color="auto"/>
            <w:left w:val="none" w:sz="0" w:space="0" w:color="auto"/>
            <w:bottom w:val="none" w:sz="0" w:space="0" w:color="auto"/>
            <w:right w:val="none" w:sz="0" w:space="0" w:color="auto"/>
          </w:divBdr>
          <w:divsChild>
            <w:div w:id="1319192155">
              <w:marLeft w:val="0"/>
              <w:marRight w:val="0"/>
              <w:marTop w:val="0"/>
              <w:marBottom w:val="0"/>
              <w:divBdr>
                <w:top w:val="none" w:sz="0" w:space="0" w:color="auto"/>
                <w:left w:val="none" w:sz="0" w:space="0" w:color="auto"/>
                <w:bottom w:val="none" w:sz="0" w:space="0" w:color="auto"/>
                <w:right w:val="none" w:sz="0" w:space="0" w:color="auto"/>
              </w:divBdr>
              <w:divsChild>
                <w:div w:id="65499339">
                  <w:marLeft w:val="0"/>
                  <w:marRight w:val="0"/>
                  <w:marTop w:val="0"/>
                  <w:marBottom w:val="0"/>
                  <w:divBdr>
                    <w:top w:val="none" w:sz="0" w:space="0" w:color="auto"/>
                    <w:left w:val="none" w:sz="0" w:space="0" w:color="auto"/>
                    <w:bottom w:val="none" w:sz="0" w:space="0" w:color="auto"/>
                    <w:right w:val="none" w:sz="0" w:space="0" w:color="auto"/>
                  </w:divBdr>
                  <w:divsChild>
                    <w:div w:id="1983920018">
                      <w:marLeft w:val="0"/>
                      <w:marRight w:val="0"/>
                      <w:marTop w:val="0"/>
                      <w:marBottom w:val="0"/>
                      <w:divBdr>
                        <w:top w:val="none" w:sz="0" w:space="0" w:color="auto"/>
                        <w:left w:val="none" w:sz="0" w:space="0" w:color="auto"/>
                        <w:bottom w:val="none" w:sz="0" w:space="0" w:color="auto"/>
                        <w:right w:val="none" w:sz="0" w:space="0" w:color="auto"/>
                      </w:divBdr>
                      <w:divsChild>
                        <w:div w:id="14971143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19267659">
      <w:bodyDiv w:val="1"/>
      <w:marLeft w:val="0"/>
      <w:marRight w:val="0"/>
      <w:marTop w:val="0"/>
      <w:marBottom w:val="0"/>
      <w:divBdr>
        <w:top w:val="none" w:sz="0" w:space="0" w:color="auto"/>
        <w:left w:val="none" w:sz="0" w:space="0" w:color="auto"/>
        <w:bottom w:val="none" w:sz="0" w:space="0" w:color="auto"/>
        <w:right w:val="none" w:sz="0" w:space="0" w:color="auto"/>
      </w:divBdr>
      <w:divsChild>
        <w:div w:id="1635866291">
          <w:marLeft w:val="0"/>
          <w:marRight w:val="0"/>
          <w:marTop w:val="0"/>
          <w:marBottom w:val="0"/>
          <w:divBdr>
            <w:top w:val="none" w:sz="0" w:space="0" w:color="auto"/>
            <w:left w:val="none" w:sz="0" w:space="0" w:color="auto"/>
            <w:bottom w:val="none" w:sz="0" w:space="0" w:color="auto"/>
            <w:right w:val="none" w:sz="0" w:space="0" w:color="auto"/>
          </w:divBdr>
        </w:div>
        <w:div w:id="915935559">
          <w:marLeft w:val="0"/>
          <w:marRight w:val="0"/>
          <w:marTop w:val="0"/>
          <w:marBottom w:val="0"/>
          <w:divBdr>
            <w:top w:val="none" w:sz="0" w:space="0" w:color="auto"/>
            <w:left w:val="none" w:sz="0" w:space="0" w:color="auto"/>
            <w:bottom w:val="none" w:sz="0" w:space="0" w:color="auto"/>
            <w:right w:val="none" w:sz="0" w:space="0" w:color="auto"/>
          </w:divBdr>
        </w:div>
        <w:div w:id="1467119723">
          <w:marLeft w:val="0"/>
          <w:marRight w:val="0"/>
          <w:marTop w:val="0"/>
          <w:marBottom w:val="0"/>
          <w:divBdr>
            <w:top w:val="none" w:sz="0" w:space="0" w:color="auto"/>
            <w:left w:val="none" w:sz="0" w:space="0" w:color="auto"/>
            <w:bottom w:val="none" w:sz="0" w:space="0" w:color="auto"/>
            <w:right w:val="none" w:sz="0" w:space="0" w:color="auto"/>
          </w:divBdr>
        </w:div>
      </w:divsChild>
    </w:div>
    <w:div w:id="1373190890">
      <w:bodyDiv w:val="1"/>
      <w:marLeft w:val="0"/>
      <w:marRight w:val="0"/>
      <w:marTop w:val="0"/>
      <w:marBottom w:val="0"/>
      <w:divBdr>
        <w:top w:val="none" w:sz="0" w:space="0" w:color="auto"/>
        <w:left w:val="none" w:sz="0" w:space="0" w:color="auto"/>
        <w:bottom w:val="none" w:sz="0" w:space="0" w:color="auto"/>
        <w:right w:val="none" w:sz="0" w:space="0" w:color="auto"/>
      </w:divBdr>
      <w:divsChild>
        <w:div w:id="1684940942">
          <w:marLeft w:val="0"/>
          <w:marRight w:val="0"/>
          <w:marTop w:val="0"/>
          <w:marBottom w:val="0"/>
          <w:divBdr>
            <w:top w:val="none" w:sz="0" w:space="0" w:color="auto"/>
            <w:left w:val="none" w:sz="0" w:space="0" w:color="auto"/>
            <w:bottom w:val="none" w:sz="0" w:space="0" w:color="auto"/>
            <w:right w:val="none" w:sz="0" w:space="0" w:color="auto"/>
          </w:divBdr>
        </w:div>
        <w:div w:id="1597442532">
          <w:marLeft w:val="0"/>
          <w:marRight w:val="0"/>
          <w:marTop w:val="0"/>
          <w:marBottom w:val="0"/>
          <w:divBdr>
            <w:top w:val="none" w:sz="0" w:space="0" w:color="auto"/>
            <w:left w:val="none" w:sz="0" w:space="0" w:color="auto"/>
            <w:bottom w:val="none" w:sz="0" w:space="0" w:color="auto"/>
            <w:right w:val="none" w:sz="0" w:space="0" w:color="auto"/>
          </w:divBdr>
        </w:div>
        <w:div w:id="2078933121">
          <w:marLeft w:val="0"/>
          <w:marRight w:val="0"/>
          <w:marTop w:val="0"/>
          <w:marBottom w:val="0"/>
          <w:divBdr>
            <w:top w:val="none" w:sz="0" w:space="0" w:color="auto"/>
            <w:left w:val="none" w:sz="0" w:space="0" w:color="auto"/>
            <w:bottom w:val="none" w:sz="0" w:space="0" w:color="auto"/>
            <w:right w:val="none" w:sz="0" w:space="0" w:color="auto"/>
          </w:divBdr>
        </w:div>
      </w:divsChild>
    </w:div>
    <w:div w:id="1384216810">
      <w:bodyDiv w:val="1"/>
      <w:marLeft w:val="0"/>
      <w:marRight w:val="0"/>
      <w:marTop w:val="0"/>
      <w:marBottom w:val="0"/>
      <w:divBdr>
        <w:top w:val="none" w:sz="0" w:space="0" w:color="auto"/>
        <w:left w:val="none" w:sz="0" w:space="0" w:color="auto"/>
        <w:bottom w:val="none" w:sz="0" w:space="0" w:color="auto"/>
        <w:right w:val="none" w:sz="0" w:space="0" w:color="auto"/>
      </w:divBdr>
      <w:divsChild>
        <w:div w:id="4598312">
          <w:marLeft w:val="0"/>
          <w:marRight w:val="0"/>
          <w:marTop w:val="0"/>
          <w:marBottom w:val="0"/>
          <w:divBdr>
            <w:top w:val="none" w:sz="0" w:space="0" w:color="auto"/>
            <w:left w:val="none" w:sz="0" w:space="0" w:color="auto"/>
            <w:bottom w:val="none" w:sz="0" w:space="0" w:color="auto"/>
            <w:right w:val="none" w:sz="0" w:space="0" w:color="auto"/>
          </w:divBdr>
          <w:divsChild>
            <w:div w:id="794449859">
              <w:marLeft w:val="0"/>
              <w:marRight w:val="0"/>
              <w:marTop w:val="0"/>
              <w:marBottom w:val="0"/>
              <w:divBdr>
                <w:top w:val="none" w:sz="0" w:space="0" w:color="auto"/>
                <w:left w:val="none" w:sz="0" w:space="0" w:color="auto"/>
                <w:bottom w:val="none" w:sz="0" w:space="0" w:color="auto"/>
                <w:right w:val="none" w:sz="0" w:space="0" w:color="auto"/>
              </w:divBdr>
              <w:divsChild>
                <w:div w:id="1196850146">
                  <w:marLeft w:val="0"/>
                  <w:marRight w:val="0"/>
                  <w:marTop w:val="0"/>
                  <w:marBottom w:val="0"/>
                  <w:divBdr>
                    <w:top w:val="none" w:sz="0" w:space="0" w:color="auto"/>
                    <w:left w:val="none" w:sz="0" w:space="0" w:color="auto"/>
                    <w:bottom w:val="none" w:sz="0" w:space="0" w:color="auto"/>
                    <w:right w:val="none" w:sz="0" w:space="0" w:color="auto"/>
                  </w:divBdr>
                  <w:divsChild>
                    <w:div w:id="1001084292">
                      <w:marLeft w:val="0"/>
                      <w:marRight w:val="0"/>
                      <w:marTop w:val="0"/>
                      <w:marBottom w:val="0"/>
                      <w:divBdr>
                        <w:top w:val="none" w:sz="0" w:space="0" w:color="auto"/>
                        <w:left w:val="none" w:sz="0" w:space="0" w:color="auto"/>
                        <w:bottom w:val="none" w:sz="0" w:space="0" w:color="auto"/>
                        <w:right w:val="none" w:sz="0" w:space="0" w:color="auto"/>
                      </w:divBdr>
                      <w:divsChild>
                        <w:div w:id="770704439">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388720600">
      <w:bodyDiv w:val="1"/>
      <w:marLeft w:val="0"/>
      <w:marRight w:val="0"/>
      <w:marTop w:val="0"/>
      <w:marBottom w:val="0"/>
      <w:divBdr>
        <w:top w:val="none" w:sz="0" w:space="0" w:color="auto"/>
        <w:left w:val="none" w:sz="0" w:space="0" w:color="auto"/>
        <w:bottom w:val="none" w:sz="0" w:space="0" w:color="auto"/>
        <w:right w:val="none" w:sz="0" w:space="0" w:color="auto"/>
      </w:divBdr>
      <w:divsChild>
        <w:div w:id="1568881557">
          <w:marLeft w:val="0"/>
          <w:marRight w:val="0"/>
          <w:marTop w:val="0"/>
          <w:marBottom w:val="0"/>
          <w:divBdr>
            <w:top w:val="none" w:sz="0" w:space="0" w:color="auto"/>
            <w:left w:val="none" w:sz="0" w:space="0" w:color="auto"/>
            <w:bottom w:val="none" w:sz="0" w:space="0" w:color="auto"/>
            <w:right w:val="none" w:sz="0" w:space="0" w:color="auto"/>
          </w:divBdr>
          <w:divsChild>
            <w:div w:id="164130019">
              <w:marLeft w:val="0"/>
              <w:marRight w:val="0"/>
              <w:marTop w:val="0"/>
              <w:marBottom w:val="0"/>
              <w:divBdr>
                <w:top w:val="none" w:sz="0" w:space="0" w:color="auto"/>
                <w:left w:val="none" w:sz="0" w:space="0" w:color="auto"/>
                <w:bottom w:val="none" w:sz="0" w:space="0" w:color="auto"/>
                <w:right w:val="none" w:sz="0" w:space="0" w:color="auto"/>
              </w:divBdr>
              <w:divsChild>
                <w:div w:id="1933858262">
                  <w:marLeft w:val="0"/>
                  <w:marRight w:val="0"/>
                  <w:marTop w:val="0"/>
                  <w:marBottom w:val="0"/>
                  <w:divBdr>
                    <w:top w:val="none" w:sz="0" w:space="0" w:color="auto"/>
                    <w:left w:val="none" w:sz="0" w:space="0" w:color="auto"/>
                    <w:bottom w:val="none" w:sz="0" w:space="0" w:color="auto"/>
                    <w:right w:val="none" w:sz="0" w:space="0" w:color="auto"/>
                  </w:divBdr>
                  <w:divsChild>
                    <w:div w:id="160900458">
                      <w:marLeft w:val="0"/>
                      <w:marRight w:val="0"/>
                      <w:marTop w:val="0"/>
                      <w:marBottom w:val="0"/>
                      <w:divBdr>
                        <w:top w:val="none" w:sz="0" w:space="0" w:color="auto"/>
                        <w:left w:val="none" w:sz="0" w:space="0" w:color="auto"/>
                        <w:bottom w:val="none" w:sz="0" w:space="0" w:color="auto"/>
                        <w:right w:val="none" w:sz="0" w:space="0" w:color="auto"/>
                      </w:divBdr>
                      <w:divsChild>
                        <w:div w:id="434400187">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427116615">
      <w:bodyDiv w:val="1"/>
      <w:marLeft w:val="0"/>
      <w:marRight w:val="0"/>
      <w:marTop w:val="0"/>
      <w:marBottom w:val="0"/>
      <w:divBdr>
        <w:top w:val="none" w:sz="0" w:space="0" w:color="auto"/>
        <w:left w:val="none" w:sz="0" w:space="0" w:color="auto"/>
        <w:bottom w:val="none" w:sz="0" w:space="0" w:color="auto"/>
        <w:right w:val="none" w:sz="0" w:space="0" w:color="auto"/>
      </w:divBdr>
    </w:div>
    <w:div w:id="1575166180">
      <w:bodyDiv w:val="1"/>
      <w:marLeft w:val="0"/>
      <w:marRight w:val="0"/>
      <w:marTop w:val="0"/>
      <w:marBottom w:val="0"/>
      <w:divBdr>
        <w:top w:val="none" w:sz="0" w:space="0" w:color="auto"/>
        <w:left w:val="none" w:sz="0" w:space="0" w:color="auto"/>
        <w:bottom w:val="none" w:sz="0" w:space="0" w:color="auto"/>
        <w:right w:val="none" w:sz="0" w:space="0" w:color="auto"/>
      </w:divBdr>
      <w:divsChild>
        <w:div w:id="1214847387">
          <w:marLeft w:val="0"/>
          <w:marRight w:val="0"/>
          <w:marTop w:val="0"/>
          <w:marBottom w:val="0"/>
          <w:divBdr>
            <w:top w:val="none" w:sz="0" w:space="0" w:color="auto"/>
            <w:left w:val="none" w:sz="0" w:space="0" w:color="auto"/>
            <w:bottom w:val="none" w:sz="0" w:space="0" w:color="auto"/>
            <w:right w:val="none" w:sz="0" w:space="0" w:color="auto"/>
          </w:divBdr>
          <w:divsChild>
            <w:div w:id="1769736424">
              <w:marLeft w:val="0"/>
              <w:marRight w:val="0"/>
              <w:marTop w:val="0"/>
              <w:marBottom w:val="0"/>
              <w:divBdr>
                <w:top w:val="none" w:sz="0" w:space="0" w:color="auto"/>
                <w:left w:val="none" w:sz="0" w:space="0" w:color="auto"/>
                <w:bottom w:val="none" w:sz="0" w:space="0" w:color="auto"/>
                <w:right w:val="none" w:sz="0" w:space="0" w:color="auto"/>
              </w:divBdr>
              <w:divsChild>
                <w:div w:id="1253472437">
                  <w:marLeft w:val="0"/>
                  <w:marRight w:val="0"/>
                  <w:marTop w:val="0"/>
                  <w:marBottom w:val="0"/>
                  <w:divBdr>
                    <w:top w:val="none" w:sz="0" w:space="0" w:color="auto"/>
                    <w:left w:val="none" w:sz="0" w:space="0" w:color="auto"/>
                    <w:bottom w:val="none" w:sz="0" w:space="0" w:color="auto"/>
                    <w:right w:val="none" w:sz="0" w:space="0" w:color="auto"/>
                  </w:divBdr>
                  <w:divsChild>
                    <w:div w:id="1578710509">
                      <w:marLeft w:val="0"/>
                      <w:marRight w:val="0"/>
                      <w:marTop w:val="0"/>
                      <w:marBottom w:val="0"/>
                      <w:divBdr>
                        <w:top w:val="none" w:sz="0" w:space="0" w:color="auto"/>
                        <w:left w:val="none" w:sz="0" w:space="0" w:color="auto"/>
                        <w:bottom w:val="none" w:sz="0" w:space="0" w:color="auto"/>
                        <w:right w:val="none" w:sz="0" w:space="0" w:color="auto"/>
                      </w:divBdr>
                      <w:divsChild>
                        <w:div w:id="1031342273">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00160573">
      <w:bodyDiv w:val="1"/>
      <w:marLeft w:val="0"/>
      <w:marRight w:val="0"/>
      <w:marTop w:val="0"/>
      <w:marBottom w:val="0"/>
      <w:divBdr>
        <w:top w:val="none" w:sz="0" w:space="0" w:color="auto"/>
        <w:left w:val="none" w:sz="0" w:space="0" w:color="auto"/>
        <w:bottom w:val="none" w:sz="0" w:space="0" w:color="auto"/>
        <w:right w:val="none" w:sz="0" w:space="0" w:color="auto"/>
      </w:divBdr>
      <w:divsChild>
        <w:div w:id="2067991225">
          <w:marLeft w:val="0"/>
          <w:marRight w:val="0"/>
          <w:marTop w:val="0"/>
          <w:marBottom w:val="0"/>
          <w:divBdr>
            <w:top w:val="none" w:sz="0" w:space="0" w:color="auto"/>
            <w:left w:val="none" w:sz="0" w:space="0" w:color="auto"/>
            <w:bottom w:val="none" w:sz="0" w:space="0" w:color="auto"/>
            <w:right w:val="none" w:sz="0" w:space="0" w:color="auto"/>
          </w:divBdr>
          <w:divsChild>
            <w:div w:id="181162600">
              <w:marLeft w:val="0"/>
              <w:marRight w:val="0"/>
              <w:marTop w:val="0"/>
              <w:marBottom w:val="0"/>
              <w:divBdr>
                <w:top w:val="none" w:sz="0" w:space="0" w:color="auto"/>
                <w:left w:val="none" w:sz="0" w:space="0" w:color="auto"/>
                <w:bottom w:val="none" w:sz="0" w:space="0" w:color="auto"/>
                <w:right w:val="none" w:sz="0" w:space="0" w:color="auto"/>
              </w:divBdr>
              <w:divsChild>
                <w:div w:id="2030058307">
                  <w:marLeft w:val="0"/>
                  <w:marRight w:val="0"/>
                  <w:marTop w:val="0"/>
                  <w:marBottom w:val="0"/>
                  <w:divBdr>
                    <w:top w:val="none" w:sz="0" w:space="0" w:color="auto"/>
                    <w:left w:val="none" w:sz="0" w:space="0" w:color="auto"/>
                    <w:bottom w:val="none" w:sz="0" w:space="0" w:color="auto"/>
                    <w:right w:val="none" w:sz="0" w:space="0" w:color="auto"/>
                  </w:divBdr>
                  <w:divsChild>
                    <w:div w:id="1087271180">
                      <w:marLeft w:val="0"/>
                      <w:marRight w:val="0"/>
                      <w:marTop w:val="0"/>
                      <w:marBottom w:val="0"/>
                      <w:divBdr>
                        <w:top w:val="none" w:sz="0" w:space="0" w:color="auto"/>
                        <w:left w:val="none" w:sz="0" w:space="0" w:color="auto"/>
                        <w:bottom w:val="none" w:sz="0" w:space="0" w:color="auto"/>
                        <w:right w:val="none" w:sz="0" w:space="0" w:color="auto"/>
                      </w:divBdr>
                      <w:divsChild>
                        <w:div w:id="117087165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1752460896">
      <w:bodyDiv w:val="1"/>
      <w:marLeft w:val="0"/>
      <w:marRight w:val="0"/>
      <w:marTop w:val="0"/>
      <w:marBottom w:val="0"/>
      <w:divBdr>
        <w:top w:val="none" w:sz="0" w:space="0" w:color="auto"/>
        <w:left w:val="none" w:sz="0" w:space="0" w:color="auto"/>
        <w:bottom w:val="none" w:sz="0" w:space="0" w:color="auto"/>
        <w:right w:val="none" w:sz="0" w:space="0" w:color="auto"/>
      </w:divBdr>
      <w:divsChild>
        <w:div w:id="1164592289">
          <w:marLeft w:val="0"/>
          <w:marRight w:val="0"/>
          <w:marTop w:val="0"/>
          <w:marBottom w:val="0"/>
          <w:divBdr>
            <w:top w:val="none" w:sz="0" w:space="0" w:color="auto"/>
            <w:left w:val="none" w:sz="0" w:space="0" w:color="auto"/>
            <w:bottom w:val="none" w:sz="0" w:space="0" w:color="auto"/>
            <w:right w:val="none" w:sz="0" w:space="0" w:color="auto"/>
          </w:divBdr>
        </w:div>
        <w:div w:id="2092121824">
          <w:marLeft w:val="0"/>
          <w:marRight w:val="0"/>
          <w:marTop w:val="0"/>
          <w:marBottom w:val="0"/>
          <w:divBdr>
            <w:top w:val="none" w:sz="0" w:space="0" w:color="auto"/>
            <w:left w:val="none" w:sz="0" w:space="0" w:color="auto"/>
            <w:bottom w:val="none" w:sz="0" w:space="0" w:color="auto"/>
            <w:right w:val="none" w:sz="0" w:space="0" w:color="auto"/>
          </w:divBdr>
        </w:div>
        <w:div w:id="1016150966">
          <w:marLeft w:val="0"/>
          <w:marRight w:val="0"/>
          <w:marTop w:val="0"/>
          <w:marBottom w:val="0"/>
          <w:divBdr>
            <w:top w:val="none" w:sz="0" w:space="0" w:color="auto"/>
            <w:left w:val="none" w:sz="0" w:space="0" w:color="auto"/>
            <w:bottom w:val="none" w:sz="0" w:space="0" w:color="auto"/>
            <w:right w:val="none" w:sz="0" w:space="0" w:color="auto"/>
          </w:divBdr>
        </w:div>
        <w:div w:id="1351373317">
          <w:marLeft w:val="0"/>
          <w:marRight w:val="0"/>
          <w:marTop w:val="0"/>
          <w:marBottom w:val="0"/>
          <w:divBdr>
            <w:top w:val="none" w:sz="0" w:space="0" w:color="auto"/>
            <w:left w:val="none" w:sz="0" w:space="0" w:color="auto"/>
            <w:bottom w:val="none" w:sz="0" w:space="0" w:color="auto"/>
            <w:right w:val="none" w:sz="0" w:space="0" w:color="auto"/>
          </w:divBdr>
        </w:div>
        <w:div w:id="751586635">
          <w:marLeft w:val="0"/>
          <w:marRight w:val="0"/>
          <w:marTop w:val="0"/>
          <w:marBottom w:val="0"/>
          <w:divBdr>
            <w:top w:val="none" w:sz="0" w:space="0" w:color="auto"/>
            <w:left w:val="none" w:sz="0" w:space="0" w:color="auto"/>
            <w:bottom w:val="none" w:sz="0" w:space="0" w:color="auto"/>
            <w:right w:val="none" w:sz="0" w:space="0" w:color="auto"/>
          </w:divBdr>
        </w:div>
        <w:div w:id="1342439795">
          <w:marLeft w:val="0"/>
          <w:marRight w:val="0"/>
          <w:marTop w:val="0"/>
          <w:marBottom w:val="0"/>
          <w:divBdr>
            <w:top w:val="none" w:sz="0" w:space="0" w:color="auto"/>
            <w:left w:val="none" w:sz="0" w:space="0" w:color="auto"/>
            <w:bottom w:val="none" w:sz="0" w:space="0" w:color="auto"/>
            <w:right w:val="none" w:sz="0" w:space="0" w:color="auto"/>
          </w:divBdr>
        </w:div>
        <w:div w:id="546065904">
          <w:marLeft w:val="0"/>
          <w:marRight w:val="0"/>
          <w:marTop w:val="0"/>
          <w:marBottom w:val="0"/>
          <w:divBdr>
            <w:top w:val="none" w:sz="0" w:space="0" w:color="auto"/>
            <w:left w:val="none" w:sz="0" w:space="0" w:color="auto"/>
            <w:bottom w:val="none" w:sz="0" w:space="0" w:color="auto"/>
            <w:right w:val="none" w:sz="0" w:space="0" w:color="auto"/>
          </w:divBdr>
        </w:div>
        <w:div w:id="378240493">
          <w:marLeft w:val="0"/>
          <w:marRight w:val="0"/>
          <w:marTop w:val="0"/>
          <w:marBottom w:val="0"/>
          <w:divBdr>
            <w:top w:val="none" w:sz="0" w:space="0" w:color="auto"/>
            <w:left w:val="none" w:sz="0" w:space="0" w:color="auto"/>
            <w:bottom w:val="none" w:sz="0" w:space="0" w:color="auto"/>
            <w:right w:val="none" w:sz="0" w:space="0" w:color="auto"/>
          </w:divBdr>
        </w:div>
        <w:div w:id="238517527">
          <w:marLeft w:val="0"/>
          <w:marRight w:val="0"/>
          <w:marTop w:val="0"/>
          <w:marBottom w:val="0"/>
          <w:divBdr>
            <w:top w:val="none" w:sz="0" w:space="0" w:color="auto"/>
            <w:left w:val="none" w:sz="0" w:space="0" w:color="auto"/>
            <w:bottom w:val="none" w:sz="0" w:space="0" w:color="auto"/>
            <w:right w:val="none" w:sz="0" w:space="0" w:color="auto"/>
          </w:divBdr>
        </w:div>
        <w:div w:id="328093975">
          <w:marLeft w:val="0"/>
          <w:marRight w:val="0"/>
          <w:marTop w:val="0"/>
          <w:marBottom w:val="0"/>
          <w:divBdr>
            <w:top w:val="none" w:sz="0" w:space="0" w:color="auto"/>
            <w:left w:val="none" w:sz="0" w:space="0" w:color="auto"/>
            <w:bottom w:val="none" w:sz="0" w:space="0" w:color="auto"/>
            <w:right w:val="none" w:sz="0" w:space="0" w:color="auto"/>
          </w:divBdr>
        </w:div>
        <w:div w:id="83456083">
          <w:marLeft w:val="0"/>
          <w:marRight w:val="0"/>
          <w:marTop w:val="0"/>
          <w:marBottom w:val="0"/>
          <w:divBdr>
            <w:top w:val="none" w:sz="0" w:space="0" w:color="auto"/>
            <w:left w:val="none" w:sz="0" w:space="0" w:color="auto"/>
            <w:bottom w:val="none" w:sz="0" w:space="0" w:color="auto"/>
            <w:right w:val="none" w:sz="0" w:space="0" w:color="auto"/>
          </w:divBdr>
        </w:div>
        <w:div w:id="1098719322">
          <w:marLeft w:val="0"/>
          <w:marRight w:val="0"/>
          <w:marTop w:val="0"/>
          <w:marBottom w:val="0"/>
          <w:divBdr>
            <w:top w:val="none" w:sz="0" w:space="0" w:color="auto"/>
            <w:left w:val="none" w:sz="0" w:space="0" w:color="auto"/>
            <w:bottom w:val="none" w:sz="0" w:space="0" w:color="auto"/>
            <w:right w:val="none" w:sz="0" w:space="0" w:color="auto"/>
          </w:divBdr>
        </w:div>
        <w:div w:id="511647901">
          <w:marLeft w:val="0"/>
          <w:marRight w:val="0"/>
          <w:marTop w:val="0"/>
          <w:marBottom w:val="0"/>
          <w:divBdr>
            <w:top w:val="none" w:sz="0" w:space="0" w:color="auto"/>
            <w:left w:val="none" w:sz="0" w:space="0" w:color="auto"/>
            <w:bottom w:val="none" w:sz="0" w:space="0" w:color="auto"/>
            <w:right w:val="none" w:sz="0" w:space="0" w:color="auto"/>
          </w:divBdr>
        </w:div>
        <w:div w:id="1120101004">
          <w:marLeft w:val="0"/>
          <w:marRight w:val="0"/>
          <w:marTop w:val="0"/>
          <w:marBottom w:val="0"/>
          <w:divBdr>
            <w:top w:val="none" w:sz="0" w:space="0" w:color="auto"/>
            <w:left w:val="none" w:sz="0" w:space="0" w:color="auto"/>
            <w:bottom w:val="none" w:sz="0" w:space="0" w:color="auto"/>
            <w:right w:val="none" w:sz="0" w:space="0" w:color="auto"/>
          </w:divBdr>
        </w:div>
        <w:div w:id="1100643349">
          <w:marLeft w:val="0"/>
          <w:marRight w:val="0"/>
          <w:marTop w:val="0"/>
          <w:marBottom w:val="0"/>
          <w:divBdr>
            <w:top w:val="none" w:sz="0" w:space="0" w:color="auto"/>
            <w:left w:val="none" w:sz="0" w:space="0" w:color="auto"/>
            <w:bottom w:val="none" w:sz="0" w:space="0" w:color="auto"/>
            <w:right w:val="none" w:sz="0" w:space="0" w:color="auto"/>
          </w:divBdr>
        </w:div>
        <w:div w:id="1635016117">
          <w:marLeft w:val="0"/>
          <w:marRight w:val="0"/>
          <w:marTop w:val="0"/>
          <w:marBottom w:val="0"/>
          <w:divBdr>
            <w:top w:val="none" w:sz="0" w:space="0" w:color="auto"/>
            <w:left w:val="none" w:sz="0" w:space="0" w:color="auto"/>
            <w:bottom w:val="none" w:sz="0" w:space="0" w:color="auto"/>
            <w:right w:val="none" w:sz="0" w:space="0" w:color="auto"/>
          </w:divBdr>
        </w:div>
        <w:div w:id="93986308">
          <w:marLeft w:val="0"/>
          <w:marRight w:val="0"/>
          <w:marTop w:val="0"/>
          <w:marBottom w:val="0"/>
          <w:divBdr>
            <w:top w:val="none" w:sz="0" w:space="0" w:color="auto"/>
            <w:left w:val="none" w:sz="0" w:space="0" w:color="auto"/>
            <w:bottom w:val="none" w:sz="0" w:space="0" w:color="auto"/>
            <w:right w:val="none" w:sz="0" w:space="0" w:color="auto"/>
          </w:divBdr>
        </w:div>
        <w:div w:id="399249470">
          <w:marLeft w:val="0"/>
          <w:marRight w:val="0"/>
          <w:marTop w:val="0"/>
          <w:marBottom w:val="0"/>
          <w:divBdr>
            <w:top w:val="none" w:sz="0" w:space="0" w:color="auto"/>
            <w:left w:val="none" w:sz="0" w:space="0" w:color="auto"/>
            <w:bottom w:val="none" w:sz="0" w:space="0" w:color="auto"/>
            <w:right w:val="none" w:sz="0" w:space="0" w:color="auto"/>
          </w:divBdr>
        </w:div>
        <w:div w:id="730882236">
          <w:marLeft w:val="0"/>
          <w:marRight w:val="0"/>
          <w:marTop w:val="0"/>
          <w:marBottom w:val="0"/>
          <w:divBdr>
            <w:top w:val="none" w:sz="0" w:space="0" w:color="auto"/>
            <w:left w:val="none" w:sz="0" w:space="0" w:color="auto"/>
            <w:bottom w:val="none" w:sz="0" w:space="0" w:color="auto"/>
            <w:right w:val="none" w:sz="0" w:space="0" w:color="auto"/>
          </w:divBdr>
        </w:div>
        <w:div w:id="1070233961">
          <w:marLeft w:val="0"/>
          <w:marRight w:val="0"/>
          <w:marTop w:val="0"/>
          <w:marBottom w:val="0"/>
          <w:divBdr>
            <w:top w:val="none" w:sz="0" w:space="0" w:color="auto"/>
            <w:left w:val="none" w:sz="0" w:space="0" w:color="auto"/>
            <w:bottom w:val="none" w:sz="0" w:space="0" w:color="auto"/>
            <w:right w:val="none" w:sz="0" w:space="0" w:color="auto"/>
          </w:divBdr>
        </w:div>
        <w:div w:id="1604412010">
          <w:marLeft w:val="0"/>
          <w:marRight w:val="0"/>
          <w:marTop w:val="0"/>
          <w:marBottom w:val="0"/>
          <w:divBdr>
            <w:top w:val="none" w:sz="0" w:space="0" w:color="auto"/>
            <w:left w:val="none" w:sz="0" w:space="0" w:color="auto"/>
            <w:bottom w:val="none" w:sz="0" w:space="0" w:color="auto"/>
            <w:right w:val="none" w:sz="0" w:space="0" w:color="auto"/>
          </w:divBdr>
        </w:div>
        <w:div w:id="265044862">
          <w:marLeft w:val="0"/>
          <w:marRight w:val="0"/>
          <w:marTop w:val="0"/>
          <w:marBottom w:val="0"/>
          <w:divBdr>
            <w:top w:val="none" w:sz="0" w:space="0" w:color="auto"/>
            <w:left w:val="none" w:sz="0" w:space="0" w:color="auto"/>
            <w:bottom w:val="none" w:sz="0" w:space="0" w:color="auto"/>
            <w:right w:val="none" w:sz="0" w:space="0" w:color="auto"/>
          </w:divBdr>
        </w:div>
        <w:div w:id="1213881489">
          <w:marLeft w:val="0"/>
          <w:marRight w:val="0"/>
          <w:marTop w:val="0"/>
          <w:marBottom w:val="0"/>
          <w:divBdr>
            <w:top w:val="none" w:sz="0" w:space="0" w:color="auto"/>
            <w:left w:val="none" w:sz="0" w:space="0" w:color="auto"/>
            <w:bottom w:val="none" w:sz="0" w:space="0" w:color="auto"/>
            <w:right w:val="none" w:sz="0" w:space="0" w:color="auto"/>
          </w:divBdr>
        </w:div>
        <w:div w:id="1385450206">
          <w:marLeft w:val="0"/>
          <w:marRight w:val="0"/>
          <w:marTop w:val="0"/>
          <w:marBottom w:val="0"/>
          <w:divBdr>
            <w:top w:val="none" w:sz="0" w:space="0" w:color="auto"/>
            <w:left w:val="none" w:sz="0" w:space="0" w:color="auto"/>
            <w:bottom w:val="none" w:sz="0" w:space="0" w:color="auto"/>
            <w:right w:val="none" w:sz="0" w:space="0" w:color="auto"/>
          </w:divBdr>
        </w:div>
        <w:div w:id="955713538">
          <w:marLeft w:val="0"/>
          <w:marRight w:val="0"/>
          <w:marTop w:val="0"/>
          <w:marBottom w:val="0"/>
          <w:divBdr>
            <w:top w:val="none" w:sz="0" w:space="0" w:color="auto"/>
            <w:left w:val="none" w:sz="0" w:space="0" w:color="auto"/>
            <w:bottom w:val="none" w:sz="0" w:space="0" w:color="auto"/>
            <w:right w:val="none" w:sz="0" w:space="0" w:color="auto"/>
          </w:divBdr>
        </w:div>
        <w:div w:id="1041325556">
          <w:marLeft w:val="0"/>
          <w:marRight w:val="0"/>
          <w:marTop w:val="0"/>
          <w:marBottom w:val="0"/>
          <w:divBdr>
            <w:top w:val="none" w:sz="0" w:space="0" w:color="auto"/>
            <w:left w:val="none" w:sz="0" w:space="0" w:color="auto"/>
            <w:bottom w:val="none" w:sz="0" w:space="0" w:color="auto"/>
            <w:right w:val="none" w:sz="0" w:space="0" w:color="auto"/>
          </w:divBdr>
        </w:div>
        <w:div w:id="2091807082">
          <w:marLeft w:val="0"/>
          <w:marRight w:val="0"/>
          <w:marTop w:val="0"/>
          <w:marBottom w:val="0"/>
          <w:divBdr>
            <w:top w:val="none" w:sz="0" w:space="0" w:color="auto"/>
            <w:left w:val="none" w:sz="0" w:space="0" w:color="auto"/>
            <w:bottom w:val="none" w:sz="0" w:space="0" w:color="auto"/>
            <w:right w:val="none" w:sz="0" w:space="0" w:color="auto"/>
          </w:divBdr>
        </w:div>
        <w:div w:id="399866835">
          <w:marLeft w:val="0"/>
          <w:marRight w:val="0"/>
          <w:marTop w:val="0"/>
          <w:marBottom w:val="0"/>
          <w:divBdr>
            <w:top w:val="none" w:sz="0" w:space="0" w:color="auto"/>
            <w:left w:val="none" w:sz="0" w:space="0" w:color="auto"/>
            <w:bottom w:val="none" w:sz="0" w:space="0" w:color="auto"/>
            <w:right w:val="none" w:sz="0" w:space="0" w:color="auto"/>
          </w:divBdr>
        </w:div>
      </w:divsChild>
    </w:div>
    <w:div w:id="1877617954">
      <w:bodyDiv w:val="1"/>
      <w:marLeft w:val="0"/>
      <w:marRight w:val="0"/>
      <w:marTop w:val="0"/>
      <w:marBottom w:val="0"/>
      <w:divBdr>
        <w:top w:val="none" w:sz="0" w:space="0" w:color="auto"/>
        <w:left w:val="none" w:sz="0" w:space="0" w:color="auto"/>
        <w:bottom w:val="none" w:sz="0" w:space="0" w:color="auto"/>
        <w:right w:val="none" w:sz="0" w:space="0" w:color="auto"/>
      </w:divBdr>
    </w:div>
    <w:div w:id="2090878910">
      <w:bodyDiv w:val="1"/>
      <w:marLeft w:val="0"/>
      <w:marRight w:val="0"/>
      <w:marTop w:val="0"/>
      <w:marBottom w:val="0"/>
      <w:divBdr>
        <w:top w:val="none" w:sz="0" w:space="0" w:color="auto"/>
        <w:left w:val="none" w:sz="0" w:space="0" w:color="auto"/>
        <w:bottom w:val="none" w:sz="0" w:space="0" w:color="auto"/>
        <w:right w:val="none" w:sz="0" w:space="0" w:color="auto"/>
      </w:divBdr>
      <w:divsChild>
        <w:div w:id="1301154083">
          <w:marLeft w:val="0"/>
          <w:marRight w:val="0"/>
          <w:marTop w:val="0"/>
          <w:marBottom w:val="0"/>
          <w:divBdr>
            <w:top w:val="none" w:sz="0" w:space="0" w:color="auto"/>
            <w:left w:val="none" w:sz="0" w:space="0" w:color="auto"/>
            <w:bottom w:val="none" w:sz="0" w:space="0" w:color="auto"/>
            <w:right w:val="none" w:sz="0" w:space="0" w:color="auto"/>
          </w:divBdr>
          <w:divsChild>
            <w:div w:id="1689793275">
              <w:marLeft w:val="0"/>
              <w:marRight w:val="0"/>
              <w:marTop w:val="0"/>
              <w:marBottom w:val="0"/>
              <w:divBdr>
                <w:top w:val="none" w:sz="0" w:space="0" w:color="auto"/>
                <w:left w:val="none" w:sz="0" w:space="0" w:color="auto"/>
                <w:bottom w:val="none" w:sz="0" w:space="0" w:color="auto"/>
                <w:right w:val="none" w:sz="0" w:space="0" w:color="auto"/>
              </w:divBdr>
              <w:divsChild>
                <w:div w:id="2097245801">
                  <w:marLeft w:val="0"/>
                  <w:marRight w:val="0"/>
                  <w:marTop w:val="0"/>
                  <w:marBottom w:val="0"/>
                  <w:divBdr>
                    <w:top w:val="none" w:sz="0" w:space="0" w:color="auto"/>
                    <w:left w:val="none" w:sz="0" w:space="0" w:color="auto"/>
                    <w:bottom w:val="none" w:sz="0" w:space="0" w:color="auto"/>
                    <w:right w:val="none" w:sz="0" w:space="0" w:color="auto"/>
                  </w:divBdr>
                  <w:divsChild>
                    <w:div w:id="654453433">
                      <w:marLeft w:val="0"/>
                      <w:marRight w:val="0"/>
                      <w:marTop w:val="0"/>
                      <w:marBottom w:val="0"/>
                      <w:divBdr>
                        <w:top w:val="none" w:sz="0" w:space="0" w:color="auto"/>
                        <w:left w:val="none" w:sz="0" w:space="0" w:color="auto"/>
                        <w:bottom w:val="none" w:sz="0" w:space="0" w:color="auto"/>
                        <w:right w:val="none" w:sz="0" w:space="0" w:color="auto"/>
                      </w:divBdr>
                      <w:divsChild>
                        <w:div w:id="19339740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095853582">
      <w:bodyDiv w:val="1"/>
      <w:marLeft w:val="0"/>
      <w:marRight w:val="0"/>
      <w:marTop w:val="0"/>
      <w:marBottom w:val="0"/>
      <w:divBdr>
        <w:top w:val="none" w:sz="0" w:space="0" w:color="auto"/>
        <w:left w:val="none" w:sz="0" w:space="0" w:color="auto"/>
        <w:bottom w:val="none" w:sz="0" w:space="0" w:color="auto"/>
        <w:right w:val="none" w:sz="0" w:space="0" w:color="auto"/>
      </w:divBdr>
    </w:div>
    <w:div w:id="2107724813">
      <w:bodyDiv w:val="1"/>
      <w:marLeft w:val="0"/>
      <w:marRight w:val="0"/>
      <w:marTop w:val="0"/>
      <w:marBottom w:val="0"/>
      <w:divBdr>
        <w:top w:val="none" w:sz="0" w:space="0" w:color="auto"/>
        <w:left w:val="none" w:sz="0" w:space="0" w:color="auto"/>
        <w:bottom w:val="none" w:sz="0" w:space="0" w:color="auto"/>
        <w:right w:val="none" w:sz="0" w:space="0" w:color="auto"/>
      </w:divBdr>
      <w:divsChild>
        <w:div w:id="1624068629">
          <w:marLeft w:val="0"/>
          <w:marRight w:val="0"/>
          <w:marTop w:val="0"/>
          <w:marBottom w:val="0"/>
          <w:divBdr>
            <w:top w:val="none" w:sz="0" w:space="0" w:color="auto"/>
            <w:left w:val="none" w:sz="0" w:space="0" w:color="auto"/>
            <w:bottom w:val="none" w:sz="0" w:space="0" w:color="auto"/>
            <w:right w:val="none" w:sz="0" w:space="0" w:color="auto"/>
          </w:divBdr>
          <w:divsChild>
            <w:div w:id="53044717">
              <w:marLeft w:val="0"/>
              <w:marRight w:val="0"/>
              <w:marTop w:val="0"/>
              <w:marBottom w:val="0"/>
              <w:divBdr>
                <w:top w:val="none" w:sz="0" w:space="0" w:color="auto"/>
                <w:left w:val="none" w:sz="0" w:space="0" w:color="auto"/>
                <w:bottom w:val="none" w:sz="0" w:space="0" w:color="auto"/>
                <w:right w:val="none" w:sz="0" w:space="0" w:color="auto"/>
              </w:divBdr>
              <w:divsChild>
                <w:div w:id="725640326">
                  <w:marLeft w:val="0"/>
                  <w:marRight w:val="0"/>
                  <w:marTop w:val="0"/>
                  <w:marBottom w:val="0"/>
                  <w:divBdr>
                    <w:top w:val="none" w:sz="0" w:space="0" w:color="auto"/>
                    <w:left w:val="none" w:sz="0" w:space="0" w:color="auto"/>
                    <w:bottom w:val="none" w:sz="0" w:space="0" w:color="auto"/>
                    <w:right w:val="none" w:sz="0" w:space="0" w:color="auto"/>
                  </w:divBdr>
                  <w:divsChild>
                    <w:div w:id="2140605772">
                      <w:marLeft w:val="0"/>
                      <w:marRight w:val="0"/>
                      <w:marTop w:val="0"/>
                      <w:marBottom w:val="0"/>
                      <w:divBdr>
                        <w:top w:val="none" w:sz="0" w:space="0" w:color="auto"/>
                        <w:left w:val="none" w:sz="0" w:space="0" w:color="auto"/>
                        <w:bottom w:val="none" w:sz="0" w:space="0" w:color="auto"/>
                        <w:right w:val="none" w:sz="0" w:space="0" w:color="auto"/>
                      </w:divBdr>
                      <w:divsChild>
                        <w:div w:id="1493567168">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2125343220">
      <w:bodyDiv w:val="1"/>
      <w:marLeft w:val="0"/>
      <w:marRight w:val="0"/>
      <w:marTop w:val="0"/>
      <w:marBottom w:val="0"/>
      <w:divBdr>
        <w:top w:val="none" w:sz="0" w:space="0" w:color="auto"/>
        <w:left w:val="none" w:sz="0" w:space="0" w:color="auto"/>
        <w:bottom w:val="none" w:sz="0" w:space="0" w:color="auto"/>
        <w:right w:val="none" w:sz="0" w:space="0" w:color="auto"/>
      </w:divBdr>
      <w:divsChild>
        <w:div w:id="1460680788">
          <w:marLeft w:val="0"/>
          <w:marRight w:val="0"/>
          <w:marTop w:val="0"/>
          <w:marBottom w:val="0"/>
          <w:divBdr>
            <w:top w:val="none" w:sz="0" w:space="0" w:color="auto"/>
            <w:left w:val="none" w:sz="0" w:space="0" w:color="auto"/>
            <w:bottom w:val="none" w:sz="0" w:space="0" w:color="auto"/>
            <w:right w:val="none" w:sz="0" w:space="0" w:color="auto"/>
          </w:divBdr>
          <w:divsChild>
            <w:div w:id="499472549">
              <w:marLeft w:val="0"/>
              <w:marRight w:val="0"/>
              <w:marTop w:val="0"/>
              <w:marBottom w:val="0"/>
              <w:divBdr>
                <w:top w:val="none" w:sz="0" w:space="0" w:color="auto"/>
                <w:left w:val="none" w:sz="0" w:space="0" w:color="auto"/>
                <w:bottom w:val="none" w:sz="0" w:space="0" w:color="auto"/>
                <w:right w:val="none" w:sz="0" w:space="0" w:color="auto"/>
              </w:divBdr>
              <w:divsChild>
                <w:div w:id="660931104">
                  <w:marLeft w:val="0"/>
                  <w:marRight w:val="0"/>
                  <w:marTop w:val="0"/>
                  <w:marBottom w:val="0"/>
                  <w:divBdr>
                    <w:top w:val="none" w:sz="0" w:space="0" w:color="auto"/>
                    <w:left w:val="none" w:sz="0" w:space="0" w:color="auto"/>
                    <w:bottom w:val="none" w:sz="0" w:space="0" w:color="auto"/>
                    <w:right w:val="none" w:sz="0" w:space="0" w:color="auto"/>
                  </w:divBdr>
                  <w:divsChild>
                    <w:div w:id="1107501890">
                      <w:marLeft w:val="0"/>
                      <w:marRight w:val="0"/>
                      <w:marTop w:val="0"/>
                      <w:marBottom w:val="0"/>
                      <w:divBdr>
                        <w:top w:val="none" w:sz="0" w:space="0" w:color="auto"/>
                        <w:left w:val="none" w:sz="0" w:space="0" w:color="auto"/>
                        <w:bottom w:val="none" w:sz="0" w:space="0" w:color="auto"/>
                        <w:right w:val="none" w:sz="0" w:space="0" w:color="auto"/>
                      </w:divBdr>
                      <w:divsChild>
                        <w:div w:id="1407265426">
                          <w:marLeft w:val="0"/>
                          <w:marRight w:val="1200"/>
                          <w:marTop w:val="30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acma.gov.au/Industry/Suppliers/A-Type-of-equipment/WirelessMicrophones/frequency-finder-tools" TargetMode="External"/><Relationship Id="rId13" Type="http://schemas.openxmlformats.org/officeDocument/2006/relationships/header" Target="header3.xml"/><Relationship Id="rId18" Type="http://schemas.openxmlformats.org/officeDocument/2006/relationships/header" Target="header5.xml"/><Relationship Id="rId26" Type="http://schemas.openxmlformats.org/officeDocument/2006/relationships/hyperlink" Target="mailto:freqplan@acma.gov.au" TargetMode="External"/><Relationship Id="rId3" Type="http://schemas.openxmlformats.org/officeDocument/2006/relationships/styles" Target="styles.xml"/><Relationship Id="rId21" Type="http://schemas.openxmlformats.org/officeDocument/2006/relationships/header" Target="header7.xml"/><Relationship Id="rId34" Type="http://schemas.openxmlformats.org/officeDocument/2006/relationships/header" Target="header14.xml"/><Relationship Id="rId7" Type="http://schemas.openxmlformats.org/officeDocument/2006/relationships/endnotes" Target="endnotes.xml"/><Relationship Id="rId12" Type="http://schemas.openxmlformats.org/officeDocument/2006/relationships/footer" Target="footer2.xml"/><Relationship Id="rId17" Type="http://schemas.openxmlformats.org/officeDocument/2006/relationships/header" Target="header4.xml"/><Relationship Id="rId25" Type="http://schemas.openxmlformats.org/officeDocument/2006/relationships/hyperlink" Target="http://acma.gov.au/Industry/Suppliers/A-Type-of-equipment/WirelessMicrophones/frequency-finder-tools" TargetMode="External"/><Relationship Id="rId33" Type="http://schemas.openxmlformats.org/officeDocument/2006/relationships/header" Target="header13.xml"/><Relationship Id="rId2" Type="http://schemas.openxmlformats.org/officeDocument/2006/relationships/numbering" Target="numbering.xml"/><Relationship Id="rId16" Type="http://schemas.openxmlformats.org/officeDocument/2006/relationships/hyperlink" Target="http://www.acma.gov.au/Industry/Suppliers/A-Type-of-equipment/WirelessMicrophones/proposed-frequency-coordination-procedures-for-apparatus-licensed-wireless-audio-devices" TargetMode="External"/><Relationship Id="rId20" Type="http://schemas.openxmlformats.org/officeDocument/2006/relationships/header" Target="header6.xml"/><Relationship Id="rId29" Type="http://schemas.openxmlformats.org/officeDocument/2006/relationships/hyperlink" Target="http://www.comlaw.gov.au/Series/C2004A04465"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24" Type="http://schemas.openxmlformats.org/officeDocument/2006/relationships/footer" Target="footer5.xml"/><Relationship Id="rId32" Type="http://schemas.openxmlformats.org/officeDocument/2006/relationships/header" Target="header12.xml"/><Relationship Id="rId37" Type="http://schemas.openxmlformats.org/officeDocument/2006/relationships/theme" Target="theme/theme1.xml"/><Relationship Id="rId5" Type="http://schemas.openxmlformats.org/officeDocument/2006/relationships/webSettings" Target="webSettings.xml"/><Relationship Id="rId15" Type="http://schemas.openxmlformats.org/officeDocument/2006/relationships/hyperlink" Target="mailto:freqplan@acma.gov.au" TargetMode="External"/><Relationship Id="rId23" Type="http://schemas.openxmlformats.org/officeDocument/2006/relationships/header" Target="header9.xml"/><Relationship Id="rId28" Type="http://schemas.openxmlformats.org/officeDocument/2006/relationships/hyperlink" Target="http://www.comlaw.gov.au/ComLaw/legislation/actcompilation1.nsf/browseview?openform&amp;VIEW=current&amp;ORDER=bytitle&amp;CATEGORY=actcompilation-Br" TargetMode="External"/><Relationship Id="rId36" Type="http://schemas.openxmlformats.org/officeDocument/2006/relationships/fontTable" Target="fontTable.xml"/><Relationship Id="rId10" Type="http://schemas.openxmlformats.org/officeDocument/2006/relationships/header" Target="header2.xml"/><Relationship Id="rId19" Type="http://schemas.openxmlformats.org/officeDocument/2006/relationships/footer" Target="footer4.xml"/><Relationship Id="rId31" Type="http://schemas.openxmlformats.org/officeDocument/2006/relationships/header" Target="header1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 Id="rId22" Type="http://schemas.openxmlformats.org/officeDocument/2006/relationships/header" Target="header8.xml"/><Relationship Id="rId27" Type="http://schemas.openxmlformats.org/officeDocument/2006/relationships/hyperlink" Target="http://acma.gov.au/Industry/Spectrum/Radiocomms-licensing/Apparatus-licences/apparatus-licensing-overview" TargetMode="External"/><Relationship Id="rId30" Type="http://schemas.openxmlformats.org/officeDocument/2006/relationships/header" Target="header10.xml"/><Relationship Id="rId35" Type="http://schemas.openxmlformats.org/officeDocument/2006/relationships/header" Target="header15.xml"/></Relationships>
</file>

<file path=word/_rels/footnotes.xml.rels><?xml version="1.0" encoding="UTF-8" standalone="yes"?>
<Relationships xmlns="http://schemas.openxmlformats.org/package/2006/relationships"><Relationship Id="rId8" Type="http://schemas.openxmlformats.org/officeDocument/2006/relationships/hyperlink" Target="http://www.acma.gov.au/theACMA/land-mobile-licences-guidelines" TargetMode="External"/><Relationship Id="rId13" Type="http://schemas.openxmlformats.org/officeDocument/2006/relationships/hyperlink" Target="http://www.acma.gov.au/theACMA/About/Making-payments/Apparatus-licence-fees/apparatus-licence-fees-acma" TargetMode="External"/><Relationship Id="rId18" Type="http://schemas.openxmlformats.org/officeDocument/2006/relationships/hyperlink" Target="http://www.acma.gov.au/Industry/Suppliers/Supplier-resources/Technical-standards" TargetMode="External"/><Relationship Id="rId3" Type="http://schemas.openxmlformats.org/officeDocument/2006/relationships/hyperlink" Target="http://www.acma.gov.au/Industry/Spectrum/Radiocomms-licensing/Class-licences/class-licences" TargetMode="External"/><Relationship Id="rId21" Type="http://schemas.openxmlformats.org/officeDocument/2006/relationships/hyperlink" Target="http://www.acma.gov.au/Industry/Suppliers/A-Type-of-equipment/WirelessMicrophones/fact-sheets-and-faqs" TargetMode="External"/><Relationship Id="rId7" Type="http://schemas.openxmlformats.org/officeDocument/2006/relationships/hyperlink" Target="http://acma.gov.au/Industry/Spectrum/Radiocomms-licensing/Apparatus-licences/apparatus-licensing-system-acquire-a-licence-acma" TargetMode="External"/><Relationship Id="rId12" Type="http://schemas.openxmlformats.org/officeDocument/2006/relationships/hyperlink" Target="http://acma.gov.au/theACMA/About/Making-payments/Apparatus-licence-fees/apparatus-licence-fees-acma" TargetMode="External"/><Relationship Id="rId17" Type="http://schemas.openxmlformats.org/officeDocument/2006/relationships/hyperlink" Target="http://www.comlaw.gov.au/Series/F2014L01253" TargetMode="External"/><Relationship Id="rId2" Type="http://schemas.openxmlformats.org/officeDocument/2006/relationships/hyperlink" Target="http://acma.gov.au/Industry/Suppliers/A-Type-of-equipment/WirelessMicrophones/frequency-finder-tools" TargetMode="External"/><Relationship Id="rId16" Type="http://schemas.openxmlformats.org/officeDocument/2006/relationships/hyperlink" Target="http://www.comlaw.gov.au/Series/F2014L00960" TargetMode="External"/><Relationship Id="rId20" Type="http://schemas.openxmlformats.org/officeDocument/2006/relationships/hyperlink" Target="http://www.acma.gov.au/Industry/Suppliers/A-Type-of-equipment/WirelessMicrophones/frequency-finder-tools" TargetMode="External"/><Relationship Id="rId1" Type="http://schemas.openxmlformats.org/officeDocument/2006/relationships/hyperlink" Target="http://www.comlaw.gov.au/Series/F2005B00339" TargetMode="External"/><Relationship Id="rId6" Type="http://schemas.openxmlformats.org/officeDocument/2006/relationships/hyperlink" Target="http://www.comlaw.gov.au/Series/C2004A07548" TargetMode="External"/><Relationship Id="rId11" Type="http://schemas.openxmlformats.org/officeDocument/2006/relationships/hyperlink" Target="http://www.acma.gov.au/Industry/Spectrum/Radiocomms-licensing/Apparatus-licences/radiocommunications-services-in-broadcasting-bands" TargetMode="External"/><Relationship Id="rId5" Type="http://schemas.openxmlformats.org/officeDocument/2006/relationships/hyperlink" Target="http://acma.gov.au/Industry/Spectrum/Radiocomms-licensing/Apparatus-licences/apparatus-licensing-overview" TargetMode="External"/><Relationship Id="rId15" Type="http://schemas.openxmlformats.org/officeDocument/2006/relationships/hyperlink" Target="http://www.acma.gov.au/theACMA/significant-events-exemption-from-regulatory-arrangements" TargetMode="External"/><Relationship Id="rId10" Type="http://schemas.openxmlformats.org/officeDocument/2006/relationships/hyperlink" Target="http://acma.gov.au/webwr/lib286/rad_wat06.pdf" TargetMode="External"/><Relationship Id="rId19" Type="http://schemas.openxmlformats.org/officeDocument/2006/relationships/hyperlink" Target="http://www.etsi.org/standards-search" TargetMode="External"/><Relationship Id="rId4" Type="http://schemas.openxmlformats.org/officeDocument/2006/relationships/hyperlink" Target="http://www.acma.gov.au/theACMA/Consultations/Consultations/Current/proposal-to-remake-the-lipd-class-licence-with-variations" TargetMode="External"/><Relationship Id="rId9" Type="http://schemas.openxmlformats.org/officeDocument/2006/relationships/hyperlink" Target="http://www.acma.gov.au/theACMA/Library/Corporate-library/Forms-and-registers/radiofrequency-spectrum-forms" TargetMode="External"/><Relationship Id="rId14" Type="http://schemas.openxmlformats.org/officeDocument/2006/relationships/hyperlink" Target="http://www.acma.gov.au/Industry/Spectrum/Radiocomms-licensing/Apparatus-licences/apparatus-licence-periods-apparatus-licensing-acma"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1DB47C-3AB4-4D74-BC8A-7688A23FF24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13</Pages>
  <Words>3883</Words>
  <Characters>23216</Characters>
  <Application>Microsoft Office Word</Application>
  <DocSecurity>0</DocSecurity>
  <Lines>193</Lines>
  <Paragraphs>54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27045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2015-02-22T23:36:00Z</dcterms:created>
  <dcterms:modified xsi:type="dcterms:W3CDTF">2015-02-23T01:52:00Z</dcterms:modified>
</cp:coreProperties>
</file>