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9F3013" w14:textId="77777777" w:rsidR="00AC5CD3" w:rsidRDefault="00AC5CD3">
      <w:pPr>
        <w:pStyle w:val="TITLEOFRALI"/>
      </w:pPr>
      <w:bookmarkStart w:id="0" w:name="_Toc413653375"/>
      <w:bookmarkStart w:id="1" w:name="_Toc414416551"/>
      <w:bookmarkStart w:id="2" w:name="_Toc414416579"/>
      <w:bookmarkStart w:id="3" w:name="_GoBack"/>
      <w:bookmarkEnd w:id="3"/>
      <w:r>
        <w:t>Point to Multipoint FIXED services</w:t>
      </w:r>
      <w:bookmarkEnd w:id="0"/>
      <w:bookmarkEnd w:id="1"/>
      <w:bookmarkEnd w:id="2"/>
      <w:r>
        <w:t xml:space="preserve"> in specified parts of the 3.4 - 3.5 GH</w:t>
      </w:r>
      <w:r>
        <w:rPr>
          <w:caps w:val="0"/>
        </w:rPr>
        <w:t>z</w:t>
      </w:r>
      <w:r>
        <w:t xml:space="preserve"> </w:t>
      </w:r>
      <w:r>
        <w:rPr>
          <w:caps w:val="0"/>
        </w:rPr>
        <w:t>BAND</w:t>
      </w:r>
    </w:p>
    <w:p w14:paraId="590421D7" w14:textId="77777777" w:rsidR="00AC5CD3" w:rsidRDefault="00AC5CD3">
      <w:pPr>
        <w:pBdr>
          <w:top w:val="single" w:sz="48" w:space="6" w:color="auto"/>
        </w:pBdr>
        <w:tabs>
          <w:tab w:val="right" w:pos="9356"/>
        </w:tabs>
        <w:jc w:val="center"/>
        <w:rPr>
          <w:b/>
          <w:sz w:val="22"/>
        </w:rPr>
        <w:sectPr w:rsidR="00AC5CD3">
          <w:headerReference w:type="even" r:id="rId10"/>
          <w:headerReference w:type="default" r:id="rId11"/>
          <w:footerReference w:type="even" r:id="rId12"/>
          <w:footerReference w:type="default" r:id="rId13"/>
          <w:headerReference w:type="first" r:id="rId14"/>
          <w:footerReference w:type="first" r:id="rId15"/>
          <w:pgSz w:w="11907" w:h="16840" w:code="9"/>
          <w:pgMar w:top="1134" w:right="1134" w:bottom="1134" w:left="1418" w:header="720" w:footer="720" w:gutter="0"/>
          <w:paperSrc w:first="41" w:other="41"/>
          <w:cols w:space="720"/>
          <w:vAlign w:val="center"/>
        </w:sectPr>
      </w:pPr>
    </w:p>
    <w:p w14:paraId="0E932640" w14:textId="77777777" w:rsidR="00AC5CD3" w:rsidRDefault="00AC5CD3">
      <w:pPr>
        <w:jc w:val="center"/>
        <w:rPr>
          <w:b/>
          <w:sz w:val="28"/>
        </w:rPr>
      </w:pPr>
      <w:r>
        <w:rPr>
          <w:b/>
          <w:sz w:val="28"/>
        </w:rPr>
        <w:lastRenderedPageBreak/>
        <w:t>RADIOCOMMUNICATIONS ASSIGNMENT AND LICENSING INSTRUCTIONS</w:t>
      </w:r>
    </w:p>
    <w:p w14:paraId="3E2F235E" w14:textId="77777777" w:rsidR="00176D78" w:rsidRPr="00CC3983" w:rsidRDefault="00176D78" w:rsidP="00176D78">
      <w:pPr>
        <w:ind w:left="567" w:hanging="567"/>
        <w:jc w:val="center"/>
        <w:rPr>
          <w:b/>
          <w:lang w:val="en-AU"/>
        </w:rPr>
      </w:pPr>
    </w:p>
    <w:p w14:paraId="316C96E1" w14:textId="77777777" w:rsidR="00176D78" w:rsidRPr="00CC3983" w:rsidRDefault="00176D78" w:rsidP="00176D78">
      <w:pPr>
        <w:pBdr>
          <w:top w:val="double" w:sz="12" w:space="1" w:color="auto"/>
          <w:left w:val="double" w:sz="12" w:space="4" w:color="auto"/>
          <w:bottom w:val="double" w:sz="12" w:space="1" w:color="auto"/>
          <w:right w:val="double" w:sz="12" w:space="4" w:color="auto"/>
        </w:pBdr>
        <w:ind w:left="567" w:right="-51" w:hanging="567"/>
        <w:jc w:val="center"/>
        <w:outlineLvl w:val="0"/>
        <w:rPr>
          <w:b/>
          <w:lang w:val="en-AU"/>
        </w:rPr>
      </w:pPr>
      <w:r w:rsidRPr="00CC3983">
        <w:rPr>
          <w:b/>
          <w:lang w:val="en-AU"/>
        </w:rPr>
        <w:t>DISCLAIMER</w:t>
      </w:r>
    </w:p>
    <w:p w14:paraId="2DE50563" w14:textId="77777777" w:rsidR="00176D78" w:rsidRPr="00CC3983" w:rsidRDefault="00176D78" w:rsidP="00176D78">
      <w:pPr>
        <w:pBdr>
          <w:top w:val="double" w:sz="12" w:space="1" w:color="auto"/>
          <w:left w:val="double" w:sz="12" w:space="4" w:color="auto"/>
          <w:bottom w:val="double" w:sz="12" w:space="1" w:color="auto"/>
          <w:right w:val="double" w:sz="12" w:space="4" w:color="auto"/>
        </w:pBdr>
        <w:ind w:left="567" w:right="-51" w:hanging="567"/>
        <w:jc w:val="center"/>
        <w:outlineLvl w:val="0"/>
        <w:rPr>
          <w:b/>
          <w:lang w:val="en-AU"/>
        </w:rPr>
      </w:pPr>
    </w:p>
    <w:p w14:paraId="460C8407" w14:textId="77777777" w:rsidR="00176D78" w:rsidRPr="00CC3983" w:rsidRDefault="00176D78" w:rsidP="00176D78">
      <w:pPr>
        <w:pBdr>
          <w:top w:val="double" w:sz="12" w:space="1" w:color="auto"/>
          <w:left w:val="double" w:sz="12" w:space="4" w:color="auto"/>
          <w:bottom w:val="double" w:sz="12" w:space="1" w:color="auto"/>
          <w:right w:val="double" w:sz="12" w:space="4" w:color="auto"/>
        </w:pBdr>
        <w:ind w:right="-51"/>
        <w:rPr>
          <w:lang w:val="en-AU"/>
        </w:rPr>
      </w:pPr>
      <w:r w:rsidRPr="00CC3983">
        <w:rPr>
          <w:lang w:val="en-AU"/>
        </w:rPr>
        <w:t>The Australian Communications and Media Authority (ACMA) advises that these instructions reflect the current policies of the ACMA.</w:t>
      </w:r>
    </w:p>
    <w:p w14:paraId="6931CAF2" w14:textId="77777777" w:rsidR="00176D78" w:rsidRPr="00CC3983" w:rsidRDefault="00176D78" w:rsidP="00176D78">
      <w:pPr>
        <w:pBdr>
          <w:top w:val="double" w:sz="12" w:space="1" w:color="auto"/>
          <w:left w:val="double" w:sz="12" w:space="4" w:color="auto"/>
          <w:bottom w:val="double" w:sz="12" w:space="1" w:color="auto"/>
          <w:right w:val="double" w:sz="12" w:space="4" w:color="auto"/>
        </w:pBdr>
        <w:ind w:right="-51"/>
        <w:rPr>
          <w:lang w:val="en-AU"/>
        </w:rPr>
      </w:pPr>
      <w:r w:rsidRPr="00CC3983">
        <w:rPr>
          <w:lang w:val="en-AU"/>
        </w:rPr>
        <w:t>Prospective applicants for licences should, however, on their own responsibility, take whatever steps necessary to ensure that they have access to appropriate technical or other specialist advice independently of the ACMA concerning their applications, the operation of radiocommunications equipment and services, or any other matters relevant to the operation of transmitters and services under the licences in question.</w:t>
      </w:r>
    </w:p>
    <w:p w14:paraId="36438DEA" w14:textId="77777777" w:rsidR="00176D78" w:rsidRPr="00CC3983" w:rsidRDefault="00176D78" w:rsidP="00176D78">
      <w:pPr>
        <w:pBdr>
          <w:top w:val="double" w:sz="12" w:space="1" w:color="auto"/>
          <w:left w:val="double" w:sz="12" w:space="4" w:color="auto"/>
          <w:bottom w:val="double" w:sz="12" w:space="1" w:color="auto"/>
          <w:right w:val="double" w:sz="12" w:space="4" w:color="auto"/>
        </w:pBdr>
        <w:ind w:right="-51"/>
        <w:rPr>
          <w:lang w:val="en-AU"/>
        </w:rPr>
      </w:pPr>
      <w:r w:rsidRPr="00CC3983">
        <w:rPr>
          <w:lang w:val="en-AU"/>
        </w:rPr>
        <w:t>The policies of the ACMA, and the laws of the Commonwealth, may change from time to time, and prospective licensees should ensure that they have informed themselves of the current policies of the ACMA and of any relevant legislation.  Furthermore, prospective applicants for licences should not rely on statements made in these instructions about the policies that may be followed by other authorities, nor about the effect of legislation.</w:t>
      </w:r>
    </w:p>
    <w:p w14:paraId="58A82857" w14:textId="77777777" w:rsidR="00176D78" w:rsidRPr="00CC3983" w:rsidRDefault="00176D78" w:rsidP="00176D78">
      <w:pPr>
        <w:pBdr>
          <w:top w:val="double" w:sz="12" w:space="1" w:color="auto"/>
          <w:left w:val="double" w:sz="12" w:space="4" w:color="auto"/>
          <w:bottom w:val="double" w:sz="12" w:space="1" w:color="auto"/>
          <w:right w:val="double" w:sz="12" w:space="4" w:color="auto"/>
        </w:pBdr>
        <w:ind w:right="-51"/>
        <w:rPr>
          <w:lang w:val="en-AU"/>
        </w:rPr>
      </w:pPr>
      <w:r w:rsidRPr="00CC3983">
        <w:rPr>
          <w:lang w:val="en-AU"/>
        </w:rPr>
        <w:t>Radiocommunications Assignment and Licensing Instructions are subject to periodic review and are amended as necessary.  To keep abreast of developments, it is important that users ensure that they are in possession of the latest edition.</w:t>
      </w:r>
    </w:p>
    <w:p w14:paraId="462085BF" w14:textId="77777777" w:rsidR="00176D78" w:rsidRPr="00CC3983" w:rsidRDefault="00176D78" w:rsidP="00176D78">
      <w:pPr>
        <w:pBdr>
          <w:top w:val="double" w:sz="12" w:space="1" w:color="auto"/>
          <w:left w:val="double" w:sz="12" w:space="4" w:color="auto"/>
          <w:bottom w:val="double" w:sz="12" w:space="1" w:color="auto"/>
          <w:right w:val="double" w:sz="12" w:space="4" w:color="auto"/>
        </w:pBdr>
        <w:ind w:right="-51"/>
        <w:outlineLvl w:val="0"/>
        <w:rPr>
          <w:lang w:val="en-AU"/>
        </w:rPr>
      </w:pPr>
      <w:r w:rsidRPr="00CC3983">
        <w:rPr>
          <w:lang w:val="en-AU"/>
        </w:rPr>
        <w:t xml:space="preserve">No liability is or will be accepted by the Minister for </w:t>
      </w:r>
      <w:r>
        <w:t>Broadband, Communications and the Digital Economy</w:t>
      </w:r>
      <w:r w:rsidRPr="00CC3983">
        <w:rPr>
          <w:lang w:val="en-AU"/>
        </w:rPr>
        <w:t>, the ACMA, the Commonwealth of Australia, or its officers, servants or agents for any loss suffered, whether arising directly or indirectly, due to reliance on the accuracy or contents of these procedures.</w:t>
      </w:r>
    </w:p>
    <w:p w14:paraId="68B7B8B1" w14:textId="77777777" w:rsidR="00176D78" w:rsidRPr="00CC3983" w:rsidRDefault="00176D78" w:rsidP="00176D78">
      <w:pPr>
        <w:pBdr>
          <w:top w:val="double" w:sz="12" w:space="1" w:color="auto"/>
          <w:left w:val="double" w:sz="12" w:space="4" w:color="auto"/>
          <w:bottom w:val="double" w:sz="12" w:space="1" w:color="auto"/>
          <w:right w:val="double" w:sz="12" w:space="4" w:color="auto"/>
        </w:pBdr>
        <w:ind w:right="-51"/>
        <w:outlineLvl w:val="0"/>
        <w:rPr>
          <w:b/>
          <w:lang w:val="en-AU"/>
        </w:rPr>
      </w:pPr>
    </w:p>
    <w:p w14:paraId="6B354301" w14:textId="77777777" w:rsidR="00AC5CD3" w:rsidRDefault="00AC5CD3">
      <w:pPr>
        <w:ind w:left="567" w:hanging="567"/>
      </w:pPr>
    </w:p>
    <w:p w14:paraId="75585BFF" w14:textId="77777777" w:rsidR="00AC5CD3" w:rsidRPr="00176D78" w:rsidRDefault="00176D78">
      <w:pPr>
        <w:rPr>
          <w:bCs/>
          <w:szCs w:val="24"/>
          <w:lang w:val="en-AU"/>
        </w:rPr>
      </w:pPr>
      <w:r w:rsidRPr="00CC3983">
        <w:rPr>
          <w:lang w:val="en-AU"/>
        </w:rPr>
        <w:t xml:space="preserve">Suggestions for improvements may be addressed to the Manager, Spectrum Engineering Section, Spectrum Planning Branch, Australian Communications and Media Authority, </w:t>
      </w:r>
      <w:smartTag w:uri="urn:schemas-microsoft-com:office:smarttags" w:element="address">
        <w:smartTag w:uri="urn:schemas-microsoft-com:office:smarttags" w:element="Street">
          <w:r w:rsidRPr="00CC3983">
            <w:rPr>
              <w:lang w:val="en-AU"/>
            </w:rPr>
            <w:t>P.O. Box</w:t>
          </w:r>
        </w:smartTag>
        <w:r w:rsidRPr="00CC3983">
          <w:rPr>
            <w:lang w:val="en-AU"/>
          </w:rPr>
          <w:t xml:space="preserve"> 78</w:t>
        </w:r>
      </w:smartTag>
      <w:r w:rsidRPr="00CC3983">
        <w:rPr>
          <w:lang w:val="en-AU"/>
        </w:rPr>
        <w:t>, Belconnen, ACT, 2616.</w:t>
      </w:r>
      <w:r w:rsidR="00AC5CD3">
        <w:t xml:space="preserve">  It would be appreciated if notification to the AC</w:t>
      </w:r>
      <w:r>
        <w:t>M</w:t>
      </w:r>
      <w:r w:rsidR="00AC5CD3">
        <w:t xml:space="preserve">A of any inaccuracy or ambiguity </w:t>
      </w:r>
      <w:r>
        <w:t>found</w:t>
      </w:r>
      <w:r w:rsidR="00AC5CD3">
        <w:t xml:space="preserve"> be made without delay in order that the matter may be </w:t>
      </w:r>
      <w:proofErr w:type="gramStart"/>
      <w:r w:rsidR="00AC5CD3">
        <w:t>investigated</w:t>
      </w:r>
      <w:proofErr w:type="gramEnd"/>
      <w:r w:rsidR="00AC5CD3">
        <w:t xml:space="preserve"> and appropriate action taken.</w:t>
      </w:r>
    </w:p>
    <w:p w14:paraId="59CE2F5C" w14:textId="77777777" w:rsidR="00AC5CD3" w:rsidRDefault="00AC5CD3">
      <w:pPr>
        <w:tabs>
          <w:tab w:val="right" w:pos="9072"/>
        </w:tabs>
        <w:ind w:right="-1"/>
        <w:sectPr w:rsidR="00AC5CD3">
          <w:headerReference w:type="even" r:id="rId16"/>
          <w:headerReference w:type="default" r:id="rId17"/>
          <w:footerReference w:type="even" r:id="rId18"/>
          <w:footerReference w:type="default" r:id="rId19"/>
          <w:pgSz w:w="11907" w:h="16840" w:code="9"/>
          <w:pgMar w:top="1134" w:right="1134" w:bottom="1134" w:left="1418" w:header="720" w:footer="720" w:gutter="0"/>
          <w:paperSrc w:first="41" w:other="41"/>
          <w:pgNumType w:fmt="lowerRoman" w:start="1"/>
          <w:cols w:space="720"/>
        </w:sectPr>
      </w:pPr>
    </w:p>
    <w:p w14:paraId="55FBC1A6" w14:textId="77777777" w:rsidR="00AC5CD3" w:rsidRDefault="00AC5CD3">
      <w:pPr>
        <w:tabs>
          <w:tab w:val="right" w:pos="9072"/>
        </w:tabs>
        <w:ind w:right="-1"/>
        <w:sectPr w:rsidR="00AC5CD3">
          <w:headerReference w:type="default" r:id="rId20"/>
          <w:footerReference w:type="default" r:id="rId21"/>
          <w:pgSz w:w="11907" w:h="16840" w:code="9"/>
          <w:pgMar w:top="1134" w:right="1134" w:bottom="1134" w:left="1418" w:header="720" w:footer="720" w:gutter="0"/>
          <w:paperSrc w:first="41" w:other="41"/>
          <w:pgNumType w:fmt="lowerRoman" w:start="1"/>
          <w:cols w:space="720"/>
        </w:sectPr>
      </w:pPr>
    </w:p>
    <w:p w14:paraId="3640E65B" w14:textId="77777777" w:rsidR="00AC5CD3" w:rsidRDefault="00AC5CD3">
      <w:pPr>
        <w:pBdr>
          <w:bottom w:val="single" w:sz="18" w:space="1" w:color="auto"/>
        </w:pBdr>
        <w:jc w:val="right"/>
      </w:pPr>
      <w:r>
        <w:rPr>
          <w:b/>
          <w:sz w:val="28"/>
        </w:rPr>
        <w:t>Table of Contents</w:t>
      </w:r>
    </w:p>
    <w:p w14:paraId="72D1FDDB" w14:textId="77777777" w:rsidR="007C384E" w:rsidRDefault="00AC5CD3">
      <w:pPr>
        <w:pStyle w:val="TOC2"/>
        <w:rPr>
          <w:b w:val="0"/>
          <w:caps w:val="0"/>
          <w:noProof/>
          <w:szCs w:val="24"/>
          <w:lang w:val="en-AU" w:eastAsia="en-AU"/>
        </w:rPr>
      </w:pPr>
      <w:r>
        <w:rPr>
          <w:b w:val="0"/>
          <w:caps w:val="0"/>
          <w:sz w:val="20"/>
        </w:rPr>
        <w:fldChar w:fldCharType="begin"/>
      </w:r>
      <w:r>
        <w:rPr>
          <w:b w:val="0"/>
          <w:caps w:val="0"/>
          <w:sz w:val="20"/>
        </w:rPr>
        <w:instrText xml:space="preserve"> TOC \o </w:instrText>
      </w:r>
      <w:r>
        <w:rPr>
          <w:b w:val="0"/>
          <w:caps w:val="0"/>
          <w:sz w:val="20"/>
        </w:rPr>
        <w:fldChar w:fldCharType="separate"/>
      </w:r>
      <w:r w:rsidR="007C384E">
        <w:rPr>
          <w:noProof/>
        </w:rPr>
        <w:t xml:space="preserve">Point to Multipoint Fixed Services in Specified Parts of the </w:t>
      </w:r>
      <w:r w:rsidR="007C384E" w:rsidRPr="00183A56">
        <w:rPr>
          <w:noProof/>
        </w:rPr>
        <w:t>3.4</w:t>
      </w:r>
      <w:r w:rsidR="007C384E" w:rsidRPr="00183A56">
        <w:rPr>
          <w:noProof/>
        </w:rPr>
        <w:noBreakHyphen/>
        <w:t>3.5 </w:t>
      </w:r>
      <w:r w:rsidR="007C384E">
        <w:rPr>
          <w:noProof/>
        </w:rPr>
        <w:t>GHz Band</w:t>
      </w:r>
      <w:r w:rsidR="007C384E">
        <w:rPr>
          <w:noProof/>
        </w:rPr>
        <w:tab/>
      </w:r>
      <w:r w:rsidR="007C384E">
        <w:rPr>
          <w:noProof/>
        </w:rPr>
        <w:fldChar w:fldCharType="begin"/>
      </w:r>
      <w:r w:rsidR="007C384E">
        <w:rPr>
          <w:noProof/>
        </w:rPr>
        <w:instrText xml:space="preserve"> PAGEREF _Toc242176784 \h </w:instrText>
      </w:r>
      <w:r w:rsidR="00D75854">
        <w:rPr>
          <w:noProof/>
        </w:rPr>
      </w:r>
      <w:r w:rsidR="007C384E">
        <w:rPr>
          <w:noProof/>
        </w:rPr>
        <w:fldChar w:fldCharType="separate"/>
      </w:r>
      <w:r w:rsidR="004D3A0E">
        <w:rPr>
          <w:noProof/>
        </w:rPr>
        <w:t>1</w:t>
      </w:r>
      <w:r w:rsidR="007C384E">
        <w:rPr>
          <w:noProof/>
        </w:rPr>
        <w:fldChar w:fldCharType="end"/>
      </w:r>
    </w:p>
    <w:p w14:paraId="7D04C1BA" w14:textId="77777777" w:rsidR="007C384E" w:rsidRDefault="007C384E">
      <w:pPr>
        <w:pStyle w:val="TOC3"/>
        <w:rPr>
          <w:caps w:val="0"/>
          <w:noProof/>
          <w:szCs w:val="24"/>
          <w:lang w:val="en-AU" w:eastAsia="en-AU"/>
        </w:rPr>
      </w:pPr>
      <w:r>
        <w:rPr>
          <w:noProof/>
        </w:rPr>
        <w:t>1.0  Introduction</w:t>
      </w:r>
      <w:r>
        <w:rPr>
          <w:noProof/>
        </w:rPr>
        <w:tab/>
      </w:r>
      <w:r>
        <w:rPr>
          <w:noProof/>
        </w:rPr>
        <w:fldChar w:fldCharType="begin"/>
      </w:r>
      <w:r>
        <w:rPr>
          <w:noProof/>
        </w:rPr>
        <w:instrText xml:space="preserve"> PAGEREF _Toc242176785 \h </w:instrText>
      </w:r>
      <w:r w:rsidR="00D75854">
        <w:rPr>
          <w:noProof/>
        </w:rPr>
      </w:r>
      <w:r>
        <w:rPr>
          <w:noProof/>
        </w:rPr>
        <w:fldChar w:fldCharType="separate"/>
      </w:r>
      <w:r w:rsidR="004D3A0E">
        <w:rPr>
          <w:noProof/>
        </w:rPr>
        <w:t>1</w:t>
      </w:r>
      <w:r>
        <w:rPr>
          <w:noProof/>
        </w:rPr>
        <w:fldChar w:fldCharType="end"/>
      </w:r>
    </w:p>
    <w:p w14:paraId="3A88F07C" w14:textId="77777777" w:rsidR="007C384E" w:rsidRDefault="007C384E">
      <w:pPr>
        <w:pStyle w:val="TOC4"/>
        <w:rPr>
          <w:noProof/>
          <w:szCs w:val="24"/>
          <w:lang w:val="en-AU" w:eastAsia="en-AU"/>
        </w:rPr>
      </w:pPr>
      <w:r>
        <w:rPr>
          <w:noProof/>
        </w:rPr>
        <w:t>1.1  Purpose</w:t>
      </w:r>
      <w:r>
        <w:rPr>
          <w:noProof/>
        </w:rPr>
        <w:tab/>
      </w:r>
      <w:r>
        <w:rPr>
          <w:noProof/>
        </w:rPr>
        <w:fldChar w:fldCharType="begin"/>
      </w:r>
      <w:r>
        <w:rPr>
          <w:noProof/>
        </w:rPr>
        <w:instrText xml:space="preserve"> PAGEREF _Toc242176786 \h </w:instrText>
      </w:r>
      <w:r w:rsidR="00D75854">
        <w:rPr>
          <w:noProof/>
        </w:rPr>
      </w:r>
      <w:r>
        <w:rPr>
          <w:noProof/>
        </w:rPr>
        <w:fldChar w:fldCharType="separate"/>
      </w:r>
      <w:r w:rsidR="004D3A0E">
        <w:rPr>
          <w:noProof/>
        </w:rPr>
        <w:t>1</w:t>
      </w:r>
      <w:r>
        <w:rPr>
          <w:noProof/>
        </w:rPr>
        <w:fldChar w:fldCharType="end"/>
      </w:r>
    </w:p>
    <w:p w14:paraId="327E9EE3" w14:textId="77777777" w:rsidR="007C384E" w:rsidRDefault="007C384E">
      <w:pPr>
        <w:pStyle w:val="TOC4"/>
        <w:rPr>
          <w:noProof/>
          <w:szCs w:val="24"/>
          <w:lang w:val="en-AU" w:eastAsia="en-AU"/>
        </w:rPr>
      </w:pPr>
      <w:r>
        <w:rPr>
          <w:noProof/>
        </w:rPr>
        <w:t>1.2  Related RALIs</w:t>
      </w:r>
      <w:r>
        <w:rPr>
          <w:noProof/>
        </w:rPr>
        <w:tab/>
      </w:r>
      <w:r>
        <w:rPr>
          <w:noProof/>
        </w:rPr>
        <w:fldChar w:fldCharType="begin"/>
      </w:r>
      <w:r>
        <w:rPr>
          <w:noProof/>
        </w:rPr>
        <w:instrText xml:space="preserve"> PAGEREF _Toc242176787 \h </w:instrText>
      </w:r>
      <w:r w:rsidR="00D75854">
        <w:rPr>
          <w:noProof/>
        </w:rPr>
      </w:r>
      <w:r>
        <w:rPr>
          <w:noProof/>
        </w:rPr>
        <w:fldChar w:fldCharType="separate"/>
      </w:r>
      <w:r w:rsidR="004D3A0E">
        <w:rPr>
          <w:noProof/>
        </w:rPr>
        <w:t>1</w:t>
      </w:r>
      <w:r>
        <w:rPr>
          <w:noProof/>
        </w:rPr>
        <w:fldChar w:fldCharType="end"/>
      </w:r>
    </w:p>
    <w:p w14:paraId="3EA23C23" w14:textId="77777777" w:rsidR="007C384E" w:rsidRDefault="007C384E">
      <w:pPr>
        <w:pStyle w:val="TOC3"/>
        <w:rPr>
          <w:caps w:val="0"/>
          <w:noProof/>
          <w:szCs w:val="24"/>
          <w:lang w:val="en-AU" w:eastAsia="en-AU"/>
        </w:rPr>
      </w:pPr>
      <w:r>
        <w:rPr>
          <w:noProof/>
        </w:rPr>
        <w:t>2.0  Frequency Bands and Geographic Areas Available for Assignment</w:t>
      </w:r>
      <w:r>
        <w:rPr>
          <w:noProof/>
        </w:rPr>
        <w:tab/>
      </w:r>
      <w:r>
        <w:rPr>
          <w:noProof/>
        </w:rPr>
        <w:fldChar w:fldCharType="begin"/>
      </w:r>
      <w:r>
        <w:rPr>
          <w:noProof/>
        </w:rPr>
        <w:instrText xml:space="preserve"> PAGEREF _Toc242176788 \h </w:instrText>
      </w:r>
      <w:r w:rsidR="00D75854">
        <w:rPr>
          <w:noProof/>
        </w:rPr>
      </w:r>
      <w:r>
        <w:rPr>
          <w:noProof/>
        </w:rPr>
        <w:fldChar w:fldCharType="separate"/>
      </w:r>
      <w:r w:rsidR="004D3A0E">
        <w:rPr>
          <w:noProof/>
        </w:rPr>
        <w:t>1</w:t>
      </w:r>
      <w:r>
        <w:rPr>
          <w:noProof/>
        </w:rPr>
        <w:fldChar w:fldCharType="end"/>
      </w:r>
    </w:p>
    <w:p w14:paraId="70E9E41A" w14:textId="77777777" w:rsidR="007C384E" w:rsidRDefault="007C384E">
      <w:pPr>
        <w:pStyle w:val="TOC3"/>
        <w:rPr>
          <w:caps w:val="0"/>
          <w:noProof/>
          <w:szCs w:val="24"/>
          <w:lang w:val="en-AU" w:eastAsia="en-AU"/>
        </w:rPr>
      </w:pPr>
      <w:r>
        <w:rPr>
          <w:noProof/>
        </w:rPr>
        <w:t>3.0  Licence Structure</w:t>
      </w:r>
      <w:r>
        <w:rPr>
          <w:noProof/>
        </w:rPr>
        <w:tab/>
      </w:r>
      <w:r>
        <w:rPr>
          <w:noProof/>
        </w:rPr>
        <w:fldChar w:fldCharType="begin"/>
      </w:r>
      <w:r>
        <w:rPr>
          <w:noProof/>
        </w:rPr>
        <w:instrText xml:space="preserve"> PAGEREF _Toc242176789 \h </w:instrText>
      </w:r>
      <w:r w:rsidR="00D75854">
        <w:rPr>
          <w:noProof/>
        </w:rPr>
      </w:r>
      <w:r>
        <w:rPr>
          <w:noProof/>
        </w:rPr>
        <w:fldChar w:fldCharType="separate"/>
      </w:r>
      <w:r w:rsidR="004D3A0E">
        <w:rPr>
          <w:noProof/>
        </w:rPr>
        <w:t>2</w:t>
      </w:r>
      <w:r>
        <w:rPr>
          <w:noProof/>
        </w:rPr>
        <w:fldChar w:fldCharType="end"/>
      </w:r>
    </w:p>
    <w:p w14:paraId="57E0AE08" w14:textId="77777777" w:rsidR="007C384E" w:rsidRDefault="007C384E">
      <w:pPr>
        <w:pStyle w:val="TOC4"/>
        <w:rPr>
          <w:noProof/>
          <w:szCs w:val="24"/>
          <w:lang w:val="en-AU" w:eastAsia="en-AU"/>
        </w:rPr>
      </w:pPr>
      <w:r>
        <w:rPr>
          <w:noProof/>
        </w:rPr>
        <w:t>3.1  Fixed Licence Type</w:t>
      </w:r>
      <w:r>
        <w:rPr>
          <w:noProof/>
        </w:rPr>
        <w:tab/>
      </w:r>
      <w:r>
        <w:rPr>
          <w:noProof/>
        </w:rPr>
        <w:fldChar w:fldCharType="begin"/>
      </w:r>
      <w:r>
        <w:rPr>
          <w:noProof/>
        </w:rPr>
        <w:instrText xml:space="preserve"> PAGEREF _Toc242176790 \h </w:instrText>
      </w:r>
      <w:r w:rsidR="00D75854">
        <w:rPr>
          <w:noProof/>
        </w:rPr>
      </w:r>
      <w:r>
        <w:rPr>
          <w:noProof/>
        </w:rPr>
        <w:fldChar w:fldCharType="separate"/>
      </w:r>
      <w:r w:rsidR="004D3A0E">
        <w:rPr>
          <w:noProof/>
        </w:rPr>
        <w:t>2</w:t>
      </w:r>
      <w:r>
        <w:rPr>
          <w:noProof/>
        </w:rPr>
        <w:fldChar w:fldCharType="end"/>
      </w:r>
    </w:p>
    <w:p w14:paraId="61815B05" w14:textId="77777777" w:rsidR="007C384E" w:rsidRDefault="007C384E">
      <w:pPr>
        <w:pStyle w:val="TOC3"/>
        <w:rPr>
          <w:caps w:val="0"/>
          <w:noProof/>
          <w:szCs w:val="24"/>
          <w:lang w:val="en-AU" w:eastAsia="en-AU"/>
        </w:rPr>
      </w:pPr>
      <w:r>
        <w:rPr>
          <w:noProof/>
        </w:rPr>
        <w:t>4.0  Licensing Principles for Point to Multipoint Stations</w:t>
      </w:r>
      <w:r>
        <w:rPr>
          <w:noProof/>
        </w:rPr>
        <w:tab/>
      </w:r>
      <w:r>
        <w:rPr>
          <w:noProof/>
        </w:rPr>
        <w:fldChar w:fldCharType="begin"/>
      </w:r>
      <w:r>
        <w:rPr>
          <w:noProof/>
        </w:rPr>
        <w:instrText xml:space="preserve"> PAGEREF _Toc242176791 \h </w:instrText>
      </w:r>
      <w:r w:rsidR="00D75854">
        <w:rPr>
          <w:noProof/>
        </w:rPr>
      </w:r>
      <w:r>
        <w:rPr>
          <w:noProof/>
        </w:rPr>
        <w:fldChar w:fldCharType="separate"/>
      </w:r>
      <w:r w:rsidR="004D3A0E">
        <w:rPr>
          <w:noProof/>
        </w:rPr>
        <w:t>4</w:t>
      </w:r>
      <w:r>
        <w:rPr>
          <w:noProof/>
        </w:rPr>
        <w:fldChar w:fldCharType="end"/>
      </w:r>
    </w:p>
    <w:p w14:paraId="3A8DC128" w14:textId="77777777" w:rsidR="007C384E" w:rsidRDefault="007C384E">
      <w:pPr>
        <w:pStyle w:val="TOC3"/>
        <w:rPr>
          <w:caps w:val="0"/>
          <w:noProof/>
          <w:szCs w:val="24"/>
          <w:lang w:val="en-AU" w:eastAsia="en-AU"/>
        </w:rPr>
      </w:pPr>
      <w:r>
        <w:rPr>
          <w:noProof/>
        </w:rPr>
        <w:t>5.0  Licence Conditions</w:t>
      </w:r>
      <w:r>
        <w:rPr>
          <w:noProof/>
        </w:rPr>
        <w:tab/>
      </w:r>
      <w:r>
        <w:rPr>
          <w:noProof/>
        </w:rPr>
        <w:fldChar w:fldCharType="begin"/>
      </w:r>
      <w:r>
        <w:rPr>
          <w:noProof/>
        </w:rPr>
        <w:instrText xml:space="preserve"> PAGEREF _Toc242176792 \h </w:instrText>
      </w:r>
      <w:r w:rsidR="00D75854">
        <w:rPr>
          <w:noProof/>
        </w:rPr>
      </w:r>
      <w:r>
        <w:rPr>
          <w:noProof/>
        </w:rPr>
        <w:fldChar w:fldCharType="separate"/>
      </w:r>
      <w:r w:rsidR="004D3A0E">
        <w:rPr>
          <w:noProof/>
        </w:rPr>
        <w:t>5</w:t>
      </w:r>
      <w:r>
        <w:rPr>
          <w:noProof/>
        </w:rPr>
        <w:fldChar w:fldCharType="end"/>
      </w:r>
    </w:p>
    <w:p w14:paraId="6B37FC69" w14:textId="77777777" w:rsidR="007C384E" w:rsidRDefault="007C384E">
      <w:pPr>
        <w:pStyle w:val="TOC4"/>
        <w:rPr>
          <w:noProof/>
          <w:szCs w:val="24"/>
          <w:lang w:val="en-AU" w:eastAsia="en-AU"/>
        </w:rPr>
      </w:pPr>
      <w:r>
        <w:rPr>
          <w:noProof/>
        </w:rPr>
        <w:t>5.1  Licence Conditions Determinations</w:t>
      </w:r>
      <w:r>
        <w:rPr>
          <w:noProof/>
        </w:rPr>
        <w:tab/>
      </w:r>
      <w:r>
        <w:rPr>
          <w:noProof/>
        </w:rPr>
        <w:fldChar w:fldCharType="begin"/>
      </w:r>
      <w:r>
        <w:rPr>
          <w:noProof/>
        </w:rPr>
        <w:instrText xml:space="preserve"> PAGEREF _Toc242176793 \h </w:instrText>
      </w:r>
      <w:r w:rsidR="00D75854">
        <w:rPr>
          <w:noProof/>
        </w:rPr>
      </w:r>
      <w:r>
        <w:rPr>
          <w:noProof/>
        </w:rPr>
        <w:fldChar w:fldCharType="separate"/>
      </w:r>
      <w:r w:rsidR="004D3A0E">
        <w:rPr>
          <w:noProof/>
        </w:rPr>
        <w:t>5</w:t>
      </w:r>
      <w:r>
        <w:rPr>
          <w:noProof/>
        </w:rPr>
        <w:fldChar w:fldCharType="end"/>
      </w:r>
    </w:p>
    <w:p w14:paraId="5DDB4307" w14:textId="77777777" w:rsidR="007C384E" w:rsidRDefault="007C384E">
      <w:pPr>
        <w:pStyle w:val="TOC4"/>
        <w:rPr>
          <w:noProof/>
          <w:szCs w:val="24"/>
          <w:lang w:val="en-AU" w:eastAsia="en-AU"/>
        </w:rPr>
      </w:pPr>
      <w:r>
        <w:rPr>
          <w:noProof/>
        </w:rPr>
        <w:t>5.2  Special Conditions</w:t>
      </w:r>
      <w:r>
        <w:rPr>
          <w:noProof/>
        </w:rPr>
        <w:tab/>
      </w:r>
      <w:r>
        <w:rPr>
          <w:noProof/>
        </w:rPr>
        <w:fldChar w:fldCharType="begin"/>
      </w:r>
      <w:r>
        <w:rPr>
          <w:noProof/>
        </w:rPr>
        <w:instrText xml:space="preserve"> PAGEREF _Toc242176794 \h </w:instrText>
      </w:r>
      <w:r w:rsidR="00D75854">
        <w:rPr>
          <w:noProof/>
        </w:rPr>
      </w:r>
      <w:r>
        <w:rPr>
          <w:noProof/>
        </w:rPr>
        <w:fldChar w:fldCharType="separate"/>
      </w:r>
      <w:r w:rsidR="004D3A0E">
        <w:rPr>
          <w:noProof/>
        </w:rPr>
        <w:t>5</w:t>
      </w:r>
      <w:r>
        <w:rPr>
          <w:noProof/>
        </w:rPr>
        <w:fldChar w:fldCharType="end"/>
      </w:r>
    </w:p>
    <w:p w14:paraId="3FA73930" w14:textId="77777777" w:rsidR="007C384E" w:rsidRDefault="007C384E">
      <w:pPr>
        <w:pStyle w:val="TOC4"/>
        <w:rPr>
          <w:noProof/>
          <w:szCs w:val="24"/>
          <w:lang w:val="en-AU" w:eastAsia="en-AU"/>
        </w:rPr>
      </w:pPr>
      <w:r>
        <w:rPr>
          <w:noProof/>
        </w:rPr>
        <w:t>5.3  Advisory Notes</w:t>
      </w:r>
      <w:r>
        <w:rPr>
          <w:noProof/>
        </w:rPr>
        <w:tab/>
      </w:r>
      <w:r>
        <w:rPr>
          <w:noProof/>
        </w:rPr>
        <w:fldChar w:fldCharType="begin"/>
      </w:r>
      <w:r>
        <w:rPr>
          <w:noProof/>
        </w:rPr>
        <w:instrText xml:space="preserve"> PAGEREF _Toc242176795 \h </w:instrText>
      </w:r>
      <w:r w:rsidR="00D75854">
        <w:rPr>
          <w:noProof/>
        </w:rPr>
      </w:r>
      <w:r>
        <w:rPr>
          <w:noProof/>
        </w:rPr>
        <w:fldChar w:fldCharType="separate"/>
      </w:r>
      <w:r w:rsidR="004D3A0E">
        <w:rPr>
          <w:noProof/>
        </w:rPr>
        <w:t>6</w:t>
      </w:r>
      <w:r>
        <w:rPr>
          <w:noProof/>
        </w:rPr>
        <w:fldChar w:fldCharType="end"/>
      </w:r>
    </w:p>
    <w:p w14:paraId="0D49B185" w14:textId="77777777" w:rsidR="007C384E" w:rsidRDefault="007C384E">
      <w:pPr>
        <w:pStyle w:val="TOC4"/>
        <w:rPr>
          <w:noProof/>
          <w:szCs w:val="24"/>
          <w:lang w:val="en-AU" w:eastAsia="en-AU"/>
        </w:rPr>
      </w:pPr>
      <w:r>
        <w:rPr>
          <w:noProof/>
        </w:rPr>
        <w:t>5.4  For How Long May Licences be Issued?</w:t>
      </w:r>
      <w:r>
        <w:rPr>
          <w:noProof/>
        </w:rPr>
        <w:tab/>
      </w:r>
      <w:r>
        <w:rPr>
          <w:noProof/>
        </w:rPr>
        <w:fldChar w:fldCharType="begin"/>
      </w:r>
      <w:r>
        <w:rPr>
          <w:noProof/>
        </w:rPr>
        <w:instrText xml:space="preserve"> PAGEREF _Toc242176796 \h </w:instrText>
      </w:r>
      <w:r w:rsidR="00D75854">
        <w:rPr>
          <w:noProof/>
        </w:rPr>
      </w:r>
      <w:r>
        <w:rPr>
          <w:noProof/>
        </w:rPr>
        <w:fldChar w:fldCharType="separate"/>
      </w:r>
      <w:r w:rsidR="004D3A0E">
        <w:rPr>
          <w:noProof/>
        </w:rPr>
        <w:t>6</w:t>
      </w:r>
      <w:r>
        <w:rPr>
          <w:noProof/>
        </w:rPr>
        <w:fldChar w:fldCharType="end"/>
      </w:r>
    </w:p>
    <w:p w14:paraId="5F2BEEF1" w14:textId="77777777" w:rsidR="007C384E" w:rsidRDefault="007C384E">
      <w:pPr>
        <w:pStyle w:val="TOC3"/>
        <w:rPr>
          <w:caps w:val="0"/>
          <w:noProof/>
          <w:szCs w:val="24"/>
          <w:lang w:val="en-AU" w:eastAsia="en-AU"/>
        </w:rPr>
      </w:pPr>
      <w:r>
        <w:rPr>
          <w:noProof/>
        </w:rPr>
        <w:t>6.0  Licence Fees</w:t>
      </w:r>
      <w:r>
        <w:rPr>
          <w:noProof/>
        </w:rPr>
        <w:tab/>
      </w:r>
      <w:r>
        <w:rPr>
          <w:noProof/>
        </w:rPr>
        <w:fldChar w:fldCharType="begin"/>
      </w:r>
      <w:r>
        <w:rPr>
          <w:noProof/>
        </w:rPr>
        <w:instrText xml:space="preserve"> PAGEREF _Toc242176797 \h </w:instrText>
      </w:r>
      <w:r w:rsidR="00D75854">
        <w:rPr>
          <w:noProof/>
        </w:rPr>
      </w:r>
      <w:r>
        <w:rPr>
          <w:noProof/>
        </w:rPr>
        <w:fldChar w:fldCharType="separate"/>
      </w:r>
      <w:r w:rsidR="004D3A0E">
        <w:rPr>
          <w:noProof/>
        </w:rPr>
        <w:t>6</w:t>
      </w:r>
      <w:r>
        <w:rPr>
          <w:noProof/>
        </w:rPr>
        <w:fldChar w:fldCharType="end"/>
      </w:r>
    </w:p>
    <w:p w14:paraId="337A7329" w14:textId="77777777" w:rsidR="007C384E" w:rsidRDefault="007C384E">
      <w:pPr>
        <w:pStyle w:val="TOC3"/>
        <w:rPr>
          <w:caps w:val="0"/>
          <w:noProof/>
          <w:szCs w:val="24"/>
          <w:lang w:val="en-AU" w:eastAsia="en-AU"/>
        </w:rPr>
      </w:pPr>
      <w:r>
        <w:rPr>
          <w:noProof/>
        </w:rPr>
        <w:t>7.0  Assignment Principles</w:t>
      </w:r>
      <w:r>
        <w:rPr>
          <w:noProof/>
        </w:rPr>
        <w:tab/>
      </w:r>
      <w:r>
        <w:rPr>
          <w:noProof/>
        </w:rPr>
        <w:fldChar w:fldCharType="begin"/>
      </w:r>
      <w:r>
        <w:rPr>
          <w:noProof/>
        </w:rPr>
        <w:instrText xml:space="preserve"> PAGEREF _Toc242176798 \h </w:instrText>
      </w:r>
      <w:r w:rsidR="00D75854">
        <w:rPr>
          <w:noProof/>
        </w:rPr>
      </w:r>
      <w:r>
        <w:rPr>
          <w:noProof/>
        </w:rPr>
        <w:fldChar w:fldCharType="separate"/>
      </w:r>
      <w:r w:rsidR="004D3A0E">
        <w:rPr>
          <w:noProof/>
        </w:rPr>
        <w:t>6</w:t>
      </w:r>
      <w:r>
        <w:rPr>
          <w:noProof/>
        </w:rPr>
        <w:fldChar w:fldCharType="end"/>
      </w:r>
    </w:p>
    <w:p w14:paraId="7BA0BD0A" w14:textId="77777777" w:rsidR="007C384E" w:rsidRDefault="007C384E">
      <w:pPr>
        <w:pStyle w:val="TOC4"/>
        <w:rPr>
          <w:noProof/>
          <w:szCs w:val="24"/>
          <w:lang w:val="en-AU" w:eastAsia="en-AU"/>
        </w:rPr>
      </w:pPr>
      <w:r>
        <w:rPr>
          <w:noProof/>
        </w:rPr>
        <w:t>7.1  Coverage Provided by the Assignment Model</w:t>
      </w:r>
      <w:r>
        <w:rPr>
          <w:noProof/>
        </w:rPr>
        <w:tab/>
      </w:r>
      <w:r>
        <w:rPr>
          <w:noProof/>
        </w:rPr>
        <w:fldChar w:fldCharType="begin"/>
      </w:r>
      <w:r>
        <w:rPr>
          <w:noProof/>
        </w:rPr>
        <w:instrText xml:space="preserve"> PAGEREF _Toc242176799 \h </w:instrText>
      </w:r>
      <w:r w:rsidR="00D75854">
        <w:rPr>
          <w:noProof/>
        </w:rPr>
      </w:r>
      <w:r>
        <w:rPr>
          <w:noProof/>
        </w:rPr>
        <w:fldChar w:fldCharType="separate"/>
      </w:r>
      <w:r w:rsidR="004D3A0E">
        <w:rPr>
          <w:noProof/>
        </w:rPr>
        <w:t>7</w:t>
      </w:r>
      <w:r>
        <w:rPr>
          <w:noProof/>
        </w:rPr>
        <w:fldChar w:fldCharType="end"/>
      </w:r>
    </w:p>
    <w:p w14:paraId="60811DF8" w14:textId="77777777" w:rsidR="007C384E" w:rsidRDefault="007C384E">
      <w:pPr>
        <w:pStyle w:val="TOC4"/>
        <w:rPr>
          <w:noProof/>
          <w:szCs w:val="24"/>
          <w:lang w:val="en-AU" w:eastAsia="en-AU"/>
        </w:rPr>
      </w:pPr>
      <w:r>
        <w:rPr>
          <w:noProof/>
        </w:rPr>
        <w:t>7.2  Frequency Assignment Priority</w:t>
      </w:r>
      <w:r>
        <w:rPr>
          <w:noProof/>
        </w:rPr>
        <w:tab/>
      </w:r>
      <w:r>
        <w:rPr>
          <w:noProof/>
        </w:rPr>
        <w:fldChar w:fldCharType="begin"/>
      </w:r>
      <w:r>
        <w:rPr>
          <w:noProof/>
        </w:rPr>
        <w:instrText xml:space="preserve"> PAGEREF _Toc242176800 \h </w:instrText>
      </w:r>
      <w:r w:rsidR="00D75854">
        <w:rPr>
          <w:noProof/>
        </w:rPr>
      </w:r>
      <w:r>
        <w:rPr>
          <w:noProof/>
        </w:rPr>
        <w:fldChar w:fldCharType="separate"/>
      </w:r>
      <w:r w:rsidR="004D3A0E">
        <w:rPr>
          <w:noProof/>
        </w:rPr>
        <w:t>7</w:t>
      </w:r>
      <w:r>
        <w:rPr>
          <w:noProof/>
        </w:rPr>
        <w:fldChar w:fldCharType="end"/>
      </w:r>
    </w:p>
    <w:p w14:paraId="54679E51" w14:textId="77777777" w:rsidR="007C384E" w:rsidRDefault="007C384E">
      <w:pPr>
        <w:pStyle w:val="TOC4"/>
        <w:rPr>
          <w:noProof/>
          <w:szCs w:val="24"/>
          <w:lang w:val="en-AU" w:eastAsia="en-AU"/>
        </w:rPr>
      </w:pPr>
      <w:r>
        <w:rPr>
          <w:noProof/>
        </w:rPr>
        <w:t>7.3  Subscriber Notional Antennas</w:t>
      </w:r>
      <w:r>
        <w:rPr>
          <w:noProof/>
        </w:rPr>
        <w:tab/>
      </w:r>
      <w:r>
        <w:rPr>
          <w:noProof/>
        </w:rPr>
        <w:fldChar w:fldCharType="begin"/>
      </w:r>
      <w:r>
        <w:rPr>
          <w:noProof/>
        </w:rPr>
        <w:instrText xml:space="preserve"> PAGEREF _Toc242176801 \h </w:instrText>
      </w:r>
      <w:r w:rsidR="00D75854">
        <w:rPr>
          <w:noProof/>
        </w:rPr>
      </w:r>
      <w:r>
        <w:rPr>
          <w:noProof/>
        </w:rPr>
        <w:fldChar w:fldCharType="separate"/>
      </w:r>
      <w:r w:rsidR="004D3A0E">
        <w:rPr>
          <w:noProof/>
        </w:rPr>
        <w:t>7</w:t>
      </w:r>
      <w:r>
        <w:rPr>
          <w:noProof/>
        </w:rPr>
        <w:fldChar w:fldCharType="end"/>
      </w:r>
    </w:p>
    <w:p w14:paraId="2631607F" w14:textId="77777777" w:rsidR="007C384E" w:rsidRDefault="007C384E">
      <w:pPr>
        <w:pStyle w:val="TOC4"/>
        <w:rPr>
          <w:noProof/>
          <w:szCs w:val="24"/>
          <w:lang w:val="en-AU" w:eastAsia="en-AU"/>
        </w:rPr>
      </w:pPr>
      <w:r>
        <w:rPr>
          <w:noProof/>
        </w:rPr>
        <w:t>7.4 Coordination Scenarios</w:t>
      </w:r>
      <w:r>
        <w:rPr>
          <w:noProof/>
        </w:rPr>
        <w:tab/>
      </w:r>
      <w:r>
        <w:rPr>
          <w:noProof/>
        </w:rPr>
        <w:fldChar w:fldCharType="begin"/>
      </w:r>
      <w:r>
        <w:rPr>
          <w:noProof/>
        </w:rPr>
        <w:instrText xml:space="preserve"> PAGEREF _Toc242176802 \h </w:instrText>
      </w:r>
      <w:r w:rsidR="00D75854">
        <w:rPr>
          <w:noProof/>
        </w:rPr>
      </w:r>
      <w:r>
        <w:rPr>
          <w:noProof/>
        </w:rPr>
        <w:fldChar w:fldCharType="separate"/>
      </w:r>
      <w:r w:rsidR="004D3A0E">
        <w:rPr>
          <w:noProof/>
        </w:rPr>
        <w:t>8</w:t>
      </w:r>
      <w:r>
        <w:rPr>
          <w:noProof/>
        </w:rPr>
        <w:fldChar w:fldCharType="end"/>
      </w:r>
    </w:p>
    <w:p w14:paraId="4F4F9E29" w14:textId="77777777" w:rsidR="007C384E" w:rsidRDefault="007C384E">
      <w:pPr>
        <w:pStyle w:val="TOC4"/>
        <w:rPr>
          <w:noProof/>
          <w:szCs w:val="24"/>
          <w:lang w:val="en-AU" w:eastAsia="en-AU"/>
        </w:rPr>
      </w:pPr>
      <w:r>
        <w:rPr>
          <w:noProof/>
        </w:rPr>
        <w:t>7.4.1  Coordination within specified regional areas</w:t>
      </w:r>
      <w:r>
        <w:rPr>
          <w:noProof/>
        </w:rPr>
        <w:tab/>
      </w:r>
      <w:r>
        <w:rPr>
          <w:noProof/>
        </w:rPr>
        <w:fldChar w:fldCharType="begin"/>
      </w:r>
      <w:r>
        <w:rPr>
          <w:noProof/>
        </w:rPr>
        <w:instrText xml:space="preserve"> PAGEREF _Toc242176803 \h </w:instrText>
      </w:r>
      <w:r w:rsidR="00D75854">
        <w:rPr>
          <w:noProof/>
        </w:rPr>
      </w:r>
      <w:r>
        <w:rPr>
          <w:noProof/>
        </w:rPr>
        <w:fldChar w:fldCharType="separate"/>
      </w:r>
      <w:r w:rsidR="004D3A0E">
        <w:rPr>
          <w:noProof/>
        </w:rPr>
        <w:t>8</w:t>
      </w:r>
      <w:r>
        <w:rPr>
          <w:noProof/>
        </w:rPr>
        <w:fldChar w:fldCharType="end"/>
      </w:r>
    </w:p>
    <w:p w14:paraId="3C73634F" w14:textId="77777777" w:rsidR="007C384E" w:rsidRDefault="007C384E">
      <w:pPr>
        <w:pStyle w:val="TOC4"/>
        <w:rPr>
          <w:noProof/>
          <w:szCs w:val="24"/>
          <w:lang w:val="en-AU" w:eastAsia="en-AU"/>
        </w:rPr>
      </w:pPr>
      <w:r>
        <w:rPr>
          <w:noProof/>
        </w:rPr>
        <w:t>7.4.2  Coordination Between Systems Operating in Different Areas (Co</w:t>
      </w:r>
      <w:r>
        <w:rPr>
          <w:noProof/>
        </w:rPr>
        <w:noBreakHyphen/>
        <w:t>channel)</w:t>
      </w:r>
      <w:r>
        <w:rPr>
          <w:noProof/>
        </w:rPr>
        <w:tab/>
      </w:r>
      <w:r>
        <w:rPr>
          <w:noProof/>
        </w:rPr>
        <w:fldChar w:fldCharType="begin"/>
      </w:r>
      <w:r>
        <w:rPr>
          <w:noProof/>
        </w:rPr>
        <w:instrText xml:space="preserve"> PAGEREF _Toc242176804 \h </w:instrText>
      </w:r>
      <w:r w:rsidR="00D75854">
        <w:rPr>
          <w:noProof/>
        </w:rPr>
      </w:r>
      <w:r>
        <w:rPr>
          <w:noProof/>
        </w:rPr>
        <w:fldChar w:fldCharType="separate"/>
      </w:r>
      <w:r w:rsidR="004D3A0E">
        <w:rPr>
          <w:noProof/>
        </w:rPr>
        <w:t>10</w:t>
      </w:r>
      <w:r>
        <w:rPr>
          <w:noProof/>
        </w:rPr>
        <w:fldChar w:fldCharType="end"/>
      </w:r>
    </w:p>
    <w:p w14:paraId="31B5B46D" w14:textId="77777777" w:rsidR="007C384E" w:rsidRDefault="007C384E">
      <w:pPr>
        <w:pStyle w:val="TOC5"/>
        <w:rPr>
          <w:noProof/>
          <w:szCs w:val="24"/>
          <w:lang w:val="en-AU" w:eastAsia="en-AU"/>
        </w:rPr>
      </w:pPr>
      <w:r>
        <w:rPr>
          <w:noProof/>
        </w:rPr>
        <w:t>7.4.2.1  Re-use Distance</w:t>
      </w:r>
      <w:r>
        <w:rPr>
          <w:noProof/>
        </w:rPr>
        <w:tab/>
      </w:r>
      <w:r>
        <w:rPr>
          <w:noProof/>
        </w:rPr>
        <w:fldChar w:fldCharType="begin"/>
      </w:r>
      <w:r>
        <w:rPr>
          <w:noProof/>
        </w:rPr>
        <w:instrText xml:space="preserve"> PAGEREF _Toc242176805 \h </w:instrText>
      </w:r>
      <w:r w:rsidR="00D75854">
        <w:rPr>
          <w:noProof/>
        </w:rPr>
      </w:r>
      <w:r>
        <w:rPr>
          <w:noProof/>
        </w:rPr>
        <w:fldChar w:fldCharType="separate"/>
      </w:r>
      <w:r w:rsidR="004D3A0E">
        <w:rPr>
          <w:noProof/>
        </w:rPr>
        <w:t>10</w:t>
      </w:r>
      <w:r>
        <w:rPr>
          <w:noProof/>
        </w:rPr>
        <w:fldChar w:fldCharType="end"/>
      </w:r>
    </w:p>
    <w:p w14:paraId="22D79490" w14:textId="77777777" w:rsidR="007C384E" w:rsidRDefault="007C384E">
      <w:pPr>
        <w:pStyle w:val="TOC5"/>
        <w:rPr>
          <w:noProof/>
          <w:szCs w:val="24"/>
          <w:lang w:val="en-AU" w:eastAsia="en-AU"/>
        </w:rPr>
      </w:pPr>
      <w:r>
        <w:rPr>
          <w:noProof/>
        </w:rPr>
        <w:t>7.4.2.2  Customer Antenna Siting</w:t>
      </w:r>
      <w:r>
        <w:rPr>
          <w:noProof/>
        </w:rPr>
        <w:tab/>
      </w:r>
      <w:r>
        <w:rPr>
          <w:noProof/>
        </w:rPr>
        <w:fldChar w:fldCharType="begin"/>
      </w:r>
      <w:r>
        <w:rPr>
          <w:noProof/>
        </w:rPr>
        <w:instrText xml:space="preserve"> PAGEREF _Toc242176806 \h </w:instrText>
      </w:r>
      <w:r w:rsidR="00D75854">
        <w:rPr>
          <w:noProof/>
        </w:rPr>
      </w:r>
      <w:r>
        <w:rPr>
          <w:noProof/>
        </w:rPr>
        <w:fldChar w:fldCharType="separate"/>
      </w:r>
      <w:r w:rsidR="004D3A0E">
        <w:rPr>
          <w:noProof/>
        </w:rPr>
        <w:t>10</w:t>
      </w:r>
      <w:r>
        <w:rPr>
          <w:noProof/>
        </w:rPr>
        <w:fldChar w:fldCharType="end"/>
      </w:r>
    </w:p>
    <w:p w14:paraId="436B1F6B" w14:textId="77777777" w:rsidR="007C384E" w:rsidRDefault="007C384E">
      <w:pPr>
        <w:pStyle w:val="TOC5"/>
        <w:rPr>
          <w:noProof/>
          <w:szCs w:val="24"/>
          <w:lang w:val="en-AU" w:eastAsia="en-AU"/>
        </w:rPr>
      </w:pPr>
      <w:r>
        <w:rPr>
          <w:noProof/>
        </w:rPr>
        <w:t>7.4.2.3  Re-use Flexibility</w:t>
      </w:r>
      <w:r>
        <w:rPr>
          <w:noProof/>
        </w:rPr>
        <w:tab/>
      </w:r>
      <w:r>
        <w:rPr>
          <w:noProof/>
        </w:rPr>
        <w:fldChar w:fldCharType="begin"/>
      </w:r>
      <w:r>
        <w:rPr>
          <w:noProof/>
        </w:rPr>
        <w:instrText xml:space="preserve"> PAGEREF _Toc242176807 \h </w:instrText>
      </w:r>
      <w:r w:rsidR="00D75854">
        <w:rPr>
          <w:noProof/>
        </w:rPr>
      </w:r>
      <w:r>
        <w:rPr>
          <w:noProof/>
        </w:rPr>
        <w:fldChar w:fldCharType="separate"/>
      </w:r>
      <w:r w:rsidR="004D3A0E">
        <w:rPr>
          <w:noProof/>
        </w:rPr>
        <w:t>10</w:t>
      </w:r>
      <w:r>
        <w:rPr>
          <w:noProof/>
        </w:rPr>
        <w:fldChar w:fldCharType="end"/>
      </w:r>
    </w:p>
    <w:p w14:paraId="7FA1342B" w14:textId="77777777" w:rsidR="007C384E" w:rsidRDefault="007C384E">
      <w:pPr>
        <w:pStyle w:val="TOC4"/>
        <w:rPr>
          <w:noProof/>
          <w:szCs w:val="24"/>
          <w:lang w:val="en-AU" w:eastAsia="en-AU"/>
        </w:rPr>
      </w:pPr>
      <w:r>
        <w:rPr>
          <w:noProof/>
        </w:rPr>
        <w:t>7.4.3  Coordination Between Systems Operating in the Same Area, in Adjacent Bands</w:t>
      </w:r>
      <w:r>
        <w:rPr>
          <w:noProof/>
        </w:rPr>
        <w:tab/>
      </w:r>
      <w:r>
        <w:rPr>
          <w:noProof/>
        </w:rPr>
        <w:fldChar w:fldCharType="begin"/>
      </w:r>
      <w:r>
        <w:rPr>
          <w:noProof/>
        </w:rPr>
        <w:instrText xml:space="preserve"> PAGEREF _Toc242176808 \h </w:instrText>
      </w:r>
      <w:r w:rsidR="00D75854">
        <w:rPr>
          <w:noProof/>
        </w:rPr>
      </w:r>
      <w:r>
        <w:rPr>
          <w:noProof/>
        </w:rPr>
        <w:fldChar w:fldCharType="separate"/>
      </w:r>
      <w:r w:rsidR="004D3A0E">
        <w:rPr>
          <w:noProof/>
        </w:rPr>
        <w:t>11</w:t>
      </w:r>
      <w:r>
        <w:rPr>
          <w:noProof/>
        </w:rPr>
        <w:fldChar w:fldCharType="end"/>
      </w:r>
    </w:p>
    <w:p w14:paraId="665B4FD4" w14:textId="77777777" w:rsidR="007C384E" w:rsidRDefault="007C384E">
      <w:pPr>
        <w:pStyle w:val="TOC5"/>
        <w:rPr>
          <w:noProof/>
          <w:szCs w:val="24"/>
          <w:lang w:val="en-AU" w:eastAsia="en-AU"/>
        </w:rPr>
      </w:pPr>
      <w:r>
        <w:rPr>
          <w:noProof/>
        </w:rPr>
        <w:t>7.4.3.1  Re-use Distance</w:t>
      </w:r>
      <w:r>
        <w:rPr>
          <w:noProof/>
        </w:rPr>
        <w:tab/>
      </w:r>
      <w:r>
        <w:rPr>
          <w:noProof/>
        </w:rPr>
        <w:fldChar w:fldCharType="begin"/>
      </w:r>
      <w:r>
        <w:rPr>
          <w:noProof/>
        </w:rPr>
        <w:instrText xml:space="preserve"> PAGEREF _Toc242176809 \h </w:instrText>
      </w:r>
      <w:r w:rsidR="00D75854">
        <w:rPr>
          <w:noProof/>
        </w:rPr>
      </w:r>
      <w:r>
        <w:rPr>
          <w:noProof/>
        </w:rPr>
        <w:fldChar w:fldCharType="separate"/>
      </w:r>
      <w:r w:rsidR="004D3A0E">
        <w:rPr>
          <w:noProof/>
        </w:rPr>
        <w:t>11</w:t>
      </w:r>
      <w:r>
        <w:rPr>
          <w:noProof/>
        </w:rPr>
        <w:fldChar w:fldCharType="end"/>
      </w:r>
    </w:p>
    <w:p w14:paraId="58125BBE" w14:textId="77777777" w:rsidR="007C384E" w:rsidRDefault="007C384E">
      <w:pPr>
        <w:pStyle w:val="TOC5"/>
        <w:rPr>
          <w:noProof/>
          <w:szCs w:val="24"/>
          <w:lang w:val="en-AU" w:eastAsia="en-AU"/>
        </w:rPr>
      </w:pPr>
      <w:r>
        <w:rPr>
          <w:noProof/>
        </w:rPr>
        <w:t>7.4.3.2  Customer Antenna Siting</w:t>
      </w:r>
      <w:r>
        <w:rPr>
          <w:noProof/>
        </w:rPr>
        <w:tab/>
      </w:r>
      <w:r>
        <w:rPr>
          <w:noProof/>
        </w:rPr>
        <w:fldChar w:fldCharType="begin"/>
      </w:r>
      <w:r>
        <w:rPr>
          <w:noProof/>
        </w:rPr>
        <w:instrText xml:space="preserve"> PAGEREF _Toc242176810 \h </w:instrText>
      </w:r>
      <w:r w:rsidR="00D75854">
        <w:rPr>
          <w:noProof/>
        </w:rPr>
      </w:r>
      <w:r>
        <w:rPr>
          <w:noProof/>
        </w:rPr>
        <w:fldChar w:fldCharType="separate"/>
      </w:r>
      <w:r w:rsidR="004D3A0E">
        <w:rPr>
          <w:noProof/>
        </w:rPr>
        <w:t>11</w:t>
      </w:r>
      <w:r>
        <w:rPr>
          <w:noProof/>
        </w:rPr>
        <w:fldChar w:fldCharType="end"/>
      </w:r>
    </w:p>
    <w:p w14:paraId="53567F29" w14:textId="77777777" w:rsidR="007C384E" w:rsidRDefault="007C384E">
      <w:pPr>
        <w:pStyle w:val="TOC5"/>
        <w:rPr>
          <w:noProof/>
          <w:szCs w:val="24"/>
          <w:lang w:val="en-AU" w:eastAsia="en-AU"/>
        </w:rPr>
      </w:pPr>
      <w:r>
        <w:rPr>
          <w:noProof/>
        </w:rPr>
        <w:t>7.4.3.3  Re-use Flexibility</w:t>
      </w:r>
      <w:r>
        <w:rPr>
          <w:noProof/>
        </w:rPr>
        <w:tab/>
      </w:r>
      <w:r>
        <w:rPr>
          <w:noProof/>
        </w:rPr>
        <w:fldChar w:fldCharType="begin"/>
      </w:r>
      <w:r>
        <w:rPr>
          <w:noProof/>
        </w:rPr>
        <w:instrText xml:space="preserve"> PAGEREF _Toc242176811 \h </w:instrText>
      </w:r>
      <w:r w:rsidR="00D75854">
        <w:rPr>
          <w:noProof/>
        </w:rPr>
      </w:r>
      <w:r>
        <w:rPr>
          <w:noProof/>
        </w:rPr>
        <w:fldChar w:fldCharType="separate"/>
      </w:r>
      <w:r w:rsidR="004D3A0E">
        <w:rPr>
          <w:noProof/>
        </w:rPr>
        <w:t>11</w:t>
      </w:r>
      <w:r>
        <w:rPr>
          <w:noProof/>
        </w:rPr>
        <w:fldChar w:fldCharType="end"/>
      </w:r>
    </w:p>
    <w:p w14:paraId="38591A64" w14:textId="77777777" w:rsidR="007C384E" w:rsidRDefault="007C384E">
      <w:pPr>
        <w:pStyle w:val="TOC4"/>
        <w:rPr>
          <w:noProof/>
          <w:szCs w:val="24"/>
          <w:lang w:val="en-AU" w:eastAsia="en-AU"/>
        </w:rPr>
      </w:pPr>
      <w:r>
        <w:rPr>
          <w:noProof/>
        </w:rPr>
        <w:t xml:space="preserve">7.4.4  Coordination with areas covered by Schedule 1 of the </w:t>
      </w:r>
      <w:r w:rsidRPr="00183A56">
        <w:rPr>
          <w:i/>
          <w:noProof/>
        </w:rPr>
        <w:t>Radiocommunications (Spectrum Re</w:t>
      </w:r>
      <w:r w:rsidRPr="00183A56">
        <w:rPr>
          <w:i/>
          <w:noProof/>
        </w:rPr>
        <w:noBreakHyphen/>
        <w:t>allocation) Declaration 2000</w:t>
      </w:r>
      <w:r>
        <w:rPr>
          <w:noProof/>
        </w:rPr>
        <w:tab/>
      </w:r>
      <w:r>
        <w:rPr>
          <w:noProof/>
        </w:rPr>
        <w:fldChar w:fldCharType="begin"/>
      </w:r>
      <w:r>
        <w:rPr>
          <w:noProof/>
        </w:rPr>
        <w:instrText xml:space="preserve"> PAGEREF _Toc242176812 \h </w:instrText>
      </w:r>
      <w:r w:rsidR="00D75854">
        <w:rPr>
          <w:noProof/>
        </w:rPr>
      </w:r>
      <w:r>
        <w:rPr>
          <w:noProof/>
        </w:rPr>
        <w:fldChar w:fldCharType="separate"/>
      </w:r>
      <w:r w:rsidR="004D3A0E">
        <w:rPr>
          <w:noProof/>
        </w:rPr>
        <w:t>11</w:t>
      </w:r>
      <w:r>
        <w:rPr>
          <w:noProof/>
        </w:rPr>
        <w:fldChar w:fldCharType="end"/>
      </w:r>
    </w:p>
    <w:p w14:paraId="4D5647A4" w14:textId="77777777" w:rsidR="007C384E" w:rsidRDefault="007C384E">
      <w:pPr>
        <w:pStyle w:val="TOC3"/>
        <w:rPr>
          <w:caps w:val="0"/>
          <w:noProof/>
          <w:szCs w:val="24"/>
          <w:lang w:val="en-AU" w:eastAsia="en-AU"/>
        </w:rPr>
      </w:pPr>
      <w:r>
        <w:rPr>
          <w:noProof/>
        </w:rPr>
        <w:t>7.5  Average Terrain Height</w:t>
      </w:r>
      <w:r>
        <w:rPr>
          <w:noProof/>
        </w:rPr>
        <w:tab/>
      </w:r>
      <w:r>
        <w:rPr>
          <w:noProof/>
        </w:rPr>
        <w:fldChar w:fldCharType="begin"/>
      </w:r>
      <w:r>
        <w:rPr>
          <w:noProof/>
        </w:rPr>
        <w:instrText xml:space="preserve"> PAGEREF _Toc242176813 \h </w:instrText>
      </w:r>
      <w:r w:rsidR="00D75854">
        <w:rPr>
          <w:noProof/>
        </w:rPr>
      </w:r>
      <w:r>
        <w:rPr>
          <w:noProof/>
        </w:rPr>
        <w:fldChar w:fldCharType="separate"/>
      </w:r>
      <w:r w:rsidR="004D3A0E">
        <w:rPr>
          <w:noProof/>
        </w:rPr>
        <w:t>12</w:t>
      </w:r>
      <w:r>
        <w:rPr>
          <w:noProof/>
        </w:rPr>
        <w:fldChar w:fldCharType="end"/>
      </w:r>
    </w:p>
    <w:p w14:paraId="02074C34" w14:textId="77777777" w:rsidR="007C384E" w:rsidRDefault="007C384E">
      <w:pPr>
        <w:pStyle w:val="TOC3"/>
        <w:rPr>
          <w:caps w:val="0"/>
          <w:noProof/>
          <w:szCs w:val="24"/>
          <w:lang w:val="en-AU" w:eastAsia="en-AU"/>
        </w:rPr>
      </w:pPr>
      <w:r>
        <w:rPr>
          <w:noProof/>
        </w:rPr>
        <w:t>8.0  Spectrum Access Records</w:t>
      </w:r>
      <w:r>
        <w:rPr>
          <w:noProof/>
        </w:rPr>
        <w:tab/>
      </w:r>
      <w:r>
        <w:rPr>
          <w:noProof/>
        </w:rPr>
        <w:fldChar w:fldCharType="begin"/>
      </w:r>
      <w:r>
        <w:rPr>
          <w:noProof/>
        </w:rPr>
        <w:instrText xml:space="preserve"> PAGEREF _Toc242176814 \h </w:instrText>
      </w:r>
      <w:r w:rsidR="00D75854">
        <w:rPr>
          <w:noProof/>
        </w:rPr>
      </w:r>
      <w:r>
        <w:rPr>
          <w:noProof/>
        </w:rPr>
        <w:fldChar w:fldCharType="separate"/>
      </w:r>
      <w:r w:rsidR="004D3A0E">
        <w:rPr>
          <w:noProof/>
        </w:rPr>
        <w:t>13</w:t>
      </w:r>
      <w:r>
        <w:rPr>
          <w:noProof/>
        </w:rPr>
        <w:fldChar w:fldCharType="end"/>
      </w:r>
    </w:p>
    <w:p w14:paraId="6D031066" w14:textId="77777777" w:rsidR="007C384E" w:rsidRDefault="007C384E">
      <w:pPr>
        <w:pStyle w:val="TOC3"/>
        <w:rPr>
          <w:caps w:val="0"/>
          <w:noProof/>
          <w:szCs w:val="24"/>
          <w:lang w:val="en-AU" w:eastAsia="en-AU"/>
        </w:rPr>
      </w:pPr>
      <w:r>
        <w:rPr>
          <w:noProof/>
        </w:rPr>
        <w:t>RALI Authorisation</w:t>
      </w:r>
      <w:r>
        <w:rPr>
          <w:noProof/>
        </w:rPr>
        <w:tab/>
      </w:r>
      <w:r>
        <w:rPr>
          <w:noProof/>
        </w:rPr>
        <w:fldChar w:fldCharType="begin"/>
      </w:r>
      <w:r>
        <w:rPr>
          <w:noProof/>
        </w:rPr>
        <w:instrText xml:space="preserve"> PAGEREF _Toc242176815 \h </w:instrText>
      </w:r>
      <w:r w:rsidR="00D75854">
        <w:rPr>
          <w:noProof/>
        </w:rPr>
      </w:r>
      <w:r>
        <w:rPr>
          <w:noProof/>
        </w:rPr>
        <w:fldChar w:fldCharType="separate"/>
      </w:r>
      <w:r w:rsidR="004D3A0E">
        <w:rPr>
          <w:noProof/>
        </w:rPr>
        <w:t>13</w:t>
      </w:r>
      <w:r>
        <w:rPr>
          <w:noProof/>
        </w:rPr>
        <w:fldChar w:fldCharType="end"/>
      </w:r>
    </w:p>
    <w:p w14:paraId="29990B06" w14:textId="77777777" w:rsidR="007C384E" w:rsidRDefault="007C384E">
      <w:pPr>
        <w:pStyle w:val="TOC3"/>
        <w:rPr>
          <w:caps w:val="0"/>
          <w:noProof/>
          <w:szCs w:val="24"/>
          <w:lang w:val="en-AU" w:eastAsia="en-AU"/>
        </w:rPr>
      </w:pPr>
      <w:r>
        <w:rPr>
          <w:noProof/>
        </w:rPr>
        <w:lastRenderedPageBreak/>
        <w:t>Attachment 1</w:t>
      </w:r>
      <w:r>
        <w:rPr>
          <w:noProof/>
        </w:rPr>
        <w:tab/>
      </w:r>
      <w:r>
        <w:rPr>
          <w:noProof/>
        </w:rPr>
        <w:fldChar w:fldCharType="begin"/>
      </w:r>
      <w:r>
        <w:rPr>
          <w:noProof/>
        </w:rPr>
        <w:instrText xml:space="preserve"> PAGEREF _Toc242176816 \h </w:instrText>
      </w:r>
      <w:r w:rsidR="00D75854">
        <w:rPr>
          <w:noProof/>
        </w:rPr>
      </w:r>
      <w:r>
        <w:rPr>
          <w:noProof/>
        </w:rPr>
        <w:fldChar w:fldCharType="separate"/>
      </w:r>
      <w:r w:rsidR="004D3A0E">
        <w:rPr>
          <w:noProof/>
        </w:rPr>
        <w:t>14</w:t>
      </w:r>
      <w:r>
        <w:rPr>
          <w:noProof/>
        </w:rPr>
        <w:fldChar w:fldCharType="end"/>
      </w:r>
    </w:p>
    <w:p w14:paraId="6F48BA39" w14:textId="77777777" w:rsidR="007C384E" w:rsidRDefault="007C384E">
      <w:pPr>
        <w:pStyle w:val="TOC3"/>
        <w:rPr>
          <w:caps w:val="0"/>
          <w:noProof/>
          <w:szCs w:val="24"/>
          <w:lang w:val="en-AU" w:eastAsia="en-AU"/>
        </w:rPr>
      </w:pPr>
      <w:r>
        <w:rPr>
          <w:noProof/>
        </w:rPr>
        <w:t>Annex A - Emission Limits for Point to Multipoint Systems Operating in the 3.4 GHz Band</w:t>
      </w:r>
      <w:r>
        <w:rPr>
          <w:noProof/>
        </w:rPr>
        <w:tab/>
      </w:r>
      <w:r>
        <w:rPr>
          <w:noProof/>
        </w:rPr>
        <w:fldChar w:fldCharType="begin"/>
      </w:r>
      <w:r>
        <w:rPr>
          <w:noProof/>
        </w:rPr>
        <w:instrText xml:space="preserve"> PAGEREF _Toc242176817 \h </w:instrText>
      </w:r>
      <w:r w:rsidR="00D75854">
        <w:rPr>
          <w:noProof/>
        </w:rPr>
      </w:r>
      <w:r>
        <w:rPr>
          <w:noProof/>
        </w:rPr>
        <w:fldChar w:fldCharType="separate"/>
      </w:r>
      <w:r w:rsidR="004D3A0E">
        <w:rPr>
          <w:noProof/>
        </w:rPr>
        <w:t>15</w:t>
      </w:r>
      <w:r>
        <w:rPr>
          <w:noProof/>
        </w:rPr>
        <w:fldChar w:fldCharType="end"/>
      </w:r>
    </w:p>
    <w:p w14:paraId="541CFCC4" w14:textId="77777777" w:rsidR="007C384E" w:rsidRDefault="007C384E">
      <w:pPr>
        <w:pStyle w:val="TOC3"/>
        <w:rPr>
          <w:caps w:val="0"/>
          <w:noProof/>
          <w:szCs w:val="24"/>
          <w:lang w:val="en-AU" w:eastAsia="en-AU"/>
        </w:rPr>
      </w:pPr>
      <w:r>
        <w:rPr>
          <w:noProof/>
        </w:rPr>
        <w:t>Annex B - Brief Rationale for Coordination Parameters used in this RALI</w:t>
      </w:r>
      <w:r>
        <w:rPr>
          <w:noProof/>
        </w:rPr>
        <w:tab/>
      </w:r>
      <w:r>
        <w:rPr>
          <w:noProof/>
        </w:rPr>
        <w:fldChar w:fldCharType="begin"/>
      </w:r>
      <w:r>
        <w:rPr>
          <w:noProof/>
        </w:rPr>
        <w:instrText xml:space="preserve"> PAGEREF _Toc242176818 \h </w:instrText>
      </w:r>
      <w:r w:rsidR="00D75854">
        <w:rPr>
          <w:noProof/>
        </w:rPr>
      </w:r>
      <w:r>
        <w:rPr>
          <w:noProof/>
        </w:rPr>
        <w:fldChar w:fldCharType="separate"/>
      </w:r>
      <w:r w:rsidR="004D3A0E">
        <w:rPr>
          <w:noProof/>
        </w:rPr>
        <w:t>16</w:t>
      </w:r>
      <w:r>
        <w:rPr>
          <w:noProof/>
        </w:rPr>
        <w:fldChar w:fldCharType="end"/>
      </w:r>
    </w:p>
    <w:p w14:paraId="7719BFF2" w14:textId="77777777" w:rsidR="007C384E" w:rsidRDefault="007C384E">
      <w:pPr>
        <w:pStyle w:val="TOC4"/>
        <w:rPr>
          <w:noProof/>
          <w:szCs w:val="24"/>
          <w:lang w:val="en-AU" w:eastAsia="en-AU"/>
        </w:rPr>
      </w:pPr>
      <w:r>
        <w:rPr>
          <w:noProof/>
        </w:rPr>
        <w:t>B.1  Re-use Distance</w:t>
      </w:r>
      <w:r>
        <w:rPr>
          <w:noProof/>
        </w:rPr>
        <w:tab/>
      </w:r>
      <w:r>
        <w:rPr>
          <w:noProof/>
        </w:rPr>
        <w:fldChar w:fldCharType="begin"/>
      </w:r>
      <w:r>
        <w:rPr>
          <w:noProof/>
        </w:rPr>
        <w:instrText xml:space="preserve"> PAGEREF _Toc242176819 \h </w:instrText>
      </w:r>
      <w:r w:rsidR="00D75854">
        <w:rPr>
          <w:noProof/>
        </w:rPr>
      </w:r>
      <w:r>
        <w:rPr>
          <w:noProof/>
        </w:rPr>
        <w:fldChar w:fldCharType="separate"/>
      </w:r>
      <w:r w:rsidR="004D3A0E">
        <w:rPr>
          <w:noProof/>
        </w:rPr>
        <w:t>16</w:t>
      </w:r>
      <w:r>
        <w:rPr>
          <w:noProof/>
        </w:rPr>
        <w:fldChar w:fldCharType="end"/>
      </w:r>
    </w:p>
    <w:p w14:paraId="31E59177" w14:textId="77777777" w:rsidR="007C384E" w:rsidRDefault="007C384E">
      <w:pPr>
        <w:pStyle w:val="TOC4"/>
        <w:rPr>
          <w:noProof/>
          <w:szCs w:val="24"/>
          <w:lang w:val="en-AU" w:eastAsia="en-AU"/>
        </w:rPr>
      </w:pPr>
      <w:r>
        <w:rPr>
          <w:noProof/>
        </w:rPr>
        <w:t>B.2  Path Loss Required Between Co-Channel Adjacent Systems</w:t>
      </w:r>
      <w:r>
        <w:rPr>
          <w:noProof/>
        </w:rPr>
        <w:tab/>
      </w:r>
      <w:r>
        <w:rPr>
          <w:noProof/>
        </w:rPr>
        <w:fldChar w:fldCharType="begin"/>
      </w:r>
      <w:r>
        <w:rPr>
          <w:noProof/>
        </w:rPr>
        <w:instrText xml:space="preserve"> PAGEREF _Toc242176820 \h </w:instrText>
      </w:r>
      <w:r w:rsidR="00D75854">
        <w:rPr>
          <w:noProof/>
        </w:rPr>
      </w:r>
      <w:r>
        <w:rPr>
          <w:noProof/>
        </w:rPr>
        <w:fldChar w:fldCharType="separate"/>
      </w:r>
      <w:r w:rsidR="004D3A0E">
        <w:rPr>
          <w:noProof/>
        </w:rPr>
        <w:t>17</w:t>
      </w:r>
      <w:r>
        <w:rPr>
          <w:noProof/>
        </w:rPr>
        <w:fldChar w:fldCharType="end"/>
      </w:r>
    </w:p>
    <w:p w14:paraId="4F0A4118" w14:textId="77777777" w:rsidR="007C384E" w:rsidRDefault="007C384E">
      <w:pPr>
        <w:pStyle w:val="TOC4"/>
        <w:rPr>
          <w:noProof/>
        </w:rPr>
      </w:pPr>
      <w:r>
        <w:rPr>
          <w:noProof/>
        </w:rPr>
        <w:t>B.3  Reference</w:t>
      </w:r>
      <w:r>
        <w:rPr>
          <w:noProof/>
        </w:rPr>
        <w:tab/>
      </w:r>
      <w:r>
        <w:rPr>
          <w:noProof/>
        </w:rPr>
        <w:fldChar w:fldCharType="begin"/>
      </w:r>
      <w:r>
        <w:rPr>
          <w:noProof/>
        </w:rPr>
        <w:instrText xml:space="preserve"> PAGEREF _Toc242176821 \h </w:instrText>
      </w:r>
      <w:r w:rsidR="00D75854">
        <w:rPr>
          <w:noProof/>
        </w:rPr>
      </w:r>
      <w:r>
        <w:rPr>
          <w:noProof/>
        </w:rPr>
        <w:fldChar w:fldCharType="separate"/>
      </w:r>
      <w:r w:rsidR="004D3A0E">
        <w:rPr>
          <w:noProof/>
        </w:rPr>
        <w:t>17</w:t>
      </w:r>
      <w:r>
        <w:rPr>
          <w:noProof/>
        </w:rPr>
        <w:fldChar w:fldCharType="end"/>
      </w:r>
    </w:p>
    <w:p w14:paraId="57701EC4" w14:textId="77777777" w:rsidR="00563640" w:rsidRDefault="00563640" w:rsidP="00062AFF">
      <w:pPr>
        <w:rPr>
          <w:noProof/>
        </w:rPr>
      </w:pPr>
    </w:p>
    <w:p w14:paraId="0359385F" w14:textId="77777777" w:rsidR="00563640" w:rsidRPr="00CC3983" w:rsidRDefault="00563640" w:rsidP="00563640">
      <w:pPr>
        <w:pStyle w:val="TOC2"/>
        <w:ind w:left="2552" w:hanging="2552"/>
        <w:rPr>
          <w:noProof/>
          <w:snapToGrid w:val="0"/>
          <w:sz w:val="28"/>
          <w:lang w:val="en-AU" w:eastAsia="en-US"/>
        </w:rPr>
      </w:pPr>
      <w:r>
        <w:rPr>
          <w:noProof/>
        </w:rPr>
        <w:br w:type="page"/>
      </w:r>
      <w:r w:rsidRPr="00CC3983">
        <w:rPr>
          <w:b w:val="0"/>
          <w:noProof/>
          <w:snapToGrid w:val="0"/>
          <w:sz w:val="28"/>
          <w:lang w:val="en-AU" w:eastAsia="en-US"/>
        </w:rPr>
        <w:lastRenderedPageBreak/>
        <w:t>Amendment History</w:t>
      </w:r>
    </w:p>
    <w:tbl>
      <w:tblPr>
        <w:tblW w:w="73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2088"/>
        <w:gridCol w:w="5220"/>
      </w:tblGrid>
      <w:tr w:rsidR="00990DBD" w:rsidRPr="00CC3983" w14:paraId="7BFE5359" w14:textId="77777777" w:rsidTr="00062AFF">
        <w:tc>
          <w:tcPr>
            <w:tcW w:w="2088" w:type="dxa"/>
            <w:tcBorders>
              <w:top w:val="single" w:sz="12" w:space="0" w:color="auto"/>
              <w:left w:val="single" w:sz="12" w:space="0" w:color="auto"/>
              <w:bottom w:val="single" w:sz="18" w:space="0" w:color="auto"/>
              <w:right w:val="single" w:sz="4" w:space="0" w:color="auto"/>
            </w:tcBorders>
          </w:tcPr>
          <w:p w14:paraId="10D44EF6" w14:textId="77777777" w:rsidR="00990DBD" w:rsidRPr="00CC3983" w:rsidRDefault="00990DBD" w:rsidP="00F57BA9">
            <w:pPr>
              <w:spacing w:after="0"/>
              <w:rPr>
                <w:b/>
                <w:noProof/>
                <w:lang w:val="en-AU"/>
              </w:rPr>
            </w:pPr>
            <w:r w:rsidRPr="00CC3983">
              <w:rPr>
                <w:b/>
                <w:noProof/>
                <w:snapToGrid w:val="0"/>
                <w:lang w:val="en-AU" w:eastAsia="en-US"/>
              </w:rPr>
              <w:t>Date of Effect</w:t>
            </w:r>
          </w:p>
        </w:tc>
        <w:tc>
          <w:tcPr>
            <w:tcW w:w="5220" w:type="dxa"/>
            <w:tcBorders>
              <w:top w:val="single" w:sz="12" w:space="0" w:color="auto"/>
              <w:left w:val="nil"/>
              <w:bottom w:val="single" w:sz="18" w:space="0" w:color="auto"/>
              <w:right w:val="single" w:sz="12" w:space="0" w:color="auto"/>
            </w:tcBorders>
          </w:tcPr>
          <w:p w14:paraId="3BE5DA8E" w14:textId="77777777" w:rsidR="00990DBD" w:rsidRPr="00CC3983" w:rsidRDefault="00990DBD" w:rsidP="00F57BA9">
            <w:pPr>
              <w:spacing w:after="0"/>
              <w:rPr>
                <w:b/>
                <w:noProof/>
                <w:lang w:val="en-AU"/>
              </w:rPr>
            </w:pPr>
            <w:r w:rsidRPr="00CC3983">
              <w:rPr>
                <w:b/>
                <w:noProof/>
                <w:snapToGrid w:val="0"/>
                <w:lang w:val="en-AU" w:eastAsia="en-US"/>
              </w:rPr>
              <w:t>Comments</w:t>
            </w:r>
          </w:p>
        </w:tc>
      </w:tr>
      <w:tr w:rsidR="00990DBD" w:rsidRPr="00CC3983" w14:paraId="4EDF9465" w14:textId="77777777" w:rsidTr="00062AFF">
        <w:tc>
          <w:tcPr>
            <w:tcW w:w="2088" w:type="dxa"/>
            <w:tcBorders>
              <w:top w:val="single" w:sz="12" w:space="0" w:color="auto"/>
              <w:left w:val="single" w:sz="12" w:space="0" w:color="auto"/>
              <w:bottom w:val="single" w:sz="12" w:space="0" w:color="auto"/>
              <w:right w:val="single" w:sz="4" w:space="0" w:color="auto"/>
            </w:tcBorders>
          </w:tcPr>
          <w:p w14:paraId="66D06E66" w14:textId="77777777" w:rsidR="00990DBD" w:rsidRPr="0046521A" w:rsidRDefault="00062AFF" w:rsidP="00062AFF">
            <w:pPr>
              <w:spacing w:after="0"/>
              <w:rPr>
                <w:noProof/>
                <w:snapToGrid w:val="0"/>
                <w:lang w:val="en-AU" w:eastAsia="en-US"/>
              </w:rPr>
            </w:pPr>
            <w:r>
              <w:rPr>
                <w:noProof/>
                <w:snapToGrid w:val="0"/>
                <w:lang w:val="en-AU" w:eastAsia="en-US"/>
              </w:rPr>
              <w:t>11/8/</w:t>
            </w:r>
            <w:r w:rsidR="00990DBD">
              <w:rPr>
                <w:noProof/>
                <w:snapToGrid w:val="0"/>
                <w:lang w:val="en-AU" w:eastAsia="en-US"/>
              </w:rPr>
              <w:t>2015</w:t>
            </w:r>
          </w:p>
        </w:tc>
        <w:tc>
          <w:tcPr>
            <w:tcW w:w="5220" w:type="dxa"/>
            <w:tcBorders>
              <w:top w:val="single" w:sz="12" w:space="0" w:color="auto"/>
              <w:left w:val="nil"/>
              <w:bottom w:val="single" w:sz="12" w:space="0" w:color="auto"/>
              <w:right w:val="single" w:sz="12" w:space="0" w:color="auto"/>
            </w:tcBorders>
          </w:tcPr>
          <w:p w14:paraId="65281CA3" w14:textId="77777777" w:rsidR="00990DBD" w:rsidRPr="00696650" w:rsidRDefault="00990DBD" w:rsidP="00D14831">
            <w:pPr>
              <w:rPr>
                <w:noProof/>
                <w:snapToGrid w:val="0"/>
                <w:lang w:val="en-AU" w:eastAsia="en-US"/>
              </w:rPr>
            </w:pPr>
            <w:r>
              <w:rPr>
                <w:noProof/>
                <w:snapToGrid w:val="0"/>
                <w:lang w:val="en-AU" w:eastAsia="en-US"/>
              </w:rPr>
              <w:t>Updated to include coordination requirements with PTS licences in the 3.5 GHz band</w:t>
            </w:r>
            <w:r w:rsidR="003B6FFD">
              <w:rPr>
                <w:noProof/>
                <w:snapToGrid w:val="0"/>
                <w:lang w:val="en-AU" w:eastAsia="en-US"/>
              </w:rPr>
              <w:t xml:space="preserve"> and ARQZWA</w:t>
            </w:r>
            <w:r>
              <w:rPr>
                <w:noProof/>
                <w:snapToGrid w:val="0"/>
                <w:lang w:val="en-AU" w:eastAsia="en-US"/>
              </w:rPr>
              <w:t xml:space="preserve">. </w:t>
            </w:r>
            <w:r w:rsidR="00D14831">
              <w:rPr>
                <w:noProof/>
                <w:snapToGrid w:val="0"/>
                <w:lang w:val="en-AU" w:eastAsia="en-US"/>
              </w:rPr>
              <w:t>Numerous other e</w:t>
            </w:r>
            <w:r>
              <w:rPr>
                <w:noProof/>
                <w:snapToGrid w:val="0"/>
                <w:lang w:val="en-AU" w:eastAsia="en-US"/>
              </w:rPr>
              <w:t>ditorial updates</w:t>
            </w:r>
            <w:r w:rsidR="00D14831">
              <w:rPr>
                <w:noProof/>
                <w:snapToGrid w:val="0"/>
                <w:lang w:val="en-AU" w:eastAsia="en-US"/>
              </w:rPr>
              <w:t xml:space="preserve"> made</w:t>
            </w:r>
            <w:r>
              <w:rPr>
                <w:noProof/>
                <w:snapToGrid w:val="0"/>
                <w:lang w:val="en-AU" w:eastAsia="en-US"/>
              </w:rPr>
              <w:t>.</w:t>
            </w:r>
          </w:p>
        </w:tc>
      </w:tr>
      <w:tr w:rsidR="00990DBD" w:rsidRPr="00CC3983" w14:paraId="2A9ED542" w14:textId="77777777" w:rsidTr="00062AFF">
        <w:tc>
          <w:tcPr>
            <w:tcW w:w="2088" w:type="dxa"/>
            <w:tcBorders>
              <w:top w:val="single" w:sz="12" w:space="0" w:color="auto"/>
              <w:left w:val="single" w:sz="12" w:space="0" w:color="auto"/>
              <w:bottom w:val="single" w:sz="12" w:space="0" w:color="auto"/>
              <w:right w:val="single" w:sz="4" w:space="0" w:color="auto"/>
            </w:tcBorders>
          </w:tcPr>
          <w:p w14:paraId="724CD834" w14:textId="77777777" w:rsidR="00990DBD" w:rsidRDefault="00990DBD" w:rsidP="00990DBD">
            <w:pPr>
              <w:spacing w:after="0"/>
              <w:rPr>
                <w:noProof/>
                <w:snapToGrid w:val="0"/>
                <w:lang w:val="en-AU" w:eastAsia="en-US"/>
              </w:rPr>
            </w:pPr>
            <w:r>
              <w:rPr>
                <w:noProof/>
                <w:snapToGrid w:val="0"/>
                <w:lang w:val="en-AU" w:eastAsia="en-US"/>
              </w:rPr>
              <w:t>1997 - 30 September 2009</w:t>
            </w:r>
          </w:p>
        </w:tc>
        <w:tc>
          <w:tcPr>
            <w:tcW w:w="5220" w:type="dxa"/>
            <w:tcBorders>
              <w:top w:val="single" w:sz="12" w:space="0" w:color="auto"/>
              <w:left w:val="nil"/>
              <w:bottom w:val="single" w:sz="12" w:space="0" w:color="auto"/>
              <w:right w:val="single" w:sz="12" w:space="0" w:color="auto"/>
            </w:tcBorders>
          </w:tcPr>
          <w:p w14:paraId="090F4A37" w14:textId="77777777" w:rsidR="00990DBD" w:rsidRPr="00696650" w:rsidRDefault="00990DBD" w:rsidP="00990DBD">
            <w:pPr>
              <w:rPr>
                <w:noProof/>
                <w:snapToGrid w:val="0"/>
                <w:lang w:val="en-AU" w:eastAsia="en-US"/>
              </w:rPr>
            </w:pPr>
            <w:r>
              <w:rPr>
                <w:noProof/>
                <w:snapToGrid w:val="0"/>
                <w:lang w:val="en-AU" w:eastAsia="en-US"/>
              </w:rPr>
              <w:t>Numerous updates made. These include: criteria for coordination with spectrum licences as well as editorial updates (e.g. references to ACA updated to ACMA).</w:t>
            </w:r>
          </w:p>
        </w:tc>
      </w:tr>
      <w:tr w:rsidR="00990DBD" w:rsidRPr="00CC3983" w14:paraId="551149C0" w14:textId="77777777" w:rsidTr="00062AFF">
        <w:tc>
          <w:tcPr>
            <w:tcW w:w="2088" w:type="dxa"/>
            <w:tcBorders>
              <w:top w:val="single" w:sz="12" w:space="0" w:color="auto"/>
              <w:left w:val="single" w:sz="12" w:space="0" w:color="auto"/>
              <w:bottom w:val="single" w:sz="18" w:space="0" w:color="auto"/>
              <w:right w:val="single" w:sz="4" w:space="0" w:color="auto"/>
            </w:tcBorders>
          </w:tcPr>
          <w:p w14:paraId="2A67FE13" w14:textId="77777777" w:rsidR="00990DBD" w:rsidRDefault="00990DBD" w:rsidP="00F57BA9">
            <w:pPr>
              <w:spacing w:after="0"/>
              <w:rPr>
                <w:noProof/>
                <w:snapToGrid w:val="0"/>
                <w:lang w:val="en-AU" w:eastAsia="en-US"/>
              </w:rPr>
            </w:pPr>
            <w:r>
              <w:rPr>
                <w:noProof/>
                <w:snapToGrid w:val="0"/>
                <w:lang w:val="en-AU" w:eastAsia="en-US"/>
              </w:rPr>
              <w:t>1997</w:t>
            </w:r>
          </w:p>
        </w:tc>
        <w:tc>
          <w:tcPr>
            <w:tcW w:w="5220" w:type="dxa"/>
            <w:tcBorders>
              <w:top w:val="single" w:sz="12" w:space="0" w:color="auto"/>
              <w:left w:val="nil"/>
              <w:bottom w:val="single" w:sz="18" w:space="0" w:color="auto"/>
              <w:right w:val="single" w:sz="12" w:space="0" w:color="auto"/>
            </w:tcBorders>
          </w:tcPr>
          <w:p w14:paraId="728AE21C" w14:textId="77777777" w:rsidR="00990DBD" w:rsidRPr="00696650" w:rsidRDefault="00990DBD" w:rsidP="00F57BA9">
            <w:pPr>
              <w:rPr>
                <w:noProof/>
                <w:snapToGrid w:val="0"/>
                <w:lang w:val="en-AU" w:eastAsia="en-US"/>
              </w:rPr>
            </w:pPr>
            <w:r>
              <w:rPr>
                <w:noProof/>
                <w:snapToGrid w:val="0"/>
                <w:lang w:val="en-AU" w:eastAsia="en-US"/>
              </w:rPr>
              <w:t>Initial release</w:t>
            </w:r>
          </w:p>
        </w:tc>
      </w:tr>
    </w:tbl>
    <w:p w14:paraId="13473514" w14:textId="77777777" w:rsidR="00563640" w:rsidRPr="00062AFF" w:rsidRDefault="00563640" w:rsidP="00062AFF">
      <w:pPr>
        <w:rPr>
          <w:noProof/>
        </w:rPr>
      </w:pPr>
    </w:p>
    <w:p w14:paraId="2DCBEA14" w14:textId="77777777" w:rsidR="00AC5CD3" w:rsidRDefault="00AC5CD3">
      <w:pPr>
        <w:pBdr>
          <w:top w:val="single" w:sz="18" w:space="1" w:color="auto"/>
        </w:pBdr>
        <w:rPr>
          <w:b/>
          <w:caps/>
          <w:sz w:val="20"/>
        </w:rPr>
        <w:sectPr w:rsidR="00AC5CD3">
          <w:headerReference w:type="default" r:id="rId22"/>
          <w:footerReference w:type="default" r:id="rId23"/>
          <w:type w:val="continuous"/>
          <w:pgSz w:w="11907" w:h="16840" w:code="9"/>
          <w:pgMar w:top="1134" w:right="1134" w:bottom="1134" w:left="1418" w:header="720" w:footer="720" w:gutter="0"/>
          <w:paperSrc w:first="41" w:other="41"/>
          <w:pgNumType w:fmt="lowerRoman" w:start="1"/>
          <w:cols w:space="720"/>
        </w:sectPr>
      </w:pPr>
      <w:r>
        <w:rPr>
          <w:b/>
          <w:caps/>
          <w:sz w:val="20"/>
        </w:rPr>
        <w:fldChar w:fldCharType="end"/>
      </w:r>
    </w:p>
    <w:p w14:paraId="02DFC262" w14:textId="77777777" w:rsidR="00AC5CD3" w:rsidRDefault="00AC5CD3">
      <w:pPr>
        <w:pBdr>
          <w:top w:val="single" w:sz="18" w:space="1" w:color="auto"/>
        </w:pBdr>
        <w:rPr>
          <w:b/>
          <w:caps/>
          <w:sz w:val="20"/>
        </w:rPr>
      </w:pPr>
    </w:p>
    <w:p w14:paraId="5D30D728" w14:textId="77777777" w:rsidR="00AC5CD3" w:rsidRDefault="00AC5CD3">
      <w:pPr>
        <w:pStyle w:val="Heading2"/>
        <w:rPr>
          <w:caps/>
        </w:rPr>
      </w:pPr>
      <w:bookmarkStart w:id="4" w:name="_Toc416767987"/>
      <w:bookmarkStart w:id="5" w:name="_Toc417275611"/>
      <w:bookmarkStart w:id="6" w:name="_Toc419254197"/>
      <w:bookmarkStart w:id="7" w:name="_Toc419260251"/>
      <w:bookmarkStart w:id="8" w:name="_Toc431373458"/>
      <w:bookmarkStart w:id="9" w:name="_Toc431373565"/>
      <w:bookmarkStart w:id="10" w:name="_Toc431635101"/>
      <w:bookmarkStart w:id="11" w:name="_Toc431635230"/>
      <w:bookmarkStart w:id="12" w:name="_Toc464025823"/>
      <w:bookmarkStart w:id="13" w:name="_Toc242176784"/>
      <w:r>
        <w:t>Point to Multipoint</w:t>
      </w:r>
      <w:bookmarkEnd w:id="4"/>
      <w:bookmarkEnd w:id="5"/>
      <w:bookmarkEnd w:id="6"/>
      <w:r>
        <w:t xml:space="preserve"> Fixed Services</w:t>
      </w:r>
      <w:bookmarkEnd w:id="7"/>
      <w:r>
        <w:t xml:space="preserve"> in Specified Parts of the </w:t>
      </w:r>
      <w:r>
        <w:rPr>
          <w:caps/>
        </w:rPr>
        <w:t>3.4</w:t>
      </w:r>
      <w:r>
        <w:rPr>
          <w:caps/>
        </w:rPr>
        <w:noBreakHyphen/>
        <w:t>3.5 </w:t>
      </w:r>
      <w:r>
        <w:t>GHz Band</w:t>
      </w:r>
      <w:bookmarkEnd w:id="8"/>
      <w:bookmarkEnd w:id="9"/>
      <w:bookmarkEnd w:id="10"/>
      <w:bookmarkEnd w:id="11"/>
      <w:bookmarkEnd w:id="12"/>
      <w:bookmarkEnd w:id="13"/>
    </w:p>
    <w:p w14:paraId="35BB0428" w14:textId="77777777" w:rsidR="00AC5CD3" w:rsidRDefault="00AC5CD3">
      <w:pPr>
        <w:pStyle w:val="Heading3"/>
        <w:spacing w:before="240" w:after="120"/>
      </w:pPr>
      <w:bookmarkStart w:id="14" w:name="_Toc348860061"/>
      <w:bookmarkStart w:id="15" w:name="_Toc354802998"/>
      <w:bookmarkStart w:id="16" w:name="_Toc354803047"/>
      <w:bookmarkStart w:id="17" w:name="_Toc411313369"/>
      <w:bookmarkStart w:id="18" w:name="_Toc411313706"/>
      <w:bookmarkStart w:id="19" w:name="_Toc411313803"/>
      <w:bookmarkStart w:id="20" w:name="_Toc411396530"/>
      <w:bookmarkStart w:id="21" w:name="_Toc411396629"/>
      <w:bookmarkStart w:id="22" w:name="_Toc411735880"/>
      <w:bookmarkStart w:id="23" w:name="_Toc411736126"/>
      <w:bookmarkStart w:id="24" w:name="_Toc411825933"/>
      <w:bookmarkStart w:id="25" w:name="_Toc411825971"/>
      <w:bookmarkStart w:id="26" w:name="_Toc411826310"/>
      <w:bookmarkStart w:id="27" w:name="_Toc411908115"/>
      <w:bookmarkStart w:id="28" w:name="_Toc411908287"/>
      <w:bookmarkStart w:id="29" w:name="_Toc411917635"/>
      <w:bookmarkStart w:id="30" w:name="_Toc413653376"/>
      <w:bookmarkStart w:id="31" w:name="_Toc414416552"/>
      <w:bookmarkStart w:id="32" w:name="_Toc414416580"/>
      <w:bookmarkStart w:id="33" w:name="_Toc416767873"/>
      <w:bookmarkStart w:id="34" w:name="_Toc416767988"/>
      <w:bookmarkStart w:id="35" w:name="_Toc417275612"/>
      <w:bookmarkStart w:id="36" w:name="_Toc419254198"/>
      <w:bookmarkStart w:id="37" w:name="_Toc419260252"/>
      <w:bookmarkStart w:id="38" w:name="_Toc431373459"/>
      <w:bookmarkStart w:id="39" w:name="_Toc431373566"/>
      <w:bookmarkStart w:id="40" w:name="_Toc431635102"/>
      <w:bookmarkStart w:id="41" w:name="_Toc431635231"/>
      <w:bookmarkStart w:id="42" w:name="_Toc464025824"/>
      <w:bookmarkStart w:id="43" w:name="_Toc242176785"/>
      <w:proofErr w:type="gramStart"/>
      <w:r>
        <w:t>1.0  Introduction</w:t>
      </w:r>
      <w:bookmarkEnd w:id="33"/>
      <w:bookmarkEnd w:id="34"/>
      <w:bookmarkEnd w:id="35"/>
      <w:bookmarkEnd w:id="36"/>
      <w:bookmarkEnd w:id="37"/>
      <w:bookmarkEnd w:id="38"/>
      <w:bookmarkEnd w:id="39"/>
      <w:bookmarkEnd w:id="40"/>
      <w:bookmarkEnd w:id="41"/>
      <w:bookmarkEnd w:id="42"/>
      <w:bookmarkEnd w:id="43"/>
      <w:proofErr w:type="gramEnd"/>
    </w:p>
    <w:p w14:paraId="629B4F37" w14:textId="77777777" w:rsidR="00AC5CD3" w:rsidRDefault="00AC5CD3">
      <w:pPr>
        <w:pStyle w:val="Heading4"/>
        <w:spacing w:before="120" w:after="120"/>
      </w:pPr>
      <w:bookmarkStart w:id="44" w:name="_Toc416767874"/>
      <w:bookmarkStart w:id="45" w:name="_Toc416767989"/>
      <w:bookmarkStart w:id="46" w:name="_Toc417275613"/>
      <w:bookmarkStart w:id="47" w:name="_Toc419254199"/>
      <w:bookmarkStart w:id="48" w:name="_Toc419260253"/>
      <w:bookmarkStart w:id="49" w:name="_Toc431373460"/>
      <w:bookmarkStart w:id="50" w:name="_Toc431373567"/>
      <w:bookmarkStart w:id="51" w:name="_Toc431635103"/>
      <w:bookmarkStart w:id="52" w:name="_Toc431635232"/>
      <w:bookmarkStart w:id="53" w:name="_Toc464025825"/>
      <w:bookmarkStart w:id="54" w:name="_Toc242176786"/>
      <w:proofErr w:type="gramStart"/>
      <w:r>
        <w:t>1.1  Purpose</w:t>
      </w:r>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44"/>
      <w:bookmarkEnd w:id="45"/>
      <w:bookmarkEnd w:id="46"/>
      <w:bookmarkEnd w:id="47"/>
      <w:bookmarkEnd w:id="48"/>
      <w:bookmarkEnd w:id="49"/>
      <w:bookmarkEnd w:id="50"/>
      <w:bookmarkEnd w:id="51"/>
      <w:bookmarkEnd w:id="52"/>
      <w:bookmarkEnd w:id="53"/>
      <w:bookmarkEnd w:id="54"/>
      <w:proofErr w:type="gramEnd"/>
    </w:p>
    <w:p w14:paraId="7B3AE544" w14:textId="77777777" w:rsidR="00AC5CD3" w:rsidRDefault="00AC5CD3">
      <w:pPr>
        <w:tabs>
          <w:tab w:val="left" w:pos="8505"/>
          <w:tab w:val="right" w:pos="9356"/>
        </w:tabs>
        <w:ind w:right="-1"/>
      </w:pPr>
      <w:r>
        <w:t>The purpose of this Radiocommunications Assignment and Licensing Instruction (RALI) is to provide information about, and describe procedures for, the frequency coordination and apparatus licensing of point to multipoint services in specified parts of the 3.4 - 3.5 GHz band (the 3.4 GHz band).</w:t>
      </w:r>
    </w:p>
    <w:p w14:paraId="1D7A5E50" w14:textId="77777777" w:rsidR="00AC5CD3" w:rsidRDefault="00AC5CD3">
      <w:pPr>
        <w:tabs>
          <w:tab w:val="left" w:pos="8505"/>
          <w:tab w:val="right" w:pos="9356"/>
        </w:tabs>
        <w:ind w:right="-1"/>
      </w:pPr>
      <w:r>
        <w:t xml:space="preserve">This RALI replaces RALI FX 14, dated </w:t>
      </w:r>
      <w:r w:rsidR="00295316">
        <w:rPr>
          <w:snapToGrid w:val="0"/>
          <w:lang w:val="en-AU" w:eastAsia="en-US"/>
        </w:rPr>
        <w:t>30 September 2009</w:t>
      </w:r>
      <w:r>
        <w:t>.</w:t>
      </w:r>
    </w:p>
    <w:p w14:paraId="7A80D93B" w14:textId="77777777" w:rsidR="00176D78" w:rsidRDefault="00AC5CD3" w:rsidP="00176D78">
      <w:pPr>
        <w:rPr>
          <w:lang w:val="en-AU"/>
        </w:rPr>
      </w:pPr>
      <w:bookmarkStart w:id="55" w:name="_Ref336763427"/>
      <w:bookmarkStart w:id="56" w:name="_Ref336763467"/>
      <w:bookmarkStart w:id="57" w:name="_Toc345731175"/>
      <w:bookmarkStart w:id="58" w:name="_Toc347028501"/>
      <w:r>
        <w:t xml:space="preserve">The information in this document reflects the Australian Communications </w:t>
      </w:r>
      <w:r w:rsidR="00176D78">
        <w:t xml:space="preserve">and Media </w:t>
      </w:r>
      <w:r>
        <w:t>Authority’s (AC</w:t>
      </w:r>
      <w:r w:rsidR="00176D78">
        <w:t>M</w:t>
      </w:r>
      <w:r>
        <w:t>A) statement of current policy in relation to frequency coordination and licensing of point to multipoint services in the specified frequency bands.  In making decisions, AC</w:t>
      </w:r>
      <w:r w:rsidR="00176D78">
        <w:t>M</w:t>
      </w:r>
      <w:r>
        <w:t xml:space="preserve">A officers should take all relevant factors into account and decide each case on its merits.  </w:t>
      </w:r>
      <w:r w:rsidR="00176D78" w:rsidRPr="00CC3983">
        <w:rPr>
          <w:lang w:val="en-AU"/>
        </w:rPr>
        <w:t>Issues related to these procedures that appear to fall outside of the established policy should be brought to the attention of</w:t>
      </w:r>
      <w:r w:rsidR="00176D78">
        <w:rPr>
          <w:lang w:val="en-AU"/>
        </w:rPr>
        <w:t>:</w:t>
      </w:r>
      <w:r w:rsidR="00176D78" w:rsidRPr="00CC3983">
        <w:rPr>
          <w:lang w:val="en-AU"/>
        </w:rPr>
        <w:t xml:space="preserve"> </w:t>
      </w:r>
    </w:p>
    <w:p w14:paraId="3C1AB926" w14:textId="77777777" w:rsidR="00176D78" w:rsidRDefault="00176D78" w:rsidP="00176D78">
      <w:r>
        <w:tab/>
        <w:t xml:space="preserve">The Manager - Spectrum Engineering Section </w:t>
      </w:r>
    </w:p>
    <w:p w14:paraId="683DC570" w14:textId="77777777" w:rsidR="00176D78" w:rsidRDefault="00176D78" w:rsidP="00176D78">
      <w:r>
        <w:tab/>
        <w:t xml:space="preserve">Spectrum Planning Branch </w:t>
      </w:r>
    </w:p>
    <w:p w14:paraId="24CC4357" w14:textId="77777777" w:rsidR="00176D78" w:rsidRDefault="00176D78" w:rsidP="00176D78">
      <w:r>
        <w:tab/>
        <w:t xml:space="preserve">Australian Communications and Media Authority </w:t>
      </w:r>
    </w:p>
    <w:p w14:paraId="4B40186D" w14:textId="77777777" w:rsidR="00176D78" w:rsidRDefault="00176D78" w:rsidP="00176D78">
      <w:r>
        <w:tab/>
      </w:r>
      <w:smartTag w:uri="urn:schemas-microsoft-com:office:smarttags" w:element="address">
        <w:smartTag w:uri="urn:schemas-microsoft-com:office:smarttags" w:element="Street">
          <w:r>
            <w:t>P.O. Box</w:t>
          </w:r>
        </w:smartTag>
        <w:r>
          <w:t xml:space="preserve"> 78</w:t>
        </w:r>
      </w:smartTag>
      <w:r>
        <w:t xml:space="preserve"> </w:t>
      </w:r>
    </w:p>
    <w:p w14:paraId="74F5F3CC" w14:textId="77777777" w:rsidR="00176D78" w:rsidRDefault="00176D78" w:rsidP="00176D78">
      <w:r>
        <w:tab/>
        <w:t>Belconnen ACT 2616</w:t>
      </w:r>
    </w:p>
    <w:p w14:paraId="1A96D006" w14:textId="77777777" w:rsidR="00AC5CD3" w:rsidRDefault="00AC5CD3">
      <w:pPr>
        <w:pStyle w:val="Heading4"/>
        <w:spacing w:before="120" w:after="120"/>
      </w:pPr>
      <w:bookmarkStart w:id="59" w:name="_Toc416767876"/>
      <w:bookmarkStart w:id="60" w:name="_Toc416767991"/>
      <w:bookmarkStart w:id="61" w:name="_Toc417275615"/>
      <w:bookmarkStart w:id="62" w:name="_Toc419254201"/>
      <w:bookmarkStart w:id="63" w:name="_Toc419260255"/>
      <w:bookmarkStart w:id="64" w:name="_Toc431373461"/>
      <w:bookmarkStart w:id="65" w:name="_Toc431373568"/>
      <w:bookmarkStart w:id="66" w:name="_Toc431635104"/>
      <w:bookmarkStart w:id="67" w:name="_Toc431635233"/>
      <w:bookmarkStart w:id="68" w:name="_Toc464025826"/>
      <w:bookmarkStart w:id="69" w:name="_Toc242176787"/>
      <w:proofErr w:type="gramStart"/>
      <w:r>
        <w:t>1.2  Related</w:t>
      </w:r>
      <w:proofErr w:type="gramEnd"/>
      <w:r>
        <w:t xml:space="preserve"> RALIs</w:t>
      </w:r>
      <w:bookmarkEnd w:id="59"/>
      <w:bookmarkEnd w:id="60"/>
      <w:bookmarkEnd w:id="61"/>
      <w:bookmarkEnd w:id="62"/>
      <w:bookmarkEnd w:id="63"/>
      <w:bookmarkEnd w:id="64"/>
      <w:bookmarkEnd w:id="65"/>
      <w:bookmarkEnd w:id="66"/>
      <w:bookmarkEnd w:id="67"/>
      <w:bookmarkEnd w:id="68"/>
      <w:bookmarkEnd w:id="69"/>
    </w:p>
    <w:p w14:paraId="26B733D9" w14:textId="77777777" w:rsidR="00AC5CD3" w:rsidRDefault="00AC5CD3">
      <w:r>
        <w:t>Further information is detailed in the RALIs entitled:</w:t>
      </w:r>
    </w:p>
    <w:p w14:paraId="5D4CD21D" w14:textId="77777777" w:rsidR="00AC5CD3" w:rsidRDefault="00AC5CD3">
      <w:pPr>
        <w:numPr>
          <w:ilvl w:val="0"/>
          <w:numId w:val="8"/>
        </w:numPr>
      </w:pPr>
      <w:r>
        <w:t>‘Spectrum Embargoes’ (MS 3);</w:t>
      </w:r>
    </w:p>
    <w:p w14:paraId="67258AE8" w14:textId="77777777" w:rsidR="00AC5CD3" w:rsidRDefault="00AC5CD3">
      <w:pPr>
        <w:numPr>
          <w:ilvl w:val="0"/>
          <w:numId w:val="8"/>
        </w:numPr>
      </w:pPr>
      <w:r>
        <w:t>‘Microwave Fixed Services Frequency Coordination’ (FX 3); and</w:t>
      </w:r>
    </w:p>
    <w:p w14:paraId="264EE776" w14:textId="77777777" w:rsidR="00AC5CD3" w:rsidRDefault="00AC5CD3">
      <w:pPr>
        <w:numPr>
          <w:ilvl w:val="0"/>
          <w:numId w:val="8"/>
        </w:numPr>
      </w:pPr>
      <w:r>
        <w:t>‘</w:t>
      </w:r>
      <w:r w:rsidR="00295316" w:rsidRPr="00295316">
        <w:t>Frequency Coordination and Licensing Procedures for Apparatus Licensed Public Telecommunications Services in the 3.5 GHz B</w:t>
      </w:r>
      <w:r w:rsidR="000F3EA7">
        <w:t>and</w:t>
      </w:r>
      <w:r>
        <w:t>’ (</w:t>
      </w:r>
      <w:r w:rsidR="00295316">
        <w:t>MS 39</w:t>
      </w:r>
      <w:r>
        <w:t>).</w:t>
      </w:r>
    </w:p>
    <w:p w14:paraId="3C12530A" w14:textId="77777777" w:rsidR="00AC5CD3" w:rsidRDefault="00AC5CD3">
      <w:pPr>
        <w:pStyle w:val="Heading3"/>
        <w:spacing w:before="240" w:after="120"/>
      </w:pPr>
      <w:bookmarkStart w:id="70" w:name="_Toc416767877"/>
      <w:bookmarkStart w:id="71" w:name="_Toc416767992"/>
      <w:bookmarkStart w:id="72" w:name="_Toc417275616"/>
      <w:bookmarkStart w:id="73" w:name="_Toc419254202"/>
      <w:bookmarkStart w:id="74" w:name="_Toc419260256"/>
      <w:bookmarkStart w:id="75" w:name="_Toc431373462"/>
      <w:bookmarkStart w:id="76" w:name="_Toc431373569"/>
      <w:bookmarkStart w:id="77" w:name="_Toc431635105"/>
      <w:bookmarkStart w:id="78" w:name="_Toc431635234"/>
      <w:bookmarkStart w:id="79" w:name="_Toc464025827"/>
      <w:bookmarkStart w:id="80" w:name="_Toc242176788"/>
      <w:proofErr w:type="gramStart"/>
      <w:r>
        <w:t>2.0  Frequency</w:t>
      </w:r>
      <w:proofErr w:type="gramEnd"/>
      <w:r>
        <w:t xml:space="preserve"> Bands and Geographic Areas Available for Assignment</w:t>
      </w:r>
      <w:bookmarkEnd w:id="70"/>
      <w:bookmarkEnd w:id="71"/>
      <w:bookmarkEnd w:id="72"/>
      <w:bookmarkEnd w:id="73"/>
      <w:bookmarkEnd w:id="74"/>
      <w:bookmarkEnd w:id="75"/>
      <w:bookmarkEnd w:id="76"/>
      <w:bookmarkEnd w:id="77"/>
      <w:bookmarkEnd w:id="78"/>
      <w:bookmarkEnd w:id="79"/>
      <w:bookmarkEnd w:id="80"/>
    </w:p>
    <w:p w14:paraId="260870D0" w14:textId="77777777" w:rsidR="00AC5CD3" w:rsidRDefault="00AC5CD3">
      <w:pPr>
        <w:tabs>
          <w:tab w:val="left" w:pos="8505"/>
          <w:tab w:val="right" w:pos="9356"/>
        </w:tabs>
        <w:ind w:right="-1"/>
      </w:pPr>
      <w:r>
        <w:t>At the date of issue of this RALI, the frequency bands available for licensing, in regional areas, are 3425 - 3442.5 MHz and 3475 - 3492.5 MHz (ie, 2 x 17.5 MHz with a 50 MHz duplex split).</w:t>
      </w:r>
    </w:p>
    <w:p w14:paraId="2CDCAEA9" w14:textId="77777777" w:rsidR="00AC5CD3" w:rsidRDefault="00AC5CD3">
      <w:r>
        <w:t>On 11 April 2000 the Minister for Communications, Information Technology and the Arts, declared that the part of the spectrum from 3425 - 3442.5 MHz and 3475 - 3492.5 MHz is subject to re</w:t>
      </w:r>
      <w:r>
        <w:noBreakHyphen/>
        <w:t>allocation by issuing spectrum licences.  No new apparatus licences may be issued in the declared re</w:t>
      </w:r>
      <w:r>
        <w:noBreakHyphen/>
        <w:t xml:space="preserve">allocated bands and areas.  For details see </w:t>
      </w:r>
      <w:r>
        <w:rPr>
          <w:i/>
        </w:rPr>
        <w:t>Radiocommunications (Spectrum Re</w:t>
      </w:r>
      <w:r>
        <w:rPr>
          <w:i/>
        </w:rPr>
        <w:noBreakHyphen/>
        <w:t>allocation) Declaration 2000</w:t>
      </w:r>
      <w:r>
        <w:t>.</w:t>
      </w:r>
    </w:p>
    <w:p w14:paraId="29254DBB" w14:textId="77777777" w:rsidR="00AC5CD3" w:rsidRDefault="00AC5CD3">
      <w:r>
        <w:t xml:space="preserve">For the purposes of assignments proposed to be made in accordance with this RALI, ‘regional </w:t>
      </w:r>
      <w:r>
        <w:lastRenderedPageBreak/>
        <w:t xml:space="preserve">areas’ is defined as anywhere outside the areas specified in Schedule 1 of the </w:t>
      </w:r>
      <w:r>
        <w:rPr>
          <w:i/>
        </w:rPr>
        <w:t>Radiocommunications (Spectrum Re</w:t>
      </w:r>
      <w:r>
        <w:rPr>
          <w:i/>
        </w:rPr>
        <w:noBreakHyphen/>
        <w:t>allocation) Declaration 2000</w:t>
      </w:r>
      <w:r>
        <w:t xml:space="preserve">.  The areas specified in Schedule 1 are </w:t>
      </w:r>
      <w:smartTag w:uri="urn:schemas-microsoft-com:office:smarttags" w:element="City">
        <w:r>
          <w:t>Adelaide</w:t>
        </w:r>
      </w:smartTag>
      <w:r>
        <w:t xml:space="preserve">, Albury, </w:t>
      </w:r>
      <w:smartTag w:uri="urn:schemas-microsoft-com:office:smarttags" w:element="City">
        <w:r>
          <w:t>Brisbane</w:t>
        </w:r>
      </w:smartTag>
      <w:r>
        <w:t xml:space="preserve">, </w:t>
      </w:r>
      <w:smartTag w:uri="urn:schemas-microsoft-com:office:smarttags" w:element="City">
        <w:r>
          <w:t>Cairns</w:t>
        </w:r>
      </w:smartTag>
      <w:r>
        <w:t xml:space="preserve">, </w:t>
      </w:r>
      <w:smartTag w:uri="urn:schemas-microsoft-com:office:smarttags" w:element="City">
        <w:r>
          <w:t>Canberra</w:t>
        </w:r>
      </w:smartTag>
      <w:r>
        <w:t xml:space="preserve">, </w:t>
      </w:r>
      <w:smartTag w:uri="urn:schemas-microsoft-com:office:smarttags" w:element="City">
        <w:r>
          <w:t>Hobart</w:t>
        </w:r>
      </w:smartTag>
      <w:r>
        <w:t xml:space="preserve">, Launceston, </w:t>
      </w:r>
      <w:smartTag w:uri="urn:schemas-microsoft-com:office:smarttags" w:element="City">
        <w:r>
          <w:t>Melbourne</w:t>
        </w:r>
      </w:smartTag>
      <w:r>
        <w:t xml:space="preserve">, </w:t>
      </w:r>
      <w:smartTag w:uri="urn:schemas-microsoft-com:office:smarttags" w:element="City">
        <w:r>
          <w:t>Perth</w:t>
        </w:r>
      </w:smartTag>
      <w:r>
        <w:t xml:space="preserve">, Rockhampton, </w:t>
      </w:r>
      <w:smartTag w:uri="urn:schemas-microsoft-com:office:smarttags" w:element="place">
        <w:smartTag w:uri="urn:schemas-microsoft-com:office:smarttags" w:element="City">
          <w:r>
            <w:t>Sydney</w:t>
          </w:r>
        </w:smartTag>
      </w:smartTag>
      <w:r>
        <w:t xml:space="preserve"> and Townsville.</w:t>
      </w:r>
    </w:p>
    <w:p w14:paraId="1723CB97" w14:textId="77777777" w:rsidR="00AC5CD3" w:rsidRDefault="00AC5CD3">
      <w:r>
        <w:t>Apparatus licence applications may be considered in the above frequency bands in regional areas, subject to the frequency assignment requirements detailed in this RALI.  In certain locations in the regional areas (specified in section 7.4 of this RALI), additional coordination requirements apply due to the shared nature of the frequencies in those areas.</w:t>
      </w:r>
    </w:p>
    <w:p w14:paraId="53460C5D" w14:textId="77777777" w:rsidR="00AC5CD3" w:rsidRDefault="00AC5CD3">
      <w:r>
        <w:t>Note:  These 2 x 17.5 MHz sub-bands align with those specified in ETSI Draft EN 301 021</w:t>
      </w:r>
      <w:r>
        <w:rPr>
          <w:rStyle w:val="FootnoteReference"/>
        </w:rPr>
        <w:footnoteReference w:id="1"/>
      </w:r>
      <w:r>
        <w:t>.  They are consistent with the Nortel technology (Proximity-I)</w:t>
      </w:r>
      <w:r>
        <w:rPr>
          <w:rStyle w:val="FootnoteReference"/>
        </w:rPr>
        <w:footnoteReference w:id="2"/>
      </w:r>
      <w:r>
        <w:t xml:space="preserve"> developed for use by Ionica, a </w:t>
      </w:r>
      <w:smartTag w:uri="urn:schemas-microsoft-com:office:smarttags" w:element="place">
        <w:smartTag w:uri="urn:schemas-microsoft-com:office:smarttags" w:element="country-region">
          <w:r>
            <w:t>UK</w:t>
          </w:r>
        </w:smartTag>
      </w:smartTag>
      <w:r>
        <w:t xml:space="preserve"> telecommunications carrier.  Other technologies are permitted to operate in these two bands, providing they comply with the conditions detailed in this RALI, including the emission limits specified in Annex A of this RALI.  The assignment principles detailed in this RALI have taken account of the requirements of this technology, whilst retaining scope for other technologies to be employed.</w:t>
      </w:r>
    </w:p>
    <w:p w14:paraId="41552194" w14:textId="77777777" w:rsidR="00AC5CD3" w:rsidRDefault="00AC5CD3">
      <w:pPr>
        <w:pStyle w:val="Heading3"/>
        <w:spacing w:before="240" w:after="120"/>
      </w:pPr>
      <w:bookmarkStart w:id="81" w:name="_Toc411313371"/>
      <w:bookmarkStart w:id="82" w:name="_Toc411313708"/>
      <w:bookmarkStart w:id="83" w:name="_Toc411313805"/>
      <w:bookmarkStart w:id="84" w:name="_Toc411396532"/>
      <w:bookmarkStart w:id="85" w:name="_Toc411396631"/>
      <w:bookmarkStart w:id="86" w:name="_Toc411735882"/>
      <w:bookmarkStart w:id="87" w:name="_Toc411736128"/>
      <w:bookmarkStart w:id="88" w:name="_Toc411825935"/>
      <w:bookmarkStart w:id="89" w:name="_Toc411825973"/>
      <w:bookmarkStart w:id="90" w:name="_Toc411826312"/>
      <w:bookmarkStart w:id="91" w:name="_Toc411908117"/>
      <w:bookmarkStart w:id="92" w:name="_Toc411908289"/>
      <w:bookmarkStart w:id="93" w:name="_Toc411917637"/>
      <w:bookmarkStart w:id="94" w:name="_Toc413653378"/>
      <w:bookmarkStart w:id="95" w:name="_Toc414416554"/>
      <w:bookmarkStart w:id="96" w:name="_Toc414416582"/>
      <w:bookmarkStart w:id="97" w:name="_Ref336763498"/>
      <w:bookmarkStart w:id="98" w:name="_Ref336763710"/>
      <w:bookmarkStart w:id="99" w:name="_Ref339444250"/>
      <w:bookmarkStart w:id="100" w:name="_Toc345731179"/>
      <w:bookmarkStart w:id="101" w:name="_Toc347198001"/>
      <w:bookmarkStart w:id="102" w:name="_Toc354803006"/>
      <w:bookmarkStart w:id="103" w:name="_Toc354803055"/>
      <w:bookmarkStart w:id="104" w:name="_Toc354385606"/>
      <w:bookmarkStart w:id="105" w:name="_Toc354477070"/>
      <w:bookmarkStart w:id="106" w:name="_Toc354562732"/>
      <w:bookmarkStart w:id="107" w:name="_Toc354563309"/>
      <w:bookmarkStart w:id="108" w:name="_Toc355607496"/>
      <w:bookmarkStart w:id="109" w:name="_Toc355666596"/>
      <w:bookmarkStart w:id="110" w:name="_Toc355761009"/>
      <w:bookmarkStart w:id="111" w:name="_Toc359830585"/>
      <w:bookmarkStart w:id="112" w:name="_Toc360869984"/>
      <w:bookmarkStart w:id="113" w:name="_Toc384628916"/>
      <w:bookmarkStart w:id="114" w:name="_Toc384634141"/>
      <w:bookmarkStart w:id="115" w:name="_Toc354562733"/>
      <w:bookmarkStart w:id="116" w:name="_Toc354563310"/>
      <w:bookmarkStart w:id="117" w:name="_Toc355607497"/>
      <w:bookmarkStart w:id="118" w:name="_Toc355666597"/>
      <w:bookmarkStart w:id="119" w:name="_Toc355761010"/>
      <w:bookmarkStart w:id="120" w:name="_Toc359830586"/>
      <w:bookmarkStart w:id="121" w:name="_Toc360869985"/>
      <w:bookmarkStart w:id="122" w:name="_Toc384628917"/>
      <w:bookmarkStart w:id="123" w:name="_Toc384634142"/>
      <w:bookmarkStart w:id="124" w:name="_Toc411825939"/>
      <w:bookmarkStart w:id="125" w:name="_Toc411825977"/>
      <w:bookmarkStart w:id="126" w:name="_Toc411826321"/>
      <w:bookmarkStart w:id="127" w:name="_Toc411908126"/>
      <w:bookmarkStart w:id="128" w:name="_Toc411908298"/>
      <w:bookmarkStart w:id="129" w:name="_Toc411917646"/>
      <w:bookmarkStart w:id="130" w:name="_Toc413653387"/>
      <w:bookmarkStart w:id="131" w:name="_Toc414416562"/>
      <w:bookmarkStart w:id="132" w:name="_Toc414416590"/>
      <w:bookmarkStart w:id="133" w:name="_Toc416767878"/>
      <w:bookmarkStart w:id="134" w:name="_Toc416767993"/>
      <w:bookmarkStart w:id="135" w:name="_Toc417275617"/>
      <w:bookmarkStart w:id="136" w:name="_Toc419254203"/>
      <w:bookmarkStart w:id="137" w:name="_Toc419260257"/>
      <w:bookmarkStart w:id="138" w:name="_Toc431373463"/>
      <w:bookmarkStart w:id="139" w:name="_Toc431373570"/>
      <w:bookmarkStart w:id="140" w:name="_Toc431635106"/>
      <w:bookmarkStart w:id="141" w:name="_Toc431635235"/>
      <w:bookmarkStart w:id="142" w:name="_Toc464025828"/>
      <w:bookmarkStart w:id="143" w:name="_Toc242176789"/>
      <w:proofErr w:type="gramStart"/>
      <w:r>
        <w:t>3.0  Licence</w:t>
      </w:r>
      <w:proofErr w:type="gramEnd"/>
      <w:r>
        <w:t xml:space="preserve"> Structure</w:t>
      </w:r>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p>
    <w:p w14:paraId="79F603C7" w14:textId="77777777" w:rsidR="00AC5CD3" w:rsidRDefault="00AC5CD3">
      <w:r>
        <w:t>In order to facilitate the development and implementation of appropriate apparatus licensing procedures, including the application of licence conditions and fees, different kinds of radiocommunications applications are separately identified within the various licence types as individual licensing options; usually related to kinds of service or stations or uses.</w:t>
      </w:r>
    </w:p>
    <w:p w14:paraId="6DFBE167" w14:textId="77777777" w:rsidR="00AC5CD3" w:rsidRDefault="00AC5CD3">
      <w:pPr>
        <w:pStyle w:val="Heading4"/>
        <w:spacing w:before="120" w:after="120"/>
      </w:pPr>
      <w:bookmarkStart w:id="144" w:name="_Toc411826322"/>
      <w:bookmarkStart w:id="145" w:name="_Toc411908127"/>
      <w:bookmarkStart w:id="146" w:name="_Toc411908299"/>
      <w:bookmarkStart w:id="147" w:name="_Toc411917647"/>
      <w:bookmarkStart w:id="148" w:name="_Toc413653388"/>
      <w:bookmarkStart w:id="149" w:name="_Toc414416563"/>
      <w:bookmarkStart w:id="150" w:name="_Toc414416591"/>
      <w:bookmarkStart w:id="151" w:name="_Toc416767879"/>
      <w:bookmarkStart w:id="152" w:name="_Toc416767994"/>
      <w:bookmarkStart w:id="153" w:name="_Toc417275618"/>
      <w:bookmarkStart w:id="154" w:name="_Toc419254204"/>
      <w:bookmarkStart w:id="155" w:name="_Toc419260258"/>
      <w:bookmarkStart w:id="156" w:name="_Toc431373464"/>
      <w:bookmarkStart w:id="157" w:name="_Toc431373571"/>
      <w:bookmarkStart w:id="158" w:name="_Toc431635107"/>
      <w:bookmarkStart w:id="159" w:name="_Toc431635236"/>
      <w:bookmarkStart w:id="160" w:name="_Toc464025829"/>
      <w:bookmarkStart w:id="161" w:name="_Toc242176790"/>
      <w:proofErr w:type="gramStart"/>
      <w:r>
        <w:t>3.1  Fixed</w:t>
      </w:r>
      <w:proofErr w:type="gramEnd"/>
      <w:r>
        <w:t xml:space="preserve"> Licence Type</w:t>
      </w:r>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p>
    <w:p w14:paraId="73030CD9" w14:textId="77777777" w:rsidR="00AC5CD3" w:rsidRDefault="00AC5CD3">
      <w:r>
        <w:t xml:space="preserve">The Fixed licence type is defined in the </w:t>
      </w:r>
      <w:r>
        <w:rPr>
          <w:i/>
        </w:rPr>
        <w:t xml:space="preserve">Radiocommunications (Interpretation) Determination </w:t>
      </w:r>
      <w:r w:rsidR="004D3A0E">
        <w:rPr>
          <w:i/>
        </w:rPr>
        <w:t>2015</w:t>
      </w:r>
      <w:r w:rsidR="004D3A0E">
        <w:t xml:space="preserve"> </w:t>
      </w:r>
      <w:r>
        <w:t>as:</w:t>
      </w:r>
    </w:p>
    <w:p w14:paraId="5710D857" w14:textId="77777777" w:rsidR="00AC5CD3" w:rsidRDefault="00AC5CD3">
      <w:r>
        <w:t>A Fixed licence means a licence issued for one or more stations that:</w:t>
      </w:r>
    </w:p>
    <w:p w14:paraId="3C487705" w14:textId="77777777" w:rsidR="00AC5CD3" w:rsidRDefault="00AC5CD3">
      <w:pPr>
        <w:pStyle w:val="ListNumberSub"/>
        <w:numPr>
          <w:ilvl w:val="0"/>
          <w:numId w:val="2"/>
        </w:numPr>
        <w:ind w:left="567" w:firstLine="0"/>
      </w:pPr>
      <w:r>
        <w:t>are located principally:</w:t>
      </w:r>
    </w:p>
    <w:p w14:paraId="430AC67E" w14:textId="77777777" w:rsidR="00AC5CD3" w:rsidRDefault="00AC5CD3">
      <w:pPr>
        <w:pStyle w:val="ListNumberSubSub"/>
        <w:numPr>
          <w:ilvl w:val="0"/>
          <w:numId w:val="3"/>
        </w:numPr>
      </w:pPr>
      <w:r>
        <w:t>at fixed points specified in the transmitter licence that relates to the station; or</w:t>
      </w:r>
    </w:p>
    <w:p w14:paraId="0F6DBB26" w14:textId="77777777" w:rsidR="00AC5CD3" w:rsidRDefault="00AC5CD3">
      <w:pPr>
        <w:pStyle w:val="ListNumberSubSub"/>
        <w:numPr>
          <w:ilvl w:val="0"/>
          <w:numId w:val="3"/>
        </w:numPr>
      </w:pPr>
      <w:r>
        <w:t>in an area specified in the licence; and</w:t>
      </w:r>
    </w:p>
    <w:p w14:paraId="7FB15F71" w14:textId="77777777" w:rsidR="00AC5CD3" w:rsidRDefault="00AC5CD3">
      <w:pPr>
        <w:ind w:left="1134" w:hanging="567"/>
      </w:pPr>
      <w:r>
        <w:t>(b)</w:t>
      </w:r>
      <w:r>
        <w:tab/>
        <w:t>are operated principally for communications with stations located:</w:t>
      </w:r>
    </w:p>
    <w:p w14:paraId="52A76C8F" w14:textId="77777777" w:rsidR="00AC5CD3" w:rsidRDefault="00AC5CD3">
      <w:pPr>
        <w:pStyle w:val="ListNumberSubSub"/>
        <w:numPr>
          <w:ilvl w:val="0"/>
          <w:numId w:val="4"/>
        </w:numPr>
      </w:pPr>
      <w:r>
        <w:t xml:space="preserve">at one or more other fixed points specified in the </w:t>
      </w:r>
      <w:r w:rsidR="000E4E04" w:rsidRPr="000E4E04">
        <w:t xml:space="preserve">transmitter </w:t>
      </w:r>
      <w:r>
        <w:t>licence; or</w:t>
      </w:r>
    </w:p>
    <w:p w14:paraId="7BFC832F" w14:textId="77777777" w:rsidR="00AC5CD3" w:rsidRDefault="00AC5CD3">
      <w:pPr>
        <w:pStyle w:val="ListNumberSubSub"/>
        <w:numPr>
          <w:ilvl w:val="0"/>
          <w:numId w:val="4"/>
        </w:numPr>
      </w:pPr>
      <w:r>
        <w:t>in an area specified in the licence; and</w:t>
      </w:r>
    </w:p>
    <w:p w14:paraId="2141AF17" w14:textId="77777777" w:rsidR="00AC5CD3" w:rsidRDefault="00AC5CD3">
      <w:pPr>
        <w:ind w:left="1134" w:hanging="567"/>
      </w:pPr>
      <w:r>
        <w:t>(c)</w:t>
      </w:r>
      <w:r>
        <w:tab/>
        <w:t>if permitted by the transmitter licence that relates to the station, may communicate with:</w:t>
      </w:r>
    </w:p>
    <w:p w14:paraId="6FE6D97F" w14:textId="77777777" w:rsidR="00AC5CD3" w:rsidRDefault="00AC5CD3">
      <w:pPr>
        <w:pStyle w:val="ListNumberSubSub"/>
        <w:numPr>
          <w:ilvl w:val="0"/>
          <w:numId w:val="5"/>
        </w:numPr>
      </w:pPr>
      <w:r>
        <w:t>an aircraft station, but not on an aeronautical frequency; and</w:t>
      </w:r>
    </w:p>
    <w:p w14:paraId="0632DCAB" w14:textId="77777777" w:rsidR="00295316" w:rsidRDefault="00295316" w:rsidP="00295316">
      <w:pPr>
        <w:pStyle w:val="ListNumberSubSub"/>
        <w:numPr>
          <w:ilvl w:val="0"/>
          <w:numId w:val="5"/>
        </w:numPr>
      </w:pPr>
      <w:r>
        <w:t>a ship station but not on a maritime frequency; and</w:t>
      </w:r>
    </w:p>
    <w:p w14:paraId="68484597" w14:textId="77777777" w:rsidR="00295316" w:rsidRPr="00295316" w:rsidRDefault="00295316" w:rsidP="00295316">
      <w:pPr>
        <w:pStyle w:val="ListNumberSubSub"/>
        <w:numPr>
          <w:ilvl w:val="0"/>
          <w:numId w:val="5"/>
        </w:numPr>
      </w:pPr>
      <w:r>
        <w:t>a land mobile station but not on a land mobile frequency</w:t>
      </w:r>
    </w:p>
    <w:p w14:paraId="37A297E9" w14:textId="77777777" w:rsidR="00295316" w:rsidRDefault="00295316" w:rsidP="00062AFF">
      <w:pPr>
        <w:pStyle w:val="ListNumberSubSub"/>
        <w:numPr>
          <w:ilvl w:val="0"/>
          <w:numId w:val="0"/>
        </w:numPr>
      </w:pPr>
    </w:p>
    <w:p w14:paraId="73AA8841" w14:textId="77777777" w:rsidR="00AC5CD3" w:rsidRDefault="00AC5CD3">
      <w:r>
        <w:rPr>
          <w:b/>
        </w:rPr>
        <w:t>3.4 GHz systems meeting the requirements of this RALI are authorised under Fixed licences authorising Point to Multipoint stations</w:t>
      </w:r>
      <w:r>
        <w:t>.</w:t>
      </w:r>
    </w:p>
    <w:p w14:paraId="703A11CF" w14:textId="77777777" w:rsidR="00AC5CD3" w:rsidRDefault="00AC5CD3">
      <w:r>
        <w:t xml:space="preserve">A Point to Multipoint station is defined in the </w:t>
      </w:r>
      <w:r>
        <w:rPr>
          <w:i/>
        </w:rPr>
        <w:t xml:space="preserve">Radiocommunications (Interpretation) Determination </w:t>
      </w:r>
      <w:r w:rsidR="004D3A0E">
        <w:rPr>
          <w:i/>
        </w:rPr>
        <w:t>2015</w:t>
      </w:r>
      <w:r w:rsidR="004D3A0E">
        <w:t xml:space="preserve"> </w:t>
      </w:r>
      <w:r>
        <w:t>as:</w:t>
      </w:r>
    </w:p>
    <w:p w14:paraId="7ECA1720" w14:textId="77777777" w:rsidR="00AC5CD3" w:rsidRDefault="00AC5CD3">
      <w:r>
        <w:t>A Point to Multipoint station means a station that:</w:t>
      </w:r>
    </w:p>
    <w:p w14:paraId="29E61A3E" w14:textId="77777777" w:rsidR="00AC5CD3" w:rsidRDefault="00AC5CD3">
      <w:pPr>
        <w:pStyle w:val="ListNumberSub"/>
        <w:numPr>
          <w:ilvl w:val="0"/>
          <w:numId w:val="6"/>
        </w:numPr>
      </w:pPr>
      <w:r>
        <w:t>is operated under a fixed licence; and</w:t>
      </w:r>
    </w:p>
    <w:p w14:paraId="7B897A7C" w14:textId="77777777" w:rsidR="00AC5CD3" w:rsidRDefault="00AC5CD3">
      <w:pPr>
        <w:pStyle w:val="ListNumberSub"/>
        <w:numPr>
          <w:ilvl w:val="0"/>
          <w:numId w:val="6"/>
        </w:numPr>
      </w:pPr>
      <w:r>
        <w:t>is operated principally for communication with more than 1 other fixed station; and</w:t>
      </w:r>
    </w:p>
    <w:p w14:paraId="642CEF90" w14:textId="77777777" w:rsidR="00AC5CD3" w:rsidRDefault="00AC5CD3">
      <w:pPr>
        <w:pStyle w:val="ListNumberSub"/>
        <w:numPr>
          <w:ilvl w:val="0"/>
          <w:numId w:val="6"/>
        </w:numPr>
      </w:pPr>
      <w:r>
        <w:t>is operated on frequencies specified in the transmitter licence that relates to the station.</w:t>
      </w:r>
    </w:p>
    <w:p w14:paraId="2AEF65B8" w14:textId="77777777" w:rsidR="00AC5CD3" w:rsidRDefault="00AC5CD3">
      <w:pPr>
        <w:pStyle w:val="Heading3"/>
        <w:spacing w:before="240" w:after="120"/>
      </w:pPr>
      <w:bookmarkStart w:id="162" w:name="_Toc411825940"/>
      <w:bookmarkStart w:id="163" w:name="_Toc411825978"/>
      <w:bookmarkStart w:id="164" w:name="_Toc411826323"/>
      <w:bookmarkStart w:id="165" w:name="_Toc411908128"/>
      <w:bookmarkStart w:id="166" w:name="_Toc411908300"/>
      <w:bookmarkStart w:id="167" w:name="_Toc411917648"/>
      <w:bookmarkStart w:id="168" w:name="_Toc413653389"/>
      <w:bookmarkStart w:id="169" w:name="_Toc414416564"/>
      <w:bookmarkStart w:id="170" w:name="_Toc414416592"/>
      <w:bookmarkStart w:id="171" w:name="_Toc345731173"/>
      <w:bookmarkStart w:id="172" w:name="_Toc354803000"/>
      <w:bookmarkStart w:id="173" w:name="_Toc354803049"/>
      <w:bookmarkStart w:id="174" w:name="_Toc411313372"/>
      <w:bookmarkStart w:id="175" w:name="_Toc411313709"/>
      <w:bookmarkStart w:id="176" w:name="_Toc411313806"/>
      <w:bookmarkStart w:id="177" w:name="_Toc411396533"/>
      <w:bookmarkStart w:id="178" w:name="_Toc411396632"/>
      <w:bookmarkStart w:id="179" w:name="_Toc411735883"/>
      <w:bookmarkStart w:id="180" w:name="_Toc411736129"/>
      <w:bookmarkStart w:id="181" w:name="_Toc411825936"/>
      <w:bookmarkStart w:id="182" w:name="_Toc411825974"/>
      <w:bookmarkStart w:id="183" w:name="_Toc411826313"/>
      <w:bookmarkStart w:id="184" w:name="_Toc411908118"/>
      <w:bookmarkStart w:id="185" w:name="_Toc411908290"/>
      <w:bookmarkStart w:id="186" w:name="_Toc411917638"/>
      <w:bookmarkStart w:id="187" w:name="_Toc413653379"/>
      <w:bookmarkStart w:id="188" w:name="_Toc414416555"/>
      <w:bookmarkStart w:id="189" w:name="_Toc414416583"/>
      <w:bookmarkStart w:id="190" w:name="_Toc416767880"/>
      <w:bookmarkStart w:id="191" w:name="_Toc416767995"/>
      <w:bookmarkStart w:id="192" w:name="_Toc417275619"/>
      <w:bookmarkStart w:id="193" w:name="_Toc419254205"/>
      <w:bookmarkStart w:id="194" w:name="_Toc419260259"/>
      <w:bookmarkStart w:id="195" w:name="_Toc431373465"/>
      <w:bookmarkStart w:id="196" w:name="_Toc431373572"/>
      <w:bookmarkStart w:id="197" w:name="_Toc431635108"/>
      <w:bookmarkStart w:id="198" w:name="_Toc431635237"/>
      <w:bookmarkStart w:id="199" w:name="_Toc464025830"/>
      <w:bookmarkStart w:id="200" w:name="_Toc242176791"/>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proofErr w:type="gramStart"/>
      <w:r>
        <w:t xml:space="preserve">4.0  </w:t>
      </w:r>
      <w:bookmarkEnd w:id="171"/>
      <w:bookmarkEnd w:id="172"/>
      <w:bookmarkEnd w:id="173"/>
      <w:r>
        <w:t>Licensing</w:t>
      </w:r>
      <w:proofErr w:type="gramEnd"/>
      <w:r>
        <w:t xml:space="preserve"> </w:t>
      </w:r>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r>
        <w:t>Principles</w:t>
      </w:r>
      <w:bookmarkEnd w:id="188"/>
      <w:bookmarkEnd w:id="189"/>
      <w:bookmarkEnd w:id="190"/>
      <w:bookmarkEnd w:id="191"/>
      <w:bookmarkEnd w:id="192"/>
      <w:bookmarkEnd w:id="193"/>
      <w:bookmarkEnd w:id="194"/>
      <w:r>
        <w:t xml:space="preserve"> for Point to </w:t>
      </w:r>
      <w:smartTag w:uri="urn:schemas-microsoft-com:office:smarttags" w:element="place">
        <w:smartTag w:uri="urn:schemas-microsoft-com:office:smarttags" w:element="PlaceType">
          <w:r>
            <w:t>Multipoint</w:t>
          </w:r>
        </w:smartTag>
        <w:r>
          <w:t xml:space="preserve"> </w:t>
        </w:r>
        <w:smartTag w:uri="urn:schemas-microsoft-com:office:smarttags" w:element="PlaceName">
          <w:r>
            <w:t>Stations</w:t>
          </w:r>
        </w:smartTag>
      </w:smartTag>
      <w:bookmarkEnd w:id="195"/>
      <w:bookmarkEnd w:id="196"/>
      <w:bookmarkEnd w:id="197"/>
      <w:bookmarkEnd w:id="198"/>
      <w:bookmarkEnd w:id="199"/>
      <w:bookmarkEnd w:id="200"/>
    </w:p>
    <w:p w14:paraId="3D1E07BB" w14:textId="77777777" w:rsidR="00AC5CD3" w:rsidRDefault="00AC5CD3">
      <w:r>
        <w:t>The basic principles for the licensing and operation of Point to Multipoint stations in the 3.4 GHz bands specified at section 2.0 of this RALI are:</w:t>
      </w:r>
    </w:p>
    <w:p w14:paraId="441B5A23" w14:textId="77777777" w:rsidR="00AC5CD3" w:rsidRDefault="00AC5CD3">
      <w:pPr>
        <w:numPr>
          <w:ilvl w:val="0"/>
          <w:numId w:val="8"/>
        </w:numPr>
      </w:pPr>
      <w:r>
        <w:t xml:space="preserve">apparatus licensing on a site by site basis is to be used - a single spectrum access may cover several transmitters at the one site.  </w:t>
      </w:r>
      <w:r>
        <w:rPr>
          <w:u w:val="single"/>
        </w:rPr>
        <w:t>Area wide licences must not be issued</w:t>
      </w:r>
      <w:r>
        <w:t>; and</w:t>
      </w:r>
    </w:p>
    <w:p w14:paraId="685DDC4F" w14:textId="77777777" w:rsidR="00AC5CD3" w:rsidRDefault="00AC5CD3">
      <w:pPr>
        <w:numPr>
          <w:ilvl w:val="0"/>
          <w:numId w:val="8"/>
        </w:numPr>
      </w:pPr>
      <w:r>
        <w:t>transmit emission limits, as detailed in Annex A of this RALI, are to be observed.</w:t>
      </w:r>
    </w:p>
    <w:p w14:paraId="73D9BC9B" w14:textId="77777777" w:rsidR="00AC5CD3" w:rsidRDefault="00AC5CD3">
      <w:pPr>
        <w:pStyle w:val="Heading3"/>
        <w:spacing w:before="240" w:after="120"/>
      </w:pPr>
      <w:bookmarkStart w:id="201" w:name="_Toc416767881"/>
      <w:bookmarkStart w:id="202" w:name="_Toc416767996"/>
      <w:bookmarkStart w:id="203" w:name="_Toc417275620"/>
      <w:bookmarkStart w:id="204" w:name="_Toc419254206"/>
      <w:bookmarkStart w:id="205" w:name="_Toc419260260"/>
      <w:r>
        <w:br w:type="page"/>
      </w:r>
      <w:bookmarkStart w:id="206" w:name="_Toc431373466"/>
      <w:bookmarkStart w:id="207" w:name="_Toc431373573"/>
      <w:bookmarkStart w:id="208" w:name="_Toc431635109"/>
      <w:bookmarkStart w:id="209" w:name="_Toc431635238"/>
      <w:bookmarkStart w:id="210" w:name="_Toc464025831"/>
      <w:bookmarkStart w:id="211" w:name="_Toc242176792"/>
      <w:proofErr w:type="gramStart"/>
      <w:r>
        <w:lastRenderedPageBreak/>
        <w:t>5.0  Licence</w:t>
      </w:r>
      <w:proofErr w:type="gramEnd"/>
      <w:r>
        <w:t xml:space="preserve"> Conditions</w:t>
      </w:r>
      <w:bookmarkEnd w:id="162"/>
      <w:bookmarkEnd w:id="163"/>
      <w:bookmarkEnd w:id="164"/>
      <w:bookmarkEnd w:id="165"/>
      <w:bookmarkEnd w:id="166"/>
      <w:bookmarkEnd w:id="167"/>
      <w:bookmarkEnd w:id="168"/>
      <w:bookmarkEnd w:id="169"/>
      <w:bookmarkEnd w:id="170"/>
      <w:bookmarkEnd w:id="201"/>
      <w:bookmarkEnd w:id="202"/>
      <w:bookmarkEnd w:id="203"/>
      <w:bookmarkEnd w:id="204"/>
      <w:bookmarkEnd w:id="205"/>
      <w:bookmarkEnd w:id="206"/>
      <w:bookmarkEnd w:id="207"/>
      <w:bookmarkEnd w:id="208"/>
      <w:bookmarkEnd w:id="209"/>
      <w:bookmarkEnd w:id="210"/>
      <w:bookmarkEnd w:id="211"/>
    </w:p>
    <w:p w14:paraId="03257475" w14:textId="77777777" w:rsidR="00AC5CD3" w:rsidRDefault="00AC5CD3">
      <w:r>
        <w:t>The operation of radiocommunications equipment authorised by a Fixed</w:t>
      </w:r>
      <w:r>
        <w:rPr>
          <w:i/>
        </w:rPr>
        <w:t xml:space="preserve"> </w:t>
      </w:r>
      <w:r>
        <w:t>licence is subject to:</w:t>
      </w:r>
    </w:p>
    <w:p w14:paraId="4EF16094" w14:textId="77777777" w:rsidR="00AC5CD3" w:rsidRDefault="00AC5CD3">
      <w:pPr>
        <w:numPr>
          <w:ilvl w:val="0"/>
          <w:numId w:val="8"/>
        </w:numPr>
      </w:pPr>
      <w:r>
        <w:t xml:space="preserve">conditions specified in the </w:t>
      </w:r>
      <w:r>
        <w:rPr>
          <w:i/>
        </w:rPr>
        <w:t xml:space="preserve">Radiocommunications Act 1992 </w:t>
      </w:r>
      <w:r>
        <w:t>(the Act), including an obligation to comply with the Act;</w:t>
      </w:r>
    </w:p>
    <w:p w14:paraId="1D12F0D3" w14:textId="77777777" w:rsidR="00AC5CD3" w:rsidRDefault="00AC5CD3">
      <w:pPr>
        <w:numPr>
          <w:ilvl w:val="0"/>
          <w:numId w:val="8"/>
        </w:numPr>
      </w:pPr>
      <w:r>
        <w:t>a condition that any radiocommunication device operated under the licence must comply with all the standards applicable to it;</w:t>
      </w:r>
    </w:p>
    <w:p w14:paraId="7AAD9E13" w14:textId="77777777" w:rsidR="00AC5CD3" w:rsidRDefault="00AC5CD3">
      <w:pPr>
        <w:numPr>
          <w:ilvl w:val="0"/>
          <w:numId w:val="8"/>
        </w:numPr>
      </w:pPr>
      <w:r>
        <w:t xml:space="preserve">conditions specified in the </w:t>
      </w:r>
      <w:hyperlink r:id="rId24" w:history="1">
        <w:r w:rsidR="000E4E04" w:rsidRPr="00062AFF">
          <w:rPr>
            <w:rStyle w:val="Hyperlink"/>
            <w:bCs/>
            <w:i/>
          </w:rPr>
          <w:t>Radiocommunications Licence Conditions (Apparatus Licence) Determination 2003</w:t>
        </w:r>
      </w:hyperlink>
      <w:r>
        <w:t xml:space="preserve"> and any other determinations made by the </w:t>
      </w:r>
      <w:r w:rsidR="00176D78">
        <w:t xml:space="preserve">ACMA </w:t>
      </w:r>
      <w:r>
        <w:t xml:space="preserve"> under paragraph 107(1)(f) of the Act;</w:t>
      </w:r>
    </w:p>
    <w:p w14:paraId="71962D6B" w14:textId="77777777" w:rsidR="00AC5CD3" w:rsidRDefault="00AC5CD3">
      <w:pPr>
        <w:numPr>
          <w:ilvl w:val="0"/>
          <w:numId w:val="8"/>
        </w:numPr>
      </w:pPr>
      <w:r>
        <w:t>conditions specified in the licence; and</w:t>
      </w:r>
    </w:p>
    <w:p w14:paraId="29595F14" w14:textId="77777777" w:rsidR="00AC5CD3" w:rsidRDefault="00AC5CD3">
      <w:pPr>
        <w:numPr>
          <w:ilvl w:val="0"/>
          <w:numId w:val="8"/>
        </w:numPr>
      </w:pPr>
      <w:r>
        <w:t xml:space="preserve">any further conditions imposed by the </w:t>
      </w:r>
      <w:proofErr w:type="gramStart"/>
      <w:r w:rsidR="00176D78">
        <w:t xml:space="preserve">ACMA </w:t>
      </w:r>
      <w:r>
        <w:t xml:space="preserve"> under</w:t>
      </w:r>
      <w:proofErr w:type="gramEnd"/>
      <w:r>
        <w:t xml:space="preserve"> section 111 of the Act.</w:t>
      </w:r>
    </w:p>
    <w:p w14:paraId="64A149D2" w14:textId="77777777" w:rsidR="00AC5CD3" w:rsidRDefault="00AC5CD3">
      <w:pPr>
        <w:pStyle w:val="Heading4"/>
        <w:spacing w:before="120" w:after="120"/>
      </w:pPr>
      <w:bookmarkStart w:id="212" w:name="_Toc411826324"/>
      <w:bookmarkStart w:id="213" w:name="_Toc411908129"/>
      <w:bookmarkStart w:id="214" w:name="_Toc411908301"/>
      <w:bookmarkStart w:id="215" w:name="_Toc411917649"/>
      <w:bookmarkStart w:id="216" w:name="_Toc413653390"/>
      <w:bookmarkStart w:id="217" w:name="_Toc414416565"/>
      <w:bookmarkStart w:id="218" w:name="_Toc414416593"/>
      <w:bookmarkStart w:id="219" w:name="_Toc416767882"/>
      <w:bookmarkStart w:id="220" w:name="_Toc416767997"/>
      <w:bookmarkStart w:id="221" w:name="_Toc417275621"/>
      <w:bookmarkStart w:id="222" w:name="_Toc419254207"/>
      <w:bookmarkStart w:id="223" w:name="_Toc419260261"/>
      <w:bookmarkStart w:id="224" w:name="_Toc431373467"/>
      <w:bookmarkStart w:id="225" w:name="_Toc431373574"/>
      <w:bookmarkStart w:id="226" w:name="_Toc431635110"/>
      <w:bookmarkStart w:id="227" w:name="_Toc431635239"/>
      <w:bookmarkStart w:id="228" w:name="_Toc464025832"/>
      <w:bookmarkStart w:id="229" w:name="_Toc242176793"/>
      <w:proofErr w:type="gramStart"/>
      <w:r>
        <w:t>5.1  Licence</w:t>
      </w:r>
      <w:proofErr w:type="gramEnd"/>
      <w:r>
        <w:t xml:space="preserve"> Conditions Determinations</w:t>
      </w:r>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p>
    <w:p w14:paraId="1A99E90A" w14:textId="77777777" w:rsidR="00AC5CD3" w:rsidRDefault="00AC5CD3">
      <w:r>
        <w:t xml:space="preserve">Under paragraph 107(1)(f) of the Act, the </w:t>
      </w:r>
      <w:proofErr w:type="gramStart"/>
      <w:r w:rsidR="00176D78">
        <w:t xml:space="preserve">ACMA </w:t>
      </w:r>
      <w:r>
        <w:t xml:space="preserve"> may</w:t>
      </w:r>
      <w:proofErr w:type="gramEnd"/>
      <w:r>
        <w:t xml:space="preserve"> determine, by written instrument, conditions relating to a particular type of apparatus licence.  These conditions are known as Licence Conditions Determinations (LCDs).  LCDs contain the generic conditions particular to radiocommunications licence types and licensing options, including details of assigned frequencies, or frequency bands, and permitted power levels.</w:t>
      </w:r>
    </w:p>
    <w:p w14:paraId="1D8DDFC1" w14:textId="77777777" w:rsidR="00AC5CD3" w:rsidRDefault="00AC5CD3">
      <w:pPr>
        <w:ind w:right="91"/>
      </w:pPr>
      <w:r>
        <w:t xml:space="preserve">The </w:t>
      </w:r>
      <w:r w:rsidR="000E4E04" w:rsidRPr="00062AFF">
        <w:rPr>
          <w:bCs/>
          <w:i/>
        </w:rPr>
        <w:t>Radiocommunications Licence Conditions (Apparatus Licence) Determination 20</w:t>
      </w:r>
      <w:r w:rsidR="004D3A0E">
        <w:rPr>
          <w:i/>
        </w:rPr>
        <w:t>15</w:t>
      </w:r>
      <w:r>
        <w:t xml:space="preserve"> contains licence conditions that are common to all apparatus licences.</w:t>
      </w:r>
    </w:p>
    <w:p w14:paraId="66CDAEA7" w14:textId="77777777" w:rsidR="00AC5CD3" w:rsidRDefault="00AC5CD3">
      <w:pPr>
        <w:rPr>
          <w:i/>
        </w:rPr>
      </w:pPr>
      <w:r>
        <w:t xml:space="preserve">The LCD for the Fixed licence type is entitled </w:t>
      </w:r>
      <w:r>
        <w:rPr>
          <w:i/>
        </w:rPr>
        <w:t>Radiocommunications Licence Conditions (Fixed Licence) Determination 1997.</w:t>
      </w:r>
    </w:p>
    <w:p w14:paraId="7BB217B4" w14:textId="77777777" w:rsidR="00AC5CD3" w:rsidRDefault="00AC5CD3">
      <w:pPr>
        <w:pStyle w:val="Heading4"/>
        <w:spacing w:before="120" w:after="120"/>
      </w:pPr>
      <w:bookmarkStart w:id="230" w:name="_Toc356101470"/>
      <w:bookmarkStart w:id="231" w:name="_Toc367610617"/>
      <w:bookmarkStart w:id="232" w:name="_Toc360004966"/>
      <w:bookmarkStart w:id="233" w:name="_Toc360346269"/>
      <w:bookmarkStart w:id="234" w:name="_Toc360346305"/>
      <w:bookmarkStart w:id="235" w:name="_Toc367612009"/>
      <w:bookmarkStart w:id="236" w:name="_Toc389898516"/>
      <w:bookmarkStart w:id="237" w:name="_Toc389967013"/>
      <w:bookmarkStart w:id="238" w:name="_Toc389975238"/>
      <w:bookmarkStart w:id="239" w:name="_Toc411826326"/>
      <w:bookmarkStart w:id="240" w:name="_Toc411908131"/>
      <w:bookmarkStart w:id="241" w:name="_Toc411908303"/>
      <w:bookmarkStart w:id="242" w:name="_Toc411917651"/>
      <w:bookmarkStart w:id="243" w:name="_Toc413653392"/>
      <w:bookmarkStart w:id="244" w:name="_Toc414416567"/>
      <w:bookmarkStart w:id="245" w:name="_Toc414416595"/>
      <w:bookmarkStart w:id="246" w:name="_Toc416767883"/>
      <w:bookmarkStart w:id="247" w:name="_Toc416767998"/>
      <w:bookmarkStart w:id="248" w:name="_Toc417275622"/>
      <w:bookmarkStart w:id="249" w:name="_Toc419254208"/>
      <w:bookmarkStart w:id="250" w:name="_Toc419260262"/>
      <w:bookmarkStart w:id="251" w:name="_Toc431373468"/>
      <w:bookmarkStart w:id="252" w:name="_Toc431373575"/>
      <w:bookmarkStart w:id="253" w:name="_Toc431635111"/>
      <w:bookmarkStart w:id="254" w:name="_Toc431635240"/>
      <w:bookmarkStart w:id="255" w:name="_Toc464025833"/>
      <w:bookmarkStart w:id="256" w:name="_Toc242176794"/>
      <w:proofErr w:type="gramStart"/>
      <w:r>
        <w:t>5.2  Special</w:t>
      </w:r>
      <w:proofErr w:type="gramEnd"/>
      <w:r>
        <w:t xml:space="preserve"> Conditions</w:t>
      </w:r>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p>
    <w:p w14:paraId="7A4448D3" w14:textId="77777777" w:rsidR="00AC5CD3" w:rsidRDefault="00AC5CD3">
      <w:r>
        <w:t>The following user defined special condition must be attached to all Fixed licences authorising Point to Multipoint stations in the 3.4 GHz bands specified at section 2.0 of this RALI:</w:t>
      </w:r>
    </w:p>
    <w:p w14:paraId="28AAD159" w14:textId="77777777" w:rsidR="00AC5CD3" w:rsidRDefault="00AC5CD3">
      <w:pPr>
        <w:ind w:left="720"/>
      </w:pPr>
      <w:r>
        <w:t>‘The operation of this system, from the date of licence issue, is to be in accordance with the special condition laid out in Attachment 1, attached to this licence.’</w:t>
      </w:r>
    </w:p>
    <w:p w14:paraId="3C2DFF33" w14:textId="77777777" w:rsidR="00AC5CD3" w:rsidRDefault="00AC5CD3">
      <w:r>
        <w:t>This special condition specifies the transmission emission mask that must be observed by point to multipoint services in this band.  The text of this special condition is detailed in Attachment 1 to this RALI.</w:t>
      </w:r>
    </w:p>
    <w:p w14:paraId="4BA42663" w14:textId="77777777" w:rsidR="00AC5CD3" w:rsidRDefault="00AC5CD3">
      <w:r>
        <w:t>Any other conditions of operation that apply to an individual licence but are not included in the LCD, will be printed on the licence under the heading ‘Special Conditions’.</w:t>
      </w:r>
    </w:p>
    <w:p w14:paraId="73617C27" w14:textId="77777777" w:rsidR="00AC5CD3" w:rsidRDefault="00AC5CD3">
      <w:r>
        <w:t xml:space="preserve">An accredited person may ask the </w:t>
      </w:r>
      <w:r w:rsidR="00176D78">
        <w:t xml:space="preserve">ACMA </w:t>
      </w:r>
      <w:r>
        <w:t>to impose one or more special conditions on the licence according to the circumstances in which the frequency assignments for the licence are made.</w:t>
      </w:r>
    </w:p>
    <w:p w14:paraId="7DE4DC59" w14:textId="77777777" w:rsidR="00AC5CD3" w:rsidRDefault="00AC5CD3">
      <w:pPr>
        <w:pStyle w:val="Heading4"/>
      </w:pPr>
      <w:bookmarkStart w:id="257" w:name="_Toc411826327"/>
      <w:bookmarkStart w:id="258" w:name="_Toc411908132"/>
      <w:bookmarkStart w:id="259" w:name="_Toc411908304"/>
      <w:bookmarkStart w:id="260" w:name="_Toc411917652"/>
      <w:bookmarkStart w:id="261" w:name="_Toc413653393"/>
      <w:bookmarkStart w:id="262" w:name="_Toc414416568"/>
      <w:bookmarkStart w:id="263" w:name="_Toc414416596"/>
      <w:bookmarkStart w:id="264" w:name="_Toc416767885"/>
      <w:bookmarkStart w:id="265" w:name="_Toc416768000"/>
      <w:bookmarkStart w:id="266" w:name="_Toc417275624"/>
      <w:bookmarkStart w:id="267" w:name="_Toc419254210"/>
      <w:bookmarkStart w:id="268" w:name="_Toc419260264"/>
      <w:r>
        <w:br w:type="page"/>
      </w:r>
      <w:bookmarkStart w:id="269" w:name="_Toc431373469"/>
      <w:bookmarkStart w:id="270" w:name="_Toc431373576"/>
      <w:bookmarkStart w:id="271" w:name="_Toc431635112"/>
      <w:bookmarkStart w:id="272" w:name="_Toc431635241"/>
      <w:bookmarkStart w:id="273" w:name="_Toc464025834"/>
      <w:bookmarkStart w:id="274" w:name="_Toc456083551"/>
      <w:bookmarkStart w:id="275" w:name="_Toc242176795"/>
      <w:proofErr w:type="gramStart"/>
      <w:r>
        <w:lastRenderedPageBreak/>
        <w:t>5.3  Advisory</w:t>
      </w:r>
      <w:proofErr w:type="gramEnd"/>
      <w:r>
        <w:t xml:space="preserve"> Notes</w:t>
      </w:r>
      <w:bookmarkEnd w:id="274"/>
      <w:bookmarkEnd w:id="275"/>
    </w:p>
    <w:p w14:paraId="4FE65005" w14:textId="77777777" w:rsidR="00AC5CD3" w:rsidRDefault="00AC5CD3">
      <w:r>
        <w:t>Advisory notes, providing information that may be of interest to a licensee, will be printed on the licence under the heading ‘Advisory Notes’.</w:t>
      </w:r>
    </w:p>
    <w:p w14:paraId="5198BC3D" w14:textId="77777777" w:rsidR="00AC5CD3" w:rsidRDefault="00AC5CD3">
      <w:r>
        <w:t xml:space="preserve">An accredited person may ask the </w:t>
      </w:r>
      <w:r w:rsidR="00176D78">
        <w:t>ACMA</w:t>
      </w:r>
      <w:r>
        <w:t xml:space="preserve"> to impose one or more advisory notes on the licence according to the circumstances in which the frequency assignments for the licence are made.</w:t>
      </w:r>
    </w:p>
    <w:p w14:paraId="6B7A43A1" w14:textId="77777777" w:rsidR="00AC5CD3" w:rsidRDefault="00AC5CD3">
      <w:pPr>
        <w:pStyle w:val="Heading3"/>
        <w:spacing w:before="120" w:after="240"/>
      </w:pPr>
      <w:bookmarkStart w:id="276" w:name="_Toc354803027"/>
      <w:bookmarkStart w:id="277" w:name="_Toc354803076"/>
      <w:bookmarkStart w:id="278" w:name="_Toc411825941"/>
      <w:bookmarkStart w:id="279" w:name="_Toc411825979"/>
      <w:bookmarkStart w:id="280" w:name="_Toc411826328"/>
      <w:bookmarkStart w:id="281" w:name="_Toc411908133"/>
      <w:bookmarkStart w:id="282" w:name="_Toc411908305"/>
      <w:bookmarkStart w:id="283" w:name="_Toc411917653"/>
      <w:bookmarkStart w:id="284" w:name="_Toc413653394"/>
      <w:bookmarkStart w:id="285" w:name="_Toc414416569"/>
      <w:bookmarkStart w:id="286" w:name="_Toc414416597"/>
      <w:bookmarkStart w:id="287" w:name="_Toc416767886"/>
      <w:bookmarkStart w:id="288" w:name="_Toc416768001"/>
      <w:bookmarkStart w:id="289" w:name="_Toc417275625"/>
      <w:bookmarkStart w:id="290" w:name="_Toc419254211"/>
      <w:bookmarkStart w:id="291" w:name="_Toc419260265"/>
      <w:bookmarkStart w:id="292" w:name="_Toc431373470"/>
      <w:bookmarkStart w:id="293" w:name="_Toc431373577"/>
      <w:bookmarkStart w:id="294" w:name="_Toc431635113"/>
      <w:bookmarkStart w:id="295" w:name="_Toc431635242"/>
      <w:bookmarkStart w:id="296" w:name="_Toc464025835"/>
      <w:bookmarkStart w:id="297" w:name="_Toc242176797"/>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proofErr w:type="gramStart"/>
      <w:r>
        <w:t>6.0  Licence</w:t>
      </w:r>
      <w:proofErr w:type="gramEnd"/>
      <w:r>
        <w:t xml:space="preserve"> Fees</w:t>
      </w:r>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p>
    <w:p w14:paraId="4C815EAA" w14:textId="77777777" w:rsidR="00AC5CD3" w:rsidRDefault="00AC5CD3">
      <w:pPr>
        <w:ind w:firstLine="1"/>
      </w:pPr>
      <w:r>
        <w:t xml:space="preserve">As Point to Multipoint stations require an individual frequency assignment, the total licence fee is calculated by adding the appropriate spectrum access tax, the spectrum maintenance charge and the </w:t>
      </w:r>
      <w:proofErr w:type="gramStart"/>
      <w:r w:rsidR="00176D78">
        <w:t xml:space="preserve">ACMA </w:t>
      </w:r>
      <w:r>
        <w:t xml:space="preserve"> administrative</w:t>
      </w:r>
      <w:proofErr w:type="gramEnd"/>
      <w:r>
        <w:t xml:space="preserve"> charge.  The spectrum access tax for a Point to Multipoint service is determined</w:t>
      </w:r>
      <w:r w:rsidR="00295316">
        <w:t xml:space="preserve"> </w:t>
      </w:r>
      <w:proofErr w:type="gramStart"/>
      <w:r>
        <w:t>on the basis of</w:t>
      </w:r>
      <w:proofErr w:type="gramEnd"/>
      <w:r>
        <w:t xml:space="preserve"> each spectrum access record attached to the licence.  The spectrum maintenance charge is a set percentage of the spectrum access tax applicable to each spectrum access record attached to the licence.  The administrative charge, that covers either the cost of the initial licence issue including the frequency assignment process, or the renewal, is calculated individually.</w:t>
      </w:r>
    </w:p>
    <w:p w14:paraId="1A197E3F" w14:textId="77777777" w:rsidR="00AC5CD3" w:rsidRDefault="00AC5CD3">
      <w:r>
        <w:t xml:space="preserve">Fees for Point to Multipoint stations will be calculated according to the relevant fee tables in the </w:t>
      </w:r>
      <w:r>
        <w:rPr>
          <w:i/>
        </w:rPr>
        <w:t xml:space="preserve">Apparatus Licence Fee Schedule </w:t>
      </w:r>
      <w:r>
        <w:t>and will be determined by the amount of contiguous bandwidth occupied under each spectrum access at each site.</w:t>
      </w:r>
      <w:bookmarkEnd w:id="97"/>
      <w:bookmarkEnd w:id="98"/>
      <w:bookmarkEnd w:id="99"/>
      <w:bookmarkEnd w:id="100"/>
      <w:bookmarkEnd w:id="101"/>
      <w:bookmarkEnd w:id="102"/>
      <w:bookmarkEnd w:id="103"/>
      <w:bookmarkEnd w:id="276"/>
      <w:bookmarkEnd w:id="277"/>
    </w:p>
    <w:p w14:paraId="5F0CEC3C" w14:textId="77777777" w:rsidR="00AC5CD3" w:rsidRDefault="00AC5CD3">
      <w:pPr>
        <w:pStyle w:val="Heading3"/>
        <w:spacing w:before="240" w:after="120"/>
      </w:pPr>
      <w:bookmarkStart w:id="298" w:name="_Toc345731192"/>
      <w:bookmarkStart w:id="299" w:name="_Toc347027374"/>
      <w:bookmarkStart w:id="300" w:name="_Toc347028506"/>
      <w:bookmarkStart w:id="301" w:name="_Toc347198002"/>
      <w:bookmarkStart w:id="302" w:name="_Toc354803007"/>
      <w:bookmarkStart w:id="303" w:name="_Toc354803056"/>
      <w:bookmarkStart w:id="304" w:name="_Toc411313373"/>
      <w:bookmarkStart w:id="305" w:name="_Toc411313710"/>
      <w:bookmarkStart w:id="306" w:name="_Toc411313807"/>
      <w:bookmarkStart w:id="307" w:name="_Toc411396534"/>
      <w:bookmarkStart w:id="308" w:name="_Toc411396633"/>
      <w:bookmarkStart w:id="309" w:name="_Toc411735884"/>
      <w:bookmarkStart w:id="310" w:name="_Toc411736130"/>
      <w:bookmarkStart w:id="311" w:name="_Toc411825937"/>
      <w:bookmarkStart w:id="312" w:name="_Toc411825975"/>
      <w:bookmarkStart w:id="313" w:name="_Toc411826314"/>
      <w:bookmarkStart w:id="314" w:name="_Toc411908119"/>
      <w:bookmarkStart w:id="315" w:name="_Toc411908291"/>
      <w:bookmarkStart w:id="316" w:name="_Toc411917639"/>
      <w:bookmarkStart w:id="317" w:name="_Toc413653380"/>
      <w:bookmarkStart w:id="318" w:name="_Toc414416556"/>
      <w:bookmarkStart w:id="319" w:name="_Toc414416584"/>
      <w:bookmarkStart w:id="320" w:name="_Toc416767887"/>
      <w:bookmarkStart w:id="321" w:name="_Toc416768002"/>
      <w:bookmarkStart w:id="322" w:name="_Toc417275626"/>
      <w:bookmarkStart w:id="323" w:name="_Toc419254212"/>
      <w:bookmarkStart w:id="324" w:name="_Toc419260266"/>
      <w:bookmarkStart w:id="325" w:name="_Toc431373471"/>
      <w:bookmarkStart w:id="326" w:name="_Toc431373578"/>
      <w:bookmarkStart w:id="327" w:name="_Toc431635114"/>
      <w:bookmarkStart w:id="328" w:name="_Toc431635243"/>
      <w:bookmarkStart w:id="329" w:name="_Toc464025836"/>
      <w:bookmarkStart w:id="330" w:name="_Toc242176798"/>
      <w:bookmarkEnd w:id="55"/>
      <w:bookmarkEnd w:id="56"/>
      <w:bookmarkEnd w:id="57"/>
      <w:bookmarkEnd w:id="58"/>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proofErr w:type="gramStart"/>
      <w:r>
        <w:t>7.0  Assignment</w:t>
      </w:r>
      <w:proofErr w:type="gramEnd"/>
      <w:r>
        <w:t xml:space="preserve"> Principles</w:t>
      </w:r>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p>
    <w:p w14:paraId="0DCFA03A" w14:textId="77777777" w:rsidR="00AC5CD3" w:rsidRDefault="00AC5CD3">
      <w:r>
        <w:t>The frequency assignment coordination principles in this RALI have been developed following consultation with industry, consistent with Government policies for the use of this band.  They are based on the concept of point to multipoint services using cellular pattern re-use design principles, ie. with the expectation that frequencies can be re-used at predictable distances by different users and potentially at lesser distances by the same user or by agreement between different users.  This planning approach serves to optimise the spectrum efficiency and utility of these bands.  A brief rationale to the technical basis for these requirements is given at Annex B.</w:t>
      </w:r>
    </w:p>
    <w:p w14:paraId="71429028" w14:textId="77777777" w:rsidR="00AC5CD3" w:rsidRDefault="00AC5CD3">
      <w:r>
        <w:t xml:space="preserve">Adherence to these principles imposes certain obligations on system planners and frequency assigners, in that consideration needs to be given during planning and coordination not only to existing systems but to ensuring scope is retained for the development of future systems in the same and nearby areas.  These considerations are particularly relevant to the planning of base antenna systems </w:t>
      </w:r>
      <w:proofErr w:type="gramStart"/>
      <w:r>
        <w:t>in regard to</w:t>
      </w:r>
      <w:proofErr w:type="gramEnd"/>
      <w:r>
        <w:t xml:space="preserve"> path attenuation requirements to existing and future locations, taking account of the coverage expectations discussed at section 7.1 of this RALI.</w:t>
      </w:r>
    </w:p>
    <w:p w14:paraId="21A14C7D" w14:textId="77777777" w:rsidR="00AC5CD3" w:rsidRDefault="00AC5CD3">
      <w:r>
        <w:t>These frequency assignment requirements are primarily intended for the purposes of coordination between licensees and for the protection of spectrum in specified areas.  A licensee may request any channel or group of channels in the same area, provided that the requirements of section 4.0 of this RALI are met (ie. compliance with the emission limits set out in Annex A of this RALI) and regard is given to the assignment priority requirements at section 7.2 of this RALI.  Detailed assignment requirements are specified in the following parts of this section.</w:t>
      </w:r>
    </w:p>
    <w:p w14:paraId="440017EC" w14:textId="77777777" w:rsidR="00AC5CD3" w:rsidRDefault="00AC5CD3">
      <w:pPr>
        <w:pStyle w:val="Heading4"/>
        <w:spacing w:before="120" w:after="120"/>
      </w:pPr>
      <w:bookmarkStart w:id="331" w:name="_Toc431373472"/>
      <w:bookmarkStart w:id="332" w:name="_Toc431373579"/>
      <w:bookmarkStart w:id="333" w:name="_Toc431635115"/>
      <w:bookmarkStart w:id="334" w:name="_Toc431635244"/>
      <w:bookmarkStart w:id="335" w:name="_Toc464025837"/>
      <w:bookmarkStart w:id="336" w:name="_Toc242176799"/>
      <w:proofErr w:type="gramStart"/>
      <w:r>
        <w:t>7.1  Coverage</w:t>
      </w:r>
      <w:proofErr w:type="gramEnd"/>
      <w:r>
        <w:t xml:space="preserve"> Provided by the Assignment Model</w:t>
      </w:r>
      <w:bookmarkEnd w:id="331"/>
      <w:bookmarkEnd w:id="332"/>
      <w:bookmarkEnd w:id="333"/>
      <w:bookmarkEnd w:id="334"/>
      <w:bookmarkEnd w:id="335"/>
      <w:bookmarkEnd w:id="336"/>
    </w:p>
    <w:p w14:paraId="52A2A1A2" w14:textId="77777777" w:rsidR="00AC5CD3" w:rsidRDefault="00AC5CD3">
      <w:bookmarkStart w:id="337" w:name="_Toc431373473"/>
      <w:r>
        <w:t>The service coverage area used to determine the re-use distances and assignment procedures is that bounded within a 20 km radius.  As noted in Annex B of this RALI, radii larger than this are possible, but would normally be used in more remote, low traffic density areas.</w:t>
      </w:r>
      <w:bookmarkEnd w:id="337"/>
    </w:p>
    <w:p w14:paraId="441FA914" w14:textId="77777777" w:rsidR="00AC5CD3" w:rsidRDefault="00AC5CD3">
      <w:r>
        <w:lastRenderedPageBreak/>
        <w:t>Assignments in this band are predicated on establishing reliable re-use of frequencies between base transceiver stations (actual or notional - depending on the situation) of different users, generally based on a ‘re-use distance’ concept derived from radiofrequency path loss requirements.  Whilst customer transceivers are not able to be individually co-ordinated and thus are not explicitly protected from interference, they are afforded a high degree of protection inherent in the assignment planning model.  Systems co-ordinated under this RALI and complying with its technical requirements (including observance of base antenna considerations discussed at sections 7.0 and 7.4.2.1 of this RALI and customer antennas at section 7.3 of this RALI) should, in most cases, provide adequate protection for customer units in 95% of the area of a cell of radius 20 km.</w:t>
      </w:r>
    </w:p>
    <w:p w14:paraId="0DA64D52" w14:textId="77777777" w:rsidR="00AC5CD3" w:rsidRDefault="00AC5CD3">
      <w:r>
        <w:t>The model will not protect customers using antennas mounted on high sites or those using antennas with a performance significantly less than that outlined in section 7.3 of this RALI.  Customer transceivers causing interference to adjacent base stations may need to be modified such that they no longer cause interference or, if modification is not possible, the interfering customer unit may be required to cease transmission.</w:t>
      </w:r>
    </w:p>
    <w:p w14:paraId="3FF0E93A" w14:textId="77777777" w:rsidR="00AC5CD3" w:rsidRDefault="00AC5CD3">
      <w:r>
        <w:t>The assignment requirements in the following sections include the need to consider the ‘average terrain height’ within the service area of the site being coordinated with.  Guidance for the estimation of this parameter is given at section 7.5 of this RALI.</w:t>
      </w:r>
    </w:p>
    <w:p w14:paraId="183036E1" w14:textId="77777777" w:rsidR="00AC5CD3" w:rsidRDefault="00AC5CD3">
      <w:pPr>
        <w:pStyle w:val="Heading4"/>
        <w:spacing w:before="120" w:after="120"/>
      </w:pPr>
      <w:bookmarkStart w:id="338" w:name="_Toc431373474"/>
      <w:bookmarkStart w:id="339" w:name="_Toc431373580"/>
      <w:bookmarkStart w:id="340" w:name="_Toc431635116"/>
      <w:bookmarkStart w:id="341" w:name="_Toc431635245"/>
      <w:bookmarkStart w:id="342" w:name="_Toc464025838"/>
      <w:bookmarkStart w:id="343" w:name="_Toc242176800"/>
      <w:proofErr w:type="gramStart"/>
      <w:r>
        <w:t>7.2  Frequency</w:t>
      </w:r>
      <w:proofErr w:type="gramEnd"/>
      <w:r>
        <w:t xml:space="preserve"> Assignment Priority</w:t>
      </w:r>
      <w:bookmarkEnd w:id="338"/>
      <w:bookmarkEnd w:id="339"/>
      <w:bookmarkEnd w:id="340"/>
      <w:bookmarkEnd w:id="341"/>
      <w:bookmarkEnd w:id="342"/>
      <w:bookmarkEnd w:id="343"/>
    </w:p>
    <w:p w14:paraId="0CB6234B" w14:textId="77777777" w:rsidR="00AC5CD3" w:rsidRDefault="000B2923">
      <w:proofErr w:type="gramStart"/>
      <w:r>
        <w:t>As a general rule</w:t>
      </w:r>
      <w:proofErr w:type="gramEnd"/>
      <w:r>
        <w:t xml:space="preserve"> c</w:t>
      </w:r>
      <w:r w:rsidR="00AC5CD3">
        <w:t xml:space="preserve">hannels should be assigned from </w:t>
      </w:r>
      <w:r>
        <w:t>the highest frequency down</w:t>
      </w:r>
      <w:r w:rsidR="00AC5CD3">
        <w:t xml:space="preserve"> using the principle of vertical loading.  Where practical, existing 3.4 GHz licence holders should be assigned channels in the same segment as used by that licensee in other areas, particularly those in the same general region; this will encourage maximum frequency re-use.</w:t>
      </w:r>
    </w:p>
    <w:p w14:paraId="4274A7A6" w14:textId="77777777" w:rsidR="00AC5CD3" w:rsidRDefault="00AC5CD3">
      <w:pPr>
        <w:pStyle w:val="Heading4"/>
        <w:spacing w:before="120" w:after="120"/>
      </w:pPr>
      <w:bookmarkStart w:id="344" w:name="_Toc431373475"/>
      <w:bookmarkStart w:id="345" w:name="_Toc431373581"/>
      <w:bookmarkStart w:id="346" w:name="_Toc431635117"/>
      <w:bookmarkStart w:id="347" w:name="_Toc431635246"/>
      <w:bookmarkStart w:id="348" w:name="_Toc464025839"/>
      <w:bookmarkStart w:id="349" w:name="_Toc242176801"/>
      <w:proofErr w:type="gramStart"/>
      <w:r>
        <w:t>7.3  Subscriber</w:t>
      </w:r>
      <w:proofErr w:type="gramEnd"/>
      <w:r>
        <w:t xml:space="preserve"> Notional Antennas</w:t>
      </w:r>
      <w:bookmarkEnd w:id="344"/>
      <w:bookmarkEnd w:id="345"/>
      <w:bookmarkEnd w:id="346"/>
      <w:bookmarkEnd w:id="347"/>
      <w:bookmarkEnd w:id="348"/>
      <w:bookmarkEnd w:id="349"/>
    </w:p>
    <w:p w14:paraId="10505603" w14:textId="77777777" w:rsidR="00AC5CD3" w:rsidRDefault="00AC5CD3">
      <w:r>
        <w:t>To minimise the probability of co-channel interference, re-use distances in this RALI have been established assuming an omni-directional base station antenna and a customer or remote notional antenna with the following parameters:</w:t>
      </w:r>
    </w:p>
    <w:p w14:paraId="7500683C" w14:textId="77777777" w:rsidR="00AC5CD3" w:rsidRDefault="00AC5CD3">
      <w:pPr>
        <w:numPr>
          <w:ilvl w:val="0"/>
          <w:numId w:val="9"/>
        </w:numPr>
      </w:pPr>
      <w:r>
        <w:t xml:space="preserve">3 dB beamwidth </w:t>
      </w:r>
      <w:r>
        <w:sym w:font="Symbol" w:char="F0A3"/>
      </w:r>
      <w:r>
        <w:t xml:space="preserve"> 15</w:t>
      </w:r>
      <w:r>
        <w:sym w:font="Symbol" w:char="F0B0"/>
      </w:r>
      <w:r>
        <w:t>;</w:t>
      </w:r>
    </w:p>
    <w:p w14:paraId="2BABBA03" w14:textId="77777777" w:rsidR="00AC5CD3" w:rsidRDefault="00AC5CD3">
      <w:pPr>
        <w:numPr>
          <w:ilvl w:val="0"/>
          <w:numId w:val="9"/>
        </w:numPr>
      </w:pPr>
      <w:r>
        <w:t xml:space="preserve">Front to Back Ratio </w:t>
      </w:r>
      <w:r>
        <w:sym w:font="Symbol" w:char="F03E"/>
      </w:r>
      <w:r>
        <w:t xml:space="preserve"> 25 dB; and</w:t>
      </w:r>
    </w:p>
    <w:p w14:paraId="760BD470" w14:textId="77777777" w:rsidR="00AC5CD3" w:rsidRDefault="00AC5CD3">
      <w:pPr>
        <w:numPr>
          <w:ilvl w:val="0"/>
          <w:numId w:val="9"/>
        </w:numPr>
      </w:pPr>
      <w:r>
        <w:t>Gain of 18 dBi.</w:t>
      </w:r>
    </w:p>
    <w:p w14:paraId="3EE1B43D" w14:textId="77777777" w:rsidR="00AC5CD3" w:rsidRDefault="00AC5CD3">
      <w:r>
        <w:t xml:space="preserve">Antennas fitted to customer equipment should meet these requirements.  </w:t>
      </w:r>
    </w:p>
    <w:p w14:paraId="73CC6332" w14:textId="77777777" w:rsidR="00AC5CD3" w:rsidRDefault="00AC5CD3">
      <w:r>
        <w:t>Additionally</w:t>
      </w:r>
      <w:r>
        <w:rPr>
          <w:caps/>
        </w:rPr>
        <w:t xml:space="preserve">, </w:t>
      </w:r>
      <w:r>
        <w:t xml:space="preserve">as specified in sections 7.4.2, 7.4.3 and 7.4.4 of this RALI, systems with antennas at heights above average terrain higher than as prescribed in those sections cannot be afforded protection and must not interfere with other systems.  </w:t>
      </w:r>
    </w:p>
    <w:p w14:paraId="0306699B" w14:textId="77777777" w:rsidR="00AC5CD3" w:rsidRDefault="00AC5CD3">
      <w:r>
        <w:t>Further, whilst the most appropriate polarisation of base and customer antennas is for licensees to determine, the re-use distance coordination procedures have been derived without any allowance for cross-polar discrimination.</w:t>
      </w:r>
    </w:p>
    <w:p w14:paraId="280E1D47" w14:textId="77777777" w:rsidR="00AC5CD3" w:rsidRDefault="00AC5CD3">
      <w:pPr>
        <w:pStyle w:val="Heading4"/>
        <w:spacing w:before="120" w:after="120"/>
      </w:pPr>
      <w:bookmarkStart w:id="350" w:name="_Toc431373476"/>
      <w:bookmarkStart w:id="351" w:name="_Toc431373582"/>
      <w:bookmarkStart w:id="352" w:name="_Toc431635118"/>
      <w:bookmarkStart w:id="353" w:name="_Toc431635247"/>
      <w:bookmarkStart w:id="354" w:name="_Toc464025840"/>
      <w:bookmarkStart w:id="355" w:name="_Toc242176802"/>
      <w:r>
        <w:t>7.4 Coordination Scenarios</w:t>
      </w:r>
      <w:bookmarkEnd w:id="350"/>
      <w:bookmarkEnd w:id="351"/>
      <w:bookmarkEnd w:id="352"/>
      <w:bookmarkEnd w:id="353"/>
      <w:bookmarkEnd w:id="354"/>
      <w:bookmarkEnd w:id="355"/>
    </w:p>
    <w:p w14:paraId="4085E897" w14:textId="77777777" w:rsidR="00AC5CD3" w:rsidRDefault="00AC5CD3">
      <w:r>
        <w:t xml:space="preserve">There are </w:t>
      </w:r>
      <w:proofErr w:type="gramStart"/>
      <w:r>
        <w:t>a number of</w:t>
      </w:r>
      <w:proofErr w:type="gramEnd"/>
      <w:r>
        <w:t xml:space="preserve"> coordination situations that need to be considered in conducting 3.4 GHz frequency assignments in regional areas:</w:t>
      </w:r>
    </w:p>
    <w:p w14:paraId="6C38B162" w14:textId="77777777" w:rsidR="00AC5CD3" w:rsidRDefault="00AC5CD3">
      <w:pPr>
        <w:numPr>
          <w:ilvl w:val="0"/>
          <w:numId w:val="9"/>
        </w:numPr>
        <w:ind w:left="283"/>
      </w:pPr>
      <w:r>
        <w:t>any assignments being considered within 150 km of</w:t>
      </w:r>
      <w:r w:rsidR="0083077D" w:rsidRPr="0083077D">
        <w:rPr>
          <w:lang w:val="en-AU"/>
        </w:rPr>
        <w:t xml:space="preserve"> </w:t>
      </w:r>
      <w:r w:rsidR="0083077D" w:rsidRPr="004B73B7">
        <w:rPr>
          <w:lang w:val="en-AU"/>
        </w:rPr>
        <w:t>latitu</w:t>
      </w:r>
      <w:r w:rsidR="0083077D">
        <w:rPr>
          <w:lang w:val="en-AU"/>
        </w:rPr>
        <w:t xml:space="preserve">de </w:t>
      </w:r>
      <w:r w:rsidR="003B6FFD">
        <w:t>12.449722</w:t>
      </w:r>
      <w:r w:rsidR="003B6FFD" w:rsidRPr="00402468">
        <w:t xml:space="preserve"> South and longitude </w:t>
      </w:r>
      <w:r w:rsidR="003B6FFD">
        <w:lastRenderedPageBreak/>
        <w:t>130.833333</w:t>
      </w:r>
      <w:r w:rsidR="003B6FFD" w:rsidRPr="00402468">
        <w:t xml:space="preserve"> East (GDA94 Datum) in Darwin (NT) and latitude </w:t>
      </w:r>
      <w:r w:rsidR="003B6FFD">
        <w:t>28.766389</w:t>
      </w:r>
      <w:r w:rsidR="003B6FFD" w:rsidRPr="00402468">
        <w:t xml:space="preserve"> South and longitude </w:t>
      </w:r>
      <w:r w:rsidR="003B6FFD">
        <w:t>114.616667</w:t>
      </w:r>
      <w:r w:rsidR="003B6FFD" w:rsidRPr="00402468">
        <w:t xml:space="preserve"> East (GDA94 Datum) in Geraldton (WA)</w:t>
      </w:r>
      <w:r>
        <w:t>; the requirements for this situation are described in section 7.4.1 of this RALI;</w:t>
      </w:r>
    </w:p>
    <w:p w14:paraId="55F9F636" w14:textId="77777777" w:rsidR="003B6FFD" w:rsidRDefault="003B6FFD" w:rsidP="003B6FFD">
      <w:pPr>
        <w:numPr>
          <w:ilvl w:val="0"/>
          <w:numId w:val="9"/>
        </w:numPr>
        <w:ind w:left="283"/>
      </w:pPr>
      <w:r>
        <w:t xml:space="preserve">coordination with the </w:t>
      </w:r>
      <w:r w:rsidR="000F3EA7" w:rsidRPr="00402468">
        <w:t>Australia</w:t>
      </w:r>
      <w:r w:rsidR="000F3EA7">
        <w:t>n</w:t>
      </w:r>
      <w:r w:rsidR="000F3EA7" w:rsidRPr="00402468">
        <w:t xml:space="preserve"> Radio Quiet Zone Western Australia </w:t>
      </w:r>
      <w:r w:rsidRPr="00992B56">
        <w:t xml:space="preserve">centred at latitude </w:t>
      </w:r>
      <w:r>
        <w:t>26.704167</w:t>
      </w:r>
      <w:r w:rsidRPr="00992B56">
        <w:t xml:space="preserve"> South and longitude </w:t>
      </w:r>
      <w:r>
        <w:t xml:space="preserve">116.658889 East (GDA94); the requirements for this situation are described in section 7.4.1 of this RALI; </w:t>
      </w:r>
    </w:p>
    <w:p w14:paraId="716747F6" w14:textId="77777777" w:rsidR="00AC5CD3" w:rsidRDefault="00AC5CD3">
      <w:pPr>
        <w:numPr>
          <w:ilvl w:val="0"/>
          <w:numId w:val="9"/>
        </w:numPr>
        <w:ind w:left="283"/>
      </w:pPr>
      <w:r>
        <w:t>coordination between co-channel systems operating in different areas; the requirements for this situation are described in section 7.4.2 of this RALI;</w:t>
      </w:r>
    </w:p>
    <w:p w14:paraId="22409A1C" w14:textId="77777777" w:rsidR="00AC5CD3" w:rsidRDefault="00AC5CD3">
      <w:pPr>
        <w:numPr>
          <w:ilvl w:val="0"/>
          <w:numId w:val="9"/>
        </w:numPr>
        <w:ind w:left="283"/>
      </w:pPr>
      <w:r>
        <w:t xml:space="preserve">coordination between adjacent channel systems operating in the same area; the requirements for this situation are described in section 7.4.3 of this RALI; </w:t>
      </w:r>
    </w:p>
    <w:p w14:paraId="2364F3D3" w14:textId="77777777" w:rsidR="00AC5CD3" w:rsidRDefault="00AC5CD3">
      <w:pPr>
        <w:numPr>
          <w:ilvl w:val="0"/>
          <w:numId w:val="9"/>
        </w:numPr>
        <w:ind w:left="283"/>
      </w:pPr>
      <w:r>
        <w:t>coordination between regional area locations and spectrum space specified in Schedule 1; the requirements for this situation are described in section 7.4.4 of this RALI.</w:t>
      </w:r>
    </w:p>
    <w:p w14:paraId="72EA9C59" w14:textId="77777777" w:rsidR="003B6FFD" w:rsidRDefault="003B6FFD" w:rsidP="003B6FFD">
      <w:pPr>
        <w:numPr>
          <w:ilvl w:val="0"/>
          <w:numId w:val="9"/>
        </w:numPr>
        <w:ind w:left="283"/>
      </w:pPr>
      <w:r>
        <w:t xml:space="preserve">Coordination between point-to-multipoint systems and Public Telecommunications </w:t>
      </w:r>
      <w:r w:rsidR="007A3F45">
        <w:t>Services</w:t>
      </w:r>
      <w:r>
        <w:t xml:space="preserve"> (PTS); the requirements for this situation are described in section 7.4.5 of this RALI.</w:t>
      </w:r>
    </w:p>
    <w:p w14:paraId="2D7CF31A" w14:textId="77777777" w:rsidR="003B6FFD" w:rsidRDefault="003B6FFD" w:rsidP="00062AFF"/>
    <w:p w14:paraId="2D86EE29" w14:textId="77777777" w:rsidR="00AC5CD3" w:rsidRDefault="00AC5CD3">
      <w:pPr>
        <w:pStyle w:val="Heading4"/>
        <w:spacing w:before="120" w:after="120"/>
      </w:pPr>
      <w:bookmarkStart w:id="356" w:name="_Toc431373477"/>
      <w:bookmarkStart w:id="357" w:name="_Toc431373583"/>
      <w:bookmarkStart w:id="358" w:name="_Toc431635119"/>
      <w:bookmarkStart w:id="359" w:name="_Toc431635248"/>
      <w:bookmarkStart w:id="360" w:name="_Toc464025841"/>
      <w:bookmarkStart w:id="361" w:name="_Toc242176803"/>
      <w:proofErr w:type="gramStart"/>
      <w:r>
        <w:t>7.4.1  Coordination</w:t>
      </w:r>
      <w:proofErr w:type="gramEnd"/>
      <w:r>
        <w:t xml:space="preserve"> within specified regional areas</w:t>
      </w:r>
      <w:bookmarkEnd w:id="356"/>
      <w:bookmarkEnd w:id="357"/>
      <w:bookmarkEnd w:id="358"/>
      <w:bookmarkEnd w:id="359"/>
      <w:bookmarkEnd w:id="360"/>
      <w:bookmarkEnd w:id="361"/>
    </w:p>
    <w:p w14:paraId="2C6B59D6" w14:textId="77777777" w:rsidR="003B6FFD" w:rsidRPr="00402468" w:rsidRDefault="000F3EA7" w:rsidP="003B6FFD">
      <w:pPr>
        <w:widowControl/>
      </w:pPr>
      <w:r w:rsidRPr="00062AFF">
        <w:rPr>
          <w:i/>
        </w:rPr>
        <w:t>Australian Radio Quiet Zone Western Australia</w:t>
      </w:r>
      <w:r w:rsidRPr="00402468">
        <w:t xml:space="preserve"> </w:t>
      </w:r>
      <w:r w:rsidR="003B6FFD" w:rsidRPr="00402468">
        <w:t>The ACMA established the Australia</w:t>
      </w:r>
      <w:r>
        <w:t>n</w:t>
      </w:r>
      <w:r w:rsidR="003B6FFD" w:rsidRPr="00402468">
        <w:t xml:space="preserve"> Radio Quiet Zone Western Australia (ARQZWA) on 11 April 2005. The ARQZWA aims to maintain the current “radio-quietness” of a site in remote Western Australia (near Boolardy Station, around 200 km West of Meekatharra)</w:t>
      </w:r>
      <w:r w:rsidR="003B6FFD" w:rsidRPr="00992B56">
        <w:t xml:space="preserve"> centred at latitude </w:t>
      </w:r>
      <w:r w:rsidR="003B6FFD">
        <w:t>26.704167</w:t>
      </w:r>
      <w:r w:rsidR="003B6FFD" w:rsidRPr="00992B56">
        <w:t xml:space="preserve"> South and longitude </w:t>
      </w:r>
      <w:r w:rsidR="003B6FFD">
        <w:t>116.658889</w:t>
      </w:r>
      <w:r w:rsidR="003B6FFD" w:rsidRPr="00992B56">
        <w:t xml:space="preserve"> East (GDA94). </w:t>
      </w:r>
      <w:r w:rsidR="003B6FFD" w:rsidRPr="00402468">
        <w:t>The area has very low levels of radiofrequency energy because of its low population and lack of industrial development. The ARQZWA is intended to facilitate the development and use of new radio astronomy technologies at that location, this includes the development and operation of the Square Kilometre Array (SKA).</w:t>
      </w:r>
    </w:p>
    <w:p w14:paraId="2D623066" w14:textId="77777777" w:rsidR="003B6FFD" w:rsidRPr="00992B56" w:rsidRDefault="003B6FFD" w:rsidP="003B6FFD">
      <w:pPr>
        <w:widowControl/>
        <w:rPr>
          <w:lang w:val="en-AU"/>
        </w:rPr>
      </w:pPr>
      <w:r w:rsidRPr="00992B56">
        <w:t>Radiocommunications Assignment and Licensing Instruction, RALI MS32, details the coordination requirements for Apparatus Lic</w:t>
      </w:r>
      <w:r>
        <w:t>ences within the ARQZWA</w:t>
      </w:r>
      <w:r w:rsidRPr="00992B56">
        <w:t>. Proposed assignments must conform to the requirements of RALI MS32.</w:t>
      </w:r>
    </w:p>
    <w:p w14:paraId="2AE781BD" w14:textId="77777777" w:rsidR="003B6FFD" w:rsidRDefault="003B6FFD" w:rsidP="003B6FFD">
      <w:pPr>
        <w:rPr>
          <w:i/>
          <w:u w:val="single"/>
        </w:rPr>
      </w:pPr>
    </w:p>
    <w:p w14:paraId="0E68EA7B" w14:textId="77777777" w:rsidR="003B6FFD" w:rsidRPr="00402468" w:rsidRDefault="003B6FFD" w:rsidP="003B6FFD">
      <w:pPr>
        <w:rPr>
          <w:i/>
          <w:u w:val="single"/>
        </w:rPr>
      </w:pPr>
      <w:r w:rsidRPr="00402468">
        <w:rPr>
          <w:i/>
          <w:u w:val="single"/>
        </w:rPr>
        <w:t>Darwin and Geraldton Coordination Zones</w:t>
      </w:r>
    </w:p>
    <w:p w14:paraId="69F83AB6" w14:textId="77777777" w:rsidR="0083077D" w:rsidRDefault="003B6FFD" w:rsidP="0083077D">
      <w:pPr>
        <w:widowControl/>
        <w:rPr>
          <w:lang w:val="en-AU"/>
        </w:rPr>
      </w:pPr>
      <w:r w:rsidRPr="00402468">
        <w:t xml:space="preserve">Requests for assignments within 150 km of latitude </w:t>
      </w:r>
      <w:r>
        <w:t>12.449722</w:t>
      </w:r>
      <w:r w:rsidRPr="00402468">
        <w:t xml:space="preserve"> South and longitude </w:t>
      </w:r>
      <w:r>
        <w:t>130.833333</w:t>
      </w:r>
      <w:r w:rsidRPr="00402468">
        <w:t xml:space="preserve"> East (GDA94 Datum) in Darwin (NT) and latitude </w:t>
      </w:r>
      <w:r>
        <w:t>28.766389</w:t>
      </w:r>
      <w:r w:rsidRPr="00402468">
        <w:t xml:space="preserve"> South and longitude </w:t>
      </w:r>
      <w:r>
        <w:t>114.616667</w:t>
      </w:r>
      <w:r w:rsidRPr="00402468">
        <w:t xml:space="preserve"> East (GDA94 Datum) in Geraldton (WA), are to be referred to</w:t>
      </w:r>
      <w:r>
        <w:t xml:space="preserve"> the FAC policy exemptions (email: </w:t>
      </w:r>
      <w:hyperlink r:id="rId25" w:history="1">
        <w:r w:rsidRPr="00B10323">
          <w:rPr>
            <w:rStyle w:val="Hyperlink"/>
          </w:rPr>
          <w:t>FACPolicyExemptions@acma.gov.au</w:t>
        </w:r>
      </w:hyperlink>
      <w:r>
        <w:t>) at the ACMA</w:t>
      </w:r>
      <w:r w:rsidRPr="00E50488">
        <w:rPr>
          <w:rStyle w:val="FootnoteReference"/>
          <w:lang w:val="en-AU"/>
        </w:rPr>
        <w:footnoteReference w:id="3"/>
      </w:r>
      <w:r>
        <w:rPr>
          <w:lang w:val="en-AU"/>
        </w:rPr>
        <w:t>.</w:t>
      </w:r>
    </w:p>
    <w:p w14:paraId="72F143A3" w14:textId="77777777" w:rsidR="00AC5CD3" w:rsidRDefault="00AC5CD3">
      <w:pPr>
        <w:pStyle w:val="Heading4"/>
        <w:spacing w:before="120" w:after="120"/>
      </w:pPr>
      <w:bookmarkStart w:id="362" w:name="_Toc411313374"/>
      <w:bookmarkStart w:id="363" w:name="_Toc411313711"/>
      <w:bookmarkStart w:id="364" w:name="_Toc411313808"/>
      <w:bookmarkStart w:id="365" w:name="_Toc411396535"/>
      <w:bookmarkStart w:id="366" w:name="_Toc411396634"/>
      <w:bookmarkStart w:id="367" w:name="_Toc411735885"/>
      <w:bookmarkStart w:id="368" w:name="_Toc411736131"/>
      <w:bookmarkStart w:id="369" w:name="_Toc411826315"/>
      <w:bookmarkStart w:id="370" w:name="_Toc411908120"/>
      <w:bookmarkStart w:id="371" w:name="_Toc411908292"/>
      <w:bookmarkStart w:id="372" w:name="_Toc411917640"/>
      <w:bookmarkStart w:id="373" w:name="_Toc413653381"/>
      <w:bookmarkStart w:id="374" w:name="_Toc414416557"/>
      <w:bookmarkStart w:id="375" w:name="_Toc414416585"/>
      <w:bookmarkStart w:id="376" w:name="_Toc416767888"/>
      <w:bookmarkStart w:id="377" w:name="_Toc416768003"/>
      <w:bookmarkStart w:id="378" w:name="_Toc417275627"/>
      <w:bookmarkStart w:id="379" w:name="_Toc419254213"/>
      <w:bookmarkStart w:id="380" w:name="_Toc419260267"/>
      <w:r>
        <w:br w:type="page"/>
      </w:r>
      <w:bookmarkStart w:id="381" w:name="_Toc431373478"/>
      <w:bookmarkStart w:id="382" w:name="_Toc431373584"/>
      <w:bookmarkStart w:id="383" w:name="_Toc431635120"/>
      <w:bookmarkStart w:id="384" w:name="_Toc431635249"/>
      <w:bookmarkStart w:id="385" w:name="_Toc464025842"/>
      <w:bookmarkStart w:id="386" w:name="_Toc242176804"/>
      <w:proofErr w:type="gramStart"/>
      <w:r>
        <w:lastRenderedPageBreak/>
        <w:t>7.4.2  Coordination</w:t>
      </w:r>
      <w:proofErr w:type="gramEnd"/>
      <w:r>
        <w:t xml:space="preserve"> Between Systems Operating in Different Areas (Co</w:t>
      </w:r>
      <w:r>
        <w:noBreakHyphen/>
        <w:t>channel)</w:t>
      </w:r>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p>
    <w:p w14:paraId="2CBCB728" w14:textId="77777777" w:rsidR="00AC5CD3" w:rsidRDefault="00AC5CD3">
      <w:pPr>
        <w:pStyle w:val="Heading5"/>
      </w:pPr>
      <w:bookmarkStart w:id="387" w:name="_Toc416767889"/>
      <w:bookmarkStart w:id="388" w:name="_Toc416768004"/>
      <w:bookmarkStart w:id="389" w:name="_Toc417275628"/>
      <w:bookmarkStart w:id="390" w:name="_Toc419254214"/>
      <w:bookmarkStart w:id="391" w:name="_Toc419260268"/>
      <w:bookmarkStart w:id="392" w:name="_Toc431373479"/>
      <w:bookmarkStart w:id="393" w:name="_Toc431373585"/>
      <w:bookmarkStart w:id="394" w:name="_Toc431635121"/>
      <w:bookmarkStart w:id="395" w:name="_Toc431635250"/>
      <w:bookmarkStart w:id="396" w:name="_Toc464025843"/>
      <w:bookmarkStart w:id="397" w:name="_Toc242176805"/>
      <w:proofErr w:type="gramStart"/>
      <w:r>
        <w:t>7.4.2.1  Re</w:t>
      </w:r>
      <w:proofErr w:type="gramEnd"/>
      <w:r>
        <w:t>-use Distance</w:t>
      </w:r>
      <w:bookmarkEnd w:id="392"/>
      <w:bookmarkEnd w:id="393"/>
      <w:bookmarkEnd w:id="394"/>
      <w:bookmarkEnd w:id="395"/>
      <w:bookmarkEnd w:id="396"/>
      <w:bookmarkEnd w:id="397"/>
    </w:p>
    <w:p w14:paraId="5ECB4595" w14:textId="77777777" w:rsidR="00AC5CD3" w:rsidRDefault="00AC5CD3">
      <w:r>
        <w:t>A base station may be operated on the same channel, or group of channels</w:t>
      </w:r>
      <w:r>
        <w:rPr>
          <w:rStyle w:val="FootnoteReference"/>
        </w:rPr>
        <w:footnoteReference w:id="4"/>
      </w:r>
      <w:r>
        <w:t xml:space="preserve"> as another service at a distance of 90 km from that existing base station, provided that the base station antennas are mounted such that the path loss at 90 km from the base site is equal to, or exceeds, 165 dB at a point 6 m above average terrain height (see section 7.5 of this RALI for discussion of terrain height).  This antenna height is chosen to represent the height of an average suburban dwelling.  These path loss requirements provide for adequate carrier to interference ratios for reliable system performance.</w:t>
      </w:r>
    </w:p>
    <w:p w14:paraId="37394CFB" w14:textId="77777777" w:rsidR="00AC5CD3" w:rsidRDefault="00AC5CD3">
      <w:r>
        <w:t xml:space="preserve">Whilst this assignment requirement specifically addresses coordination with already established adjacent area systems, planners and assigners need to pay regard to retaining scope for new systems to be deployed at the 90 km re-use distance, in any direction from the proposed site.  That is, if the </w:t>
      </w:r>
      <w:proofErr w:type="gramStart"/>
      <w:r>
        <w:t>165 dB</w:t>
      </w:r>
      <w:proofErr w:type="gramEnd"/>
      <w:r>
        <w:t xml:space="preserve"> path loss at 90 km is not achievable in a particular direction from the site, then action may need to be taken to allow for this, eg. reduction in base antenna height, tilting, or perhaps reduced Equivalent Isotropically Radiated Power (EIRP) in the affected direction to maintain the required potential grade of service in the adjacent area.  Particularly, systems planned to be installed at very high sites may be required to implement such measures.</w:t>
      </w:r>
    </w:p>
    <w:p w14:paraId="2C4B0995" w14:textId="77777777" w:rsidR="00AC5CD3" w:rsidRDefault="00AC5CD3">
      <w:r>
        <w:t>Note:  The rationale for the re-use distance of 90 km and path loss requirement is provided at Annex B of this RALI; it is based on cellular system re-use design principles and assumes a typical cluttered high-low propagation path, with a distance exponent factor ‘n’ of 3.2.  For systems in different environments to this, regard should be paid to the requirements at section 7.4.2.3 of this RALI.</w:t>
      </w:r>
    </w:p>
    <w:p w14:paraId="55BB6F25" w14:textId="77777777" w:rsidR="00AC5CD3" w:rsidRDefault="00AC5CD3">
      <w:pPr>
        <w:pStyle w:val="Heading5"/>
      </w:pPr>
      <w:bookmarkStart w:id="398" w:name="_Toc431373480"/>
      <w:bookmarkStart w:id="399" w:name="_Toc431373586"/>
      <w:bookmarkStart w:id="400" w:name="_Toc431635122"/>
      <w:bookmarkStart w:id="401" w:name="_Toc431635251"/>
      <w:bookmarkStart w:id="402" w:name="_Toc464025844"/>
      <w:bookmarkStart w:id="403" w:name="_Toc242176806"/>
      <w:proofErr w:type="gramStart"/>
      <w:r>
        <w:t>7</w:t>
      </w:r>
      <w:bookmarkStart w:id="404" w:name="_Toc416767890"/>
      <w:bookmarkStart w:id="405" w:name="_Toc416768005"/>
      <w:bookmarkStart w:id="406" w:name="_Toc417275629"/>
      <w:bookmarkStart w:id="407" w:name="_Toc419254215"/>
      <w:bookmarkStart w:id="408" w:name="_Toc419260269"/>
      <w:bookmarkEnd w:id="387"/>
      <w:bookmarkEnd w:id="388"/>
      <w:bookmarkEnd w:id="389"/>
      <w:bookmarkEnd w:id="390"/>
      <w:bookmarkEnd w:id="391"/>
      <w:r>
        <w:t>.4.2.2  Customer</w:t>
      </w:r>
      <w:proofErr w:type="gramEnd"/>
      <w:r>
        <w:t xml:space="preserve"> Antenna Siting</w:t>
      </w:r>
      <w:bookmarkEnd w:id="398"/>
      <w:bookmarkEnd w:id="399"/>
      <w:bookmarkEnd w:id="400"/>
      <w:bookmarkEnd w:id="401"/>
      <w:bookmarkEnd w:id="402"/>
      <w:bookmarkEnd w:id="403"/>
      <w:bookmarkEnd w:id="404"/>
      <w:bookmarkEnd w:id="405"/>
      <w:bookmarkEnd w:id="406"/>
      <w:bookmarkEnd w:id="407"/>
      <w:bookmarkEnd w:id="408"/>
    </w:p>
    <w:p w14:paraId="12A3CC5D" w14:textId="77777777" w:rsidR="00AC5CD3" w:rsidRDefault="00AC5CD3">
      <w:r>
        <w:t>Any customer receiver in regional areas with an antenna mounted more than 6 m above the average terrain height will not be able to be afforded protection from a base transmitter that meets the requirements of section 7.4.2.1 of this RALI.  If interference occurs to a base receiver from such a customer terminal, then remedial action will be needed by the operator of the offending system.</w:t>
      </w:r>
    </w:p>
    <w:p w14:paraId="30E3D12C" w14:textId="77777777" w:rsidR="00AC5CD3" w:rsidRDefault="00AC5CD3">
      <w:pPr>
        <w:pStyle w:val="Heading5"/>
      </w:pPr>
      <w:bookmarkStart w:id="409" w:name="_Toc416767891"/>
      <w:bookmarkStart w:id="410" w:name="_Toc416768006"/>
      <w:bookmarkStart w:id="411" w:name="_Toc417275630"/>
      <w:bookmarkStart w:id="412" w:name="_Toc419254216"/>
      <w:bookmarkStart w:id="413" w:name="_Toc419260270"/>
      <w:bookmarkStart w:id="414" w:name="_Toc431373481"/>
      <w:bookmarkStart w:id="415" w:name="_Toc431373587"/>
      <w:bookmarkStart w:id="416" w:name="_Toc431635123"/>
      <w:bookmarkStart w:id="417" w:name="_Toc431635252"/>
      <w:bookmarkStart w:id="418" w:name="_Toc464025845"/>
      <w:bookmarkStart w:id="419" w:name="_Toc242176807"/>
      <w:proofErr w:type="gramStart"/>
      <w:r>
        <w:t>7.4.2.3  Re</w:t>
      </w:r>
      <w:proofErr w:type="gramEnd"/>
      <w:r>
        <w:t>-use Flexibility</w:t>
      </w:r>
      <w:bookmarkEnd w:id="409"/>
      <w:bookmarkEnd w:id="410"/>
      <w:bookmarkEnd w:id="411"/>
      <w:bookmarkEnd w:id="412"/>
      <w:bookmarkEnd w:id="413"/>
      <w:bookmarkEnd w:id="414"/>
      <w:bookmarkEnd w:id="415"/>
      <w:bookmarkEnd w:id="416"/>
      <w:bookmarkEnd w:id="417"/>
      <w:bookmarkEnd w:id="418"/>
      <w:bookmarkEnd w:id="419"/>
    </w:p>
    <w:p w14:paraId="2EDC401B" w14:textId="77777777" w:rsidR="00AC5CD3" w:rsidRDefault="00AC5CD3">
      <w:r>
        <w:t xml:space="preserve">In certain circumstances, terrain shielding may allow spectral re-use at a distance less than 90 km from an established co-channel site.  The </w:t>
      </w:r>
      <w:r w:rsidR="00176D78">
        <w:t xml:space="preserve">ACMA </w:t>
      </w:r>
      <w:r>
        <w:t xml:space="preserve">will consider any such proposals individually on merit.  Applicants will need to demonstrate compliance with section 7.4.2.1 of this RALI path loss requirements and may be required to consult with other licensees potentially affected by the proposal.  Similarly, 90 km separation may not be </w:t>
      </w:r>
      <w:proofErr w:type="gramStart"/>
      <w:r>
        <w:t>sufficient</w:t>
      </w:r>
      <w:proofErr w:type="gramEnd"/>
      <w:r>
        <w:t xml:space="preserve"> to protect adjacent systems over some flat terrain or water paths.  System planners and frequency assigners should take this into account, paying regard to local terrain conditions.  The </w:t>
      </w:r>
      <w:r w:rsidR="00176D78">
        <w:t xml:space="preserve">ACMA </w:t>
      </w:r>
      <w:r>
        <w:t xml:space="preserve">will also </w:t>
      </w:r>
      <w:proofErr w:type="gramStart"/>
      <w:r>
        <w:t>take into account</w:t>
      </w:r>
      <w:proofErr w:type="gramEnd"/>
      <w:r>
        <w:t xml:space="preserve"> any proposals for departure from these requirements based on mutual agreements between adjacent operators.</w:t>
      </w:r>
    </w:p>
    <w:p w14:paraId="52940B59" w14:textId="77777777" w:rsidR="00AC5CD3" w:rsidRDefault="00AC5CD3">
      <w:pPr>
        <w:pStyle w:val="Heading4"/>
        <w:spacing w:before="120" w:after="120"/>
      </w:pPr>
      <w:bookmarkStart w:id="420" w:name="_Toc411313375"/>
      <w:bookmarkStart w:id="421" w:name="_Toc411313712"/>
      <w:bookmarkStart w:id="422" w:name="_Toc411313809"/>
      <w:bookmarkStart w:id="423" w:name="_Toc411396536"/>
      <w:bookmarkStart w:id="424" w:name="_Toc411396635"/>
      <w:bookmarkStart w:id="425" w:name="_Toc411735886"/>
      <w:bookmarkStart w:id="426" w:name="_Toc411736132"/>
      <w:bookmarkStart w:id="427" w:name="_Toc411826316"/>
      <w:bookmarkStart w:id="428" w:name="_Toc411908121"/>
      <w:bookmarkStart w:id="429" w:name="_Toc411908293"/>
      <w:bookmarkStart w:id="430" w:name="_Toc411917641"/>
      <w:bookmarkStart w:id="431" w:name="_Toc413653382"/>
      <w:bookmarkStart w:id="432" w:name="_Toc414416558"/>
      <w:bookmarkStart w:id="433" w:name="_Toc414416586"/>
      <w:bookmarkStart w:id="434" w:name="_Toc416767892"/>
      <w:bookmarkStart w:id="435" w:name="_Toc416768007"/>
      <w:bookmarkStart w:id="436" w:name="_Toc417275631"/>
      <w:bookmarkStart w:id="437" w:name="_Toc419254217"/>
      <w:bookmarkStart w:id="438" w:name="_Toc419260271"/>
      <w:bookmarkStart w:id="439" w:name="_Toc431373482"/>
      <w:bookmarkStart w:id="440" w:name="_Toc431373588"/>
      <w:bookmarkStart w:id="441" w:name="_Toc431635124"/>
      <w:bookmarkStart w:id="442" w:name="_Toc431635253"/>
      <w:bookmarkStart w:id="443" w:name="_Toc464025846"/>
      <w:r>
        <w:br w:type="page"/>
      </w:r>
      <w:bookmarkStart w:id="444" w:name="_Toc242176808"/>
      <w:proofErr w:type="gramStart"/>
      <w:r>
        <w:lastRenderedPageBreak/>
        <w:t>7.4.3  Coordination</w:t>
      </w:r>
      <w:proofErr w:type="gramEnd"/>
      <w:r>
        <w:t xml:space="preserve"> Between Systems Operating in the Same Area, in Adjacent </w:t>
      </w:r>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r>
        <w:t>Bands</w:t>
      </w:r>
      <w:bookmarkEnd w:id="439"/>
      <w:bookmarkEnd w:id="440"/>
      <w:bookmarkEnd w:id="441"/>
      <w:bookmarkEnd w:id="442"/>
      <w:bookmarkEnd w:id="443"/>
      <w:bookmarkEnd w:id="444"/>
    </w:p>
    <w:p w14:paraId="1484305F" w14:textId="77777777" w:rsidR="00AC5CD3" w:rsidRDefault="00AC5CD3">
      <w:pPr>
        <w:pStyle w:val="Heading5"/>
      </w:pPr>
      <w:bookmarkStart w:id="445" w:name="_Toc416767893"/>
      <w:bookmarkStart w:id="446" w:name="_Toc416768008"/>
      <w:bookmarkStart w:id="447" w:name="_Toc417275632"/>
      <w:bookmarkStart w:id="448" w:name="_Toc419254218"/>
      <w:bookmarkStart w:id="449" w:name="_Toc419260272"/>
      <w:bookmarkStart w:id="450" w:name="_Toc431373483"/>
      <w:bookmarkStart w:id="451" w:name="_Toc431373589"/>
      <w:bookmarkStart w:id="452" w:name="_Toc431635125"/>
      <w:bookmarkStart w:id="453" w:name="_Toc431635254"/>
      <w:bookmarkStart w:id="454" w:name="_Toc464025847"/>
      <w:bookmarkStart w:id="455" w:name="_Toc242176809"/>
      <w:proofErr w:type="gramStart"/>
      <w:r>
        <w:t>7.4.3.1  Re</w:t>
      </w:r>
      <w:proofErr w:type="gramEnd"/>
      <w:r>
        <w:t>-use Distance</w:t>
      </w:r>
      <w:bookmarkEnd w:id="445"/>
      <w:bookmarkEnd w:id="446"/>
      <w:bookmarkEnd w:id="447"/>
      <w:bookmarkEnd w:id="448"/>
      <w:bookmarkEnd w:id="449"/>
      <w:bookmarkEnd w:id="450"/>
      <w:bookmarkEnd w:id="451"/>
      <w:bookmarkEnd w:id="452"/>
      <w:bookmarkEnd w:id="453"/>
      <w:bookmarkEnd w:id="454"/>
      <w:bookmarkEnd w:id="455"/>
    </w:p>
    <w:p w14:paraId="2E407A97" w14:textId="77777777" w:rsidR="00AC5CD3" w:rsidRDefault="00AC5CD3">
      <w:pPr>
        <w:rPr>
          <w:sz w:val="18"/>
        </w:rPr>
      </w:pPr>
      <w:r>
        <w:t xml:space="preserve">For the purpose of specifying a re-use distance, the adjacent band is defined as that spectrum within 600 kHz of the edge of the authorised bandwidth of a licensed service (consistent with Annex A of this RALI emission limits).  A base station may be operated in the immediately adjacent band and at a distance 20 km from the base station of another service, </w:t>
      </w:r>
      <w:proofErr w:type="gramStart"/>
      <w:r>
        <w:t>provided that</w:t>
      </w:r>
      <w:proofErr w:type="gramEnd"/>
      <w:r>
        <w:t xml:space="preserve"> system base antennas are mounted such that the path loss at 20 km from the base transmitter is equal to, or exceeds, 144 dB at a point 6 m above average terrain height</w:t>
      </w:r>
      <w:r>
        <w:rPr>
          <w:sz w:val="18"/>
        </w:rPr>
        <w:t>.</w:t>
      </w:r>
    </w:p>
    <w:p w14:paraId="7AABB0AB" w14:textId="77777777" w:rsidR="00AC5CD3" w:rsidRDefault="00AC5CD3">
      <w:r>
        <w:t>There is no distance separation requirement for channels more than 600 kHz from the band edge.</w:t>
      </w:r>
    </w:p>
    <w:p w14:paraId="27A58AB5" w14:textId="77777777" w:rsidR="00AC5CD3" w:rsidRDefault="00AC5CD3">
      <w:pPr>
        <w:pStyle w:val="Heading5"/>
      </w:pPr>
      <w:bookmarkStart w:id="456" w:name="_Toc416767894"/>
      <w:bookmarkStart w:id="457" w:name="_Toc416768009"/>
      <w:bookmarkStart w:id="458" w:name="_Toc417275633"/>
      <w:bookmarkStart w:id="459" w:name="_Toc419254219"/>
      <w:bookmarkStart w:id="460" w:name="_Toc419260273"/>
      <w:bookmarkStart w:id="461" w:name="_Toc431373484"/>
      <w:bookmarkStart w:id="462" w:name="_Toc431373590"/>
      <w:bookmarkStart w:id="463" w:name="_Toc431635126"/>
      <w:bookmarkStart w:id="464" w:name="_Toc431635255"/>
      <w:bookmarkStart w:id="465" w:name="_Toc464025848"/>
      <w:bookmarkStart w:id="466" w:name="_Toc242176810"/>
      <w:proofErr w:type="gramStart"/>
      <w:r>
        <w:t>7.4.3.2  Customer</w:t>
      </w:r>
      <w:proofErr w:type="gramEnd"/>
      <w:r>
        <w:t xml:space="preserve"> Antenna Siting</w:t>
      </w:r>
      <w:bookmarkEnd w:id="456"/>
      <w:bookmarkEnd w:id="457"/>
      <w:bookmarkEnd w:id="458"/>
      <w:bookmarkEnd w:id="459"/>
      <w:bookmarkEnd w:id="460"/>
      <w:bookmarkEnd w:id="461"/>
      <w:bookmarkEnd w:id="462"/>
      <w:bookmarkEnd w:id="463"/>
      <w:bookmarkEnd w:id="464"/>
      <w:bookmarkEnd w:id="465"/>
      <w:bookmarkEnd w:id="466"/>
    </w:p>
    <w:p w14:paraId="14C6FB87" w14:textId="77777777" w:rsidR="00AC5CD3" w:rsidRDefault="00AC5CD3">
      <w:r>
        <w:t>The height restrictions detailed in section 7.4.2.2 of this RALI apply.</w:t>
      </w:r>
    </w:p>
    <w:p w14:paraId="30AC1F3E" w14:textId="77777777" w:rsidR="00AC5CD3" w:rsidRDefault="00AC5CD3">
      <w:pPr>
        <w:pStyle w:val="Heading5"/>
      </w:pPr>
      <w:bookmarkStart w:id="467" w:name="_Toc416767895"/>
      <w:bookmarkStart w:id="468" w:name="_Toc416768010"/>
      <w:bookmarkStart w:id="469" w:name="_Toc417275634"/>
      <w:bookmarkStart w:id="470" w:name="_Toc419254220"/>
      <w:bookmarkStart w:id="471" w:name="_Toc419260274"/>
      <w:bookmarkStart w:id="472" w:name="_Toc431373485"/>
      <w:bookmarkStart w:id="473" w:name="_Toc431373591"/>
      <w:bookmarkStart w:id="474" w:name="_Toc431635127"/>
      <w:bookmarkStart w:id="475" w:name="_Toc431635256"/>
      <w:bookmarkStart w:id="476" w:name="_Toc464025849"/>
      <w:bookmarkStart w:id="477" w:name="_Toc242176811"/>
      <w:proofErr w:type="gramStart"/>
      <w:r>
        <w:t>7.4.3.3  Re</w:t>
      </w:r>
      <w:proofErr w:type="gramEnd"/>
      <w:r>
        <w:t>-use Flexibility</w:t>
      </w:r>
      <w:bookmarkEnd w:id="467"/>
      <w:bookmarkEnd w:id="468"/>
      <w:bookmarkEnd w:id="469"/>
      <w:bookmarkEnd w:id="470"/>
      <w:bookmarkEnd w:id="471"/>
      <w:bookmarkEnd w:id="472"/>
      <w:bookmarkEnd w:id="473"/>
      <w:bookmarkEnd w:id="474"/>
      <w:bookmarkEnd w:id="475"/>
      <w:bookmarkEnd w:id="476"/>
      <w:bookmarkEnd w:id="477"/>
    </w:p>
    <w:p w14:paraId="56376603" w14:textId="77777777" w:rsidR="00AC5CD3" w:rsidRDefault="00AC5CD3">
      <w:r>
        <w:t xml:space="preserve">Path loss between adjacent cells will vary with terrain differences.  This may mean that in some cases, such as over flat terrain, systems may need to be further apart.  To minimise the possibility of interference to subscriber’s receivers at the extremity of service areas, adjacent band base frequencies should not be assigned within the notional 20 km cell boundary of a neighbouring cell (unless through agreement between affected parties).  It should be noted that </w:t>
      </w:r>
      <w:proofErr w:type="gramStart"/>
      <w:r>
        <w:t>close proximity</w:t>
      </w:r>
      <w:proofErr w:type="gramEnd"/>
      <w:r>
        <w:t xml:space="preserve"> between adjacent band transmitters and receivers may result in blocking; this is regarded as a site management situation that would need to be resolved between licensees.</w:t>
      </w:r>
    </w:p>
    <w:p w14:paraId="26516EC9" w14:textId="77777777" w:rsidR="00AC5CD3" w:rsidRDefault="00AC5CD3">
      <w:pPr>
        <w:pStyle w:val="Heading4"/>
        <w:spacing w:before="120" w:after="120"/>
      </w:pPr>
      <w:bookmarkStart w:id="478" w:name="_Toc431373486"/>
      <w:bookmarkStart w:id="479" w:name="_Toc431373592"/>
      <w:bookmarkStart w:id="480" w:name="_Toc431635128"/>
      <w:bookmarkStart w:id="481" w:name="_Toc431635257"/>
      <w:bookmarkStart w:id="482" w:name="_Toc464025850"/>
      <w:bookmarkStart w:id="483" w:name="_Toc242176812"/>
      <w:proofErr w:type="gramStart"/>
      <w:r>
        <w:t>7.4.4  Coordination</w:t>
      </w:r>
      <w:proofErr w:type="gramEnd"/>
      <w:r>
        <w:t xml:space="preserve"> with areas covered by </w:t>
      </w:r>
      <w:bookmarkEnd w:id="478"/>
      <w:bookmarkEnd w:id="479"/>
      <w:bookmarkEnd w:id="480"/>
      <w:bookmarkEnd w:id="481"/>
      <w:r>
        <w:t>Schedule 1</w:t>
      </w:r>
      <w:bookmarkEnd w:id="482"/>
      <w:r>
        <w:t xml:space="preserve"> of the </w:t>
      </w:r>
      <w:r>
        <w:rPr>
          <w:i/>
        </w:rPr>
        <w:t>Radiocommunications (Spectrum Re</w:t>
      </w:r>
      <w:r>
        <w:rPr>
          <w:i/>
        </w:rPr>
        <w:noBreakHyphen/>
        <w:t>allocation) Declaration 2000</w:t>
      </w:r>
      <w:bookmarkEnd w:id="483"/>
    </w:p>
    <w:p w14:paraId="1D13EBDD" w14:textId="77777777" w:rsidR="00AC5CD3" w:rsidRDefault="00AC5CD3">
      <w:r>
        <w:t xml:space="preserve">Schedule 1 of the </w:t>
      </w:r>
      <w:r>
        <w:rPr>
          <w:i/>
        </w:rPr>
        <w:t>Radiocommunications (Spectrum Re</w:t>
      </w:r>
      <w:r>
        <w:rPr>
          <w:i/>
        </w:rPr>
        <w:noBreakHyphen/>
        <w:t>allocation) Declaration 2000</w:t>
      </w:r>
      <w:r>
        <w:t xml:space="preserve"> specifies the areas identified at section 2.0 of this RALI that are to be made available for price-based allocation of 3.4 GHz spectrum.  Under a price-based allocation framework, the licensee may place a receiver anywhere within the boundaries defined by the licence, with a reasonable expectation of protection from interference (assuming use of a technical framework that takes account of the framework in this RALI).  As such, proposed apparatus licensed Point to Multipoint stations within a specified distance of the boundaries of a Schedule 1 area will need to be co-ordinated with the Schedule 1 </w:t>
      </w:r>
      <w:r>
        <w:rPr>
          <w:u w:val="single"/>
        </w:rPr>
        <w:t>frequency band and geographic area</w:t>
      </w:r>
      <w:r>
        <w:t xml:space="preserve">, ie. the ‘spectrum space’ of the area, rather with an actual station or stations as is the usual case.  </w:t>
      </w:r>
    </w:p>
    <w:p w14:paraId="204C44C5" w14:textId="77777777" w:rsidR="00AC5CD3" w:rsidRDefault="00AC5CD3">
      <w:r>
        <w:t>The principles for this coordination requirement are consistent with those detailed at sections 7.4.2 of this RALI and 7.4.3 of this RALI for coordination between apparatus licensed sites in regional areas; in this case, coordination is needed with a notional location in the Schedule 1 area.  This notional location is represented by a point 20 km inside the Schedule 1 area closest to the proposed station being co-ordinated.  This arrangement allows for a service radius of 20 km about that point, consistent with that assumed for regional areas.  The requirements for coordination with Schedule 1 areas are:</w:t>
      </w:r>
    </w:p>
    <w:p w14:paraId="28F6F7FC" w14:textId="77777777" w:rsidR="00AC5CD3" w:rsidRDefault="00AC5CD3">
      <w:pPr>
        <w:numPr>
          <w:ilvl w:val="0"/>
          <w:numId w:val="10"/>
        </w:numPr>
      </w:pPr>
      <w:r>
        <w:t xml:space="preserve">Point to multipoint base stations may be operated provided that the base station antennas are mounted such that the path loss from the proposed base site to the nearest point 20 km inside the Schedule 1 area boundary is equal to, or exceeds, 165 dB at a height 10 m above average terrain height at that point (see section 7.5 of this RALI for discussion of terrain height).  This </w:t>
      </w:r>
      <w:r>
        <w:lastRenderedPageBreak/>
        <w:t xml:space="preserve">antenna height is chosen as a typical mounting height in medium density urban/suburban areas.  Consistent with the 90 km frequency re-use framework described at section 7.4.2.1 of this RALI, for a typical cluttered terrain propagation environment, this should generally result in a base station being able to operate at </w:t>
      </w:r>
      <w:proofErr w:type="gramStart"/>
      <w:r>
        <w:t>a distance of 70</w:t>
      </w:r>
      <w:proofErr w:type="gramEnd"/>
      <w:r>
        <w:t xml:space="preserve"> km from the Schedule 1 area boundaries.  It may be necessary in some cases to slightly reduce the base antenna height to meet the path loss requirements to 10 m subscriber antennas (compared with 6 m in regional areas).</w:t>
      </w:r>
    </w:p>
    <w:p w14:paraId="25943DCA" w14:textId="77777777" w:rsidR="00AC5CD3" w:rsidRDefault="00AC5CD3">
      <w:pPr>
        <w:numPr>
          <w:ilvl w:val="0"/>
          <w:numId w:val="11"/>
        </w:numPr>
      </w:pPr>
      <w:r>
        <w:t xml:space="preserve">As discussed in sections 7.4.2.1 and 7.4.2.3 of this RALI, in certain circumstances, terrain shielding may allow spectral re-use at a distance less than 90 km and, similarly, 70 km separation from the boundary may not be </w:t>
      </w:r>
      <w:proofErr w:type="gramStart"/>
      <w:r>
        <w:t>sufficient</w:t>
      </w:r>
      <w:proofErr w:type="gramEnd"/>
      <w:r>
        <w:t xml:space="preserve"> to protect Schedule 1 areas over some flat terrain or water paths.  The </w:t>
      </w:r>
      <w:r w:rsidR="00176D78">
        <w:t xml:space="preserve">ACMA </w:t>
      </w:r>
      <w:r>
        <w:t>will consider any such applications individually on merit.  Applicants will need to demonstrate compliance with the path loss requirements specified in clause 1 of this sub-section.  System planners and frequency assigners should take this into account, paying regard to local terrain conditions.</w:t>
      </w:r>
    </w:p>
    <w:p w14:paraId="43132D8C" w14:textId="77777777" w:rsidR="003B6FFD" w:rsidRDefault="003B6FFD" w:rsidP="003B6FFD">
      <w:pPr>
        <w:pStyle w:val="Heading4"/>
        <w:spacing w:before="120" w:after="120"/>
      </w:pPr>
      <w:bookmarkStart w:id="484" w:name="_Toc431373487"/>
      <w:bookmarkStart w:id="485" w:name="_Toc431373593"/>
      <w:bookmarkStart w:id="486" w:name="_Toc431635129"/>
      <w:bookmarkStart w:id="487" w:name="_Toc431635258"/>
      <w:bookmarkStart w:id="488" w:name="_Toc464025851"/>
      <w:bookmarkStart w:id="489" w:name="_Toc242176813"/>
      <w:proofErr w:type="gramStart"/>
      <w:r>
        <w:t>7.4.5  Coordination</w:t>
      </w:r>
      <w:proofErr w:type="gramEnd"/>
      <w:r>
        <w:t xml:space="preserve"> with PTS </w:t>
      </w:r>
    </w:p>
    <w:p w14:paraId="51C7326B" w14:textId="77777777" w:rsidR="003B6FFD" w:rsidRPr="00062AFF" w:rsidRDefault="003B6FFD">
      <w:pPr>
        <w:pStyle w:val="Heading3"/>
        <w:spacing w:before="120" w:after="120"/>
        <w:rPr>
          <w:b w:val="0"/>
          <w:color w:val="auto"/>
          <w:sz w:val="24"/>
        </w:rPr>
      </w:pPr>
      <w:r>
        <w:rPr>
          <w:b w:val="0"/>
          <w:color w:val="auto"/>
          <w:sz w:val="24"/>
        </w:rPr>
        <w:t>Coordination with PTS is performed using the procedure specified in RALI MS39.</w:t>
      </w:r>
    </w:p>
    <w:p w14:paraId="61E6158D" w14:textId="77777777" w:rsidR="00AC5CD3" w:rsidRDefault="00AC5CD3">
      <w:pPr>
        <w:pStyle w:val="Heading3"/>
        <w:spacing w:before="120" w:after="120"/>
      </w:pPr>
      <w:proofErr w:type="gramStart"/>
      <w:r>
        <w:t>7.5  Average</w:t>
      </w:r>
      <w:proofErr w:type="gramEnd"/>
      <w:r>
        <w:t xml:space="preserve"> Terrain Height</w:t>
      </w:r>
      <w:bookmarkEnd w:id="484"/>
      <w:bookmarkEnd w:id="485"/>
      <w:bookmarkEnd w:id="486"/>
      <w:bookmarkEnd w:id="487"/>
      <w:bookmarkEnd w:id="488"/>
      <w:bookmarkEnd w:id="489"/>
    </w:p>
    <w:p w14:paraId="52D5A487" w14:textId="77777777" w:rsidR="00AC5CD3" w:rsidRDefault="00AC5CD3">
      <w:r>
        <w:t xml:space="preserve">Average terrain height may be calculated using the software tools available with the </w:t>
      </w:r>
      <w:r w:rsidR="00176D78">
        <w:t>ACMA</w:t>
      </w:r>
      <w:r>
        <w:t>’s Spectrum Licensing RadDEM and Datasets on CD-ROM</w:t>
      </w:r>
      <w:r>
        <w:rPr>
          <w:rStyle w:val="FootnoteReference"/>
        </w:rPr>
        <w:footnoteReference w:id="5"/>
      </w:r>
      <w:r>
        <w:t xml:space="preserve">, or alternatively by any other method that can be demonstrated to be valid.  RadDEM is the </w:t>
      </w:r>
      <w:r w:rsidR="00176D78">
        <w:t>ACMA</w:t>
      </w:r>
      <w:r>
        <w:t>’s digital elevation model developed for the management of spectrum licensed bands.  The relevant tool included on the CD-ROM is called ‘effective height.dll’.  Its function is to produce a text file output containing the average height of sectors within a segment, given site coordinates and RadDEM file path information inputs.  The output may be used to provide an accurate assessment of average terrain height within about 20 km of the nominated site.</w:t>
      </w:r>
    </w:p>
    <w:p w14:paraId="6915B4DE" w14:textId="77777777" w:rsidR="00AC5CD3" w:rsidRDefault="00AC5CD3">
      <w:r>
        <w:t>An example of an alternative approach is to use ITU-R Recommendations</w:t>
      </w:r>
      <w:r>
        <w:rPr>
          <w:rStyle w:val="FootnoteReference"/>
        </w:rPr>
        <w:footnoteReference w:id="6"/>
      </w:r>
      <w:r>
        <w:t>; eg. ITU-R Rec 370 defines average terrain height for a variation in elevation (</w:t>
      </w:r>
      <w:r>
        <w:sym w:font="Symbol" w:char="F044"/>
      </w:r>
      <w:r>
        <w:t xml:space="preserve">h).  For the purposes of this RALI a </w:t>
      </w:r>
      <w:r>
        <w:sym w:font="Symbol" w:char="F044"/>
      </w:r>
      <w:r>
        <w:t xml:space="preserve">h of 50 m would be appropriate when applied to the rolling terrain commonly found to the west of the </w:t>
      </w:r>
      <w:smartTag w:uri="urn:schemas-microsoft-com:office:smarttags" w:element="place">
        <w:r>
          <w:t>Great Dividing Range</w:t>
        </w:r>
      </w:smartTag>
      <w:r>
        <w:t xml:space="preserve"> and in coastal areas.  Different values of </w:t>
      </w:r>
      <w:r>
        <w:sym w:font="Symbol" w:char="F044"/>
      </w:r>
      <w:r>
        <w:t xml:space="preserve">h may be necessary for areas close to mountainous areas, such as the </w:t>
      </w:r>
      <w:smartTag w:uri="urn:schemas-microsoft-com:office:smarttags" w:element="place">
        <w:smartTag w:uri="urn:schemas-microsoft-com:office:smarttags" w:element="PlaceName">
          <w:r>
            <w:t>Sydney</w:t>
          </w:r>
        </w:smartTag>
        <w:r>
          <w:t xml:space="preserve"> </w:t>
        </w:r>
        <w:smartTag w:uri="urn:schemas-microsoft-com:office:smarttags" w:element="PlaceName">
          <w:r>
            <w:t>Basin</w:t>
          </w:r>
        </w:smartTag>
      </w:smartTag>
      <w:r>
        <w:t>, and system design parameters may need to be varied where high sites predominate.</w:t>
      </w:r>
    </w:p>
    <w:p w14:paraId="00C8A316" w14:textId="77777777" w:rsidR="00AC5CD3" w:rsidRDefault="00AC5CD3">
      <w:pPr>
        <w:pStyle w:val="Heading3"/>
        <w:spacing w:before="120" w:after="120"/>
        <w:sectPr w:rsidR="00AC5CD3">
          <w:headerReference w:type="default" r:id="rId26"/>
          <w:footerReference w:type="default" r:id="rId27"/>
          <w:pgSz w:w="11907" w:h="16840" w:code="9"/>
          <w:pgMar w:top="1134" w:right="1134" w:bottom="1134" w:left="1418" w:header="720" w:footer="720" w:gutter="0"/>
          <w:paperSrc w:first="41" w:other="41"/>
          <w:pgNumType w:start="1"/>
          <w:cols w:space="720"/>
        </w:sectPr>
      </w:pPr>
    </w:p>
    <w:p w14:paraId="2C252ED4" w14:textId="77777777" w:rsidR="00AC5CD3" w:rsidRDefault="00AC5CD3">
      <w:pPr>
        <w:pStyle w:val="Heading3"/>
        <w:spacing w:before="240" w:after="120"/>
      </w:pPr>
      <w:bookmarkStart w:id="490" w:name="_Toc345731193"/>
      <w:bookmarkStart w:id="491" w:name="_Toc354803028"/>
      <w:bookmarkStart w:id="492" w:name="_Toc354803077"/>
      <w:bookmarkStart w:id="493" w:name="_Toc411313377"/>
      <w:bookmarkStart w:id="494" w:name="_Toc411313714"/>
      <w:bookmarkStart w:id="495" w:name="_Toc411313811"/>
      <w:bookmarkStart w:id="496" w:name="_Toc411396539"/>
      <w:bookmarkStart w:id="497" w:name="_Toc411396638"/>
      <w:bookmarkStart w:id="498" w:name="_Toc411735890"/>
      <w:bookmarkStart w:id="499" w:name="_Toc411736137"/>
      <w:bookmarkStart w:id="500" w:name="_Toc411825942"/>
      <w:bookmarkStart w:id="501" w:name="_Toc411825980"/>
      <w:bookmarkStart w:id="502" w:name="_Toc411826329"/>
      <w:bookmarkStart w:id="503" w:name="_Toc411908134"/>
      <w:bookmarkStart w:id="504" w:name="_Toc411908306"/>
      <w:bookmarkStart w:id="505" w:name="_Toc411917654"/>
      <w:bookmarkStart w:id="506" w:name="_Toc413653395"/>
      <w:bookmarkStart w:id="507" w:name="_Toc414416570"/>
      <w:bookmarkStart w:id="508" w:name="_Toc414416598"/>
      <w:bookmarkStart w:id="509" w:name="_Toc416767899"/>
      <w:bookmarkStart w:id="510" w:name="_Toc416768014"/>
      <w:bookmarkStart w:id="511" w:name="_Toc417275638"/>
      <w:bookmarkStart w:id="512" w:name="_Toc419254224"/>
      <w:bookmarkStart w:id="513" w:name="_Toc419260278"/>
      <w:bookmarkStart w:id="514" w:name="_Toc431373488"/>
      <w:bookmarkStart w:id="515" w:name="_Toc431373594"/>
      <w:bookmarkStart w:id="516" w:name="_Toc431635130"/>
      <w:bookmarkStart w:id="517" w:name="_Toc431635259"/>
      <w:bookmarkStart w:id="518" w:name="_Toc464025852"/>
      <w:bookmarkStart w:id="519" w:name="_Toc242176814"/>
      <w:bookmarkEnd w:id="298"/>
      <w:proofErr w:type="gramStart"/>
      <w:r>
        <w:lastRenderedPageBreak/>
        <w:t>8.0  Spectrum</w:t>
      </w:r>
      <w:proofErr w:type="gramEnd"/>
      <w:r>
        <w:t xml:space="preserve"> Access Records</w:t>
      </w:r>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p>
    <w:p w14:paraId="29823876" w14:textId="77777777" w:rsidR="00AC5CD3" w:rsidRDefault="00AC5CD3">
      <w:r>
        <w:t xml:space="preserve">A separate spectrum access is to be created for each individual site.  A single spectrum access will authorise any number of transmitters at one site, </w:t>
      </w:r>
      <w:proofErr w:type="gramStart"/>
      <w:r>
        <w:t>provided that</w:t>
      </w:r>
      <w:proofErr w:type="gramEnd"/>
      <w:r>
        <w:t xml:space="preserve"> they operate on contiguous spectrum.  The spectrum access should reflect the centre frequency of the band to be utilised and the bandwidth should reflect the actual amount of spectrum being used.</w:t>
      </w:r>
    </w:p>
    <w:p w14:paraId="03BCC3C0" w14:textId="77777777" w:rsidR="00AC5CD3" w:rsidRDefault="00AC5CD3">
      <w:r>
        <w:t>Information shall be included in the comment fields of the spectrum access to reflect the operation of more than one transmitter within the one spectrum access.</w:t>
      </w:r>
    </w:p>
    <w:p w14:paraId="7BAE5368" w14:textId="77777777" w:rsidR="00AC5CD3" w:rsidRDefault="00AC5CD3">
      <w:r>
        <w:t xml:space="preserve">Operation using </w:t>
      </w:r>
      <w:proofErr w:type="gramStart"/>
      <w:r>
        <w:t>non contiguous</w:t>
      </w:r>
      <w:proofErr w:type="gramEnd"/>
      <w:r>
        <w:t xml:space="preserve"> spectrum at any one site will require a separate spectrum access for each block of spectrum used.</w:t>
      </w:r>
    </w:p>
    <w:p w14:paraId="69C2BD3E" w14:textId="77777777" w:rsidR="00AC5CD3" w:rsidRDefault="00AC5CD3">
      <w:pPr>
        <w:pStyle w:val="Heading3"/>
      </w:pPr>
      <w:bookmarkStart w:id="520" w:name="_Toc431373489"/>
      <w:bookmarkStart w:id="521" w:name="_Toc431373595"/>
      <w:bookmarkStart w:id="522" w:name="_Toc431635131"/>
      <w:bookmarkStart w:id="523" w:name="_Toc431635260"/>
      <w:bookmarkStart w:id="524" w:name="_Toc464025853"/>
      <w:bookmarkStart w:id="525" w:name="_Toc242176815"/>
      <w:r>
        <w:t>RALI Authorisation</w:t>
      </w:r>
      <w:bookmarkEnd w:id="520"/>
      <w:bookmarkEnd w:id="521"/>
      <w:bookmarkEnd w:id="522"/>
      <w:bookmarkEnd w:id="523"/>
      <w:bookmarkEnd w:id="524"/>
      <w:bookmarkEnd w:id="525"/>
    </w:p>
    <w:p w14:paraId="6EE2F0E0" w14:textId="77777777" w:rsidR="00AC5CD3" w:rsidRDefault="00AC5CD3">
      <w:pPr>
        <w:ind w:left="-142" w:right="850"/>
        <w:jc w:val="both"/>
        <w:rPr>
          <w:b/>
        </w:rPr>
      </w:pPr>
    </w:p>
    <w:p w14:paraId="133FBD29" w14:textId="77777777" w:rsidR="005102EA" w:rsidRDefault="005102EA">
      <w:pPr>
        <w:ind w:left="-142" w:right="850"/>
        <w:jc w:val="both"/>
        <w:rPr>
          <w:b/>
        </w:rPr>
      </w:pPr>
      <w:r w:rsidRPr="00240CFA">
        <w:rPr>
          <w:rFonts w:cs="Calibri"/>
        </w:rPr>
        <w:t>[signed</w:t>
      </w:r>
      <w:r w:rsidR="00435F1D">
        <w:rPr>
          <w:rFonts w:cs="Calibri"/>
        </w:rPr>
        <w:t xml:space="preserve"> - 11</w:t>
      </w:r>
      <w:r>
        <w:rPr>
          <w:rFonts w:cs="Calibri"/>
        </w:rPr>
        <w:t>/</w:t>
      </w:r>
      <w:r w:rsidR="00435F1D">
        <w:rPr>
          <w:rFonts w:cs="Calibri"/>
        </w:rPr>
        <w:t>08</w:t>
      </w:r>
      <w:r>
        <w:rPr>
          <w:rFonts w:cs="Calibri"/>
        </w:rPr>
        <w:t>/2015</w:t>
      </w:r>
      <w:r w:rsidRPr="00240CFA">
        <w:rPr>
          <w:rFonts w:cs="Calibri"/>
        </w:rPr>
        <w:t xml:space="preserve">]     </w:t>
      </w:r>
    </w:p>
    <w:p w14:paraId="0F488412" w14:textId="77777777" w:rsidR="00AC5CD3" w:rsidRDefault="00AC5CD3">
      <w:pPr>
        <w:ind w:left="-142" w:right="850"/>
        <w:jc w:val="both"/>
        <w:rPr>
          <w:b/>
        </w:rPr>
      </w:pPr>
    </w:p>
    <w:p w14:paraId="6BFF6687" w14:textId="77777777" w:rsidR="008D5DB4" w:rsidRDefault="005102EA" w:rsidP="0083077D">
      <w:pPr>
        <w:rPr>
          <w:b/>
          <w:lang w:val="en-AU"/>
        </w:rPr>
      </w:pPr>
      <w:r>
        <w:rPr>
          <w:b/>
          <w:lang w:val="en-AU"/>
        </w:rPr>
        <w:t>Nevio Marinelli</w:t>
      </w:r>
    </w:p>
    <w:p w14:paraId="400D2787" w14:textId="77777777" w:rsidR="0083077D" w:rsidRPr="00CC3983" w:rsidRDefault="0083077D" w:rsidP="0083077D">
      <w:pPr>
        <w:rPr>
          <w:b/>
          <w:lang w:val="en-AU"/>
        </w:rPr>
      </w:pPr>
      <w:r w:rsidRPr="006C23DE">
        <w:rPr>
          <w:b/>
          <w:lang w:val="en-AU"/>
        </w:rPr>
        <w:t>Manager</w:t>
      </w:r>
      <w:r w:rsidRPr="00CC3983">
        <w:rPr>
          <w:b/>
          <w:lang w:val="en-AU"/>
        </w:rPr>
        <w:br/>
        <w:t xml:space="preserve">Spectrum </w:t>
      </w:r>
      <w:r w:rsidR="005102EA">
        <w:rPr>
          <w:b/>
          <w:lang w:val="en-AU"/>
        </w:rPr>
        <w:t>Planning</w:t>
      </w:r>
      <w:r w:rsidR="005102EA" w:rsidRPr="00CC3983">
        <w:rPr>
          <w:b/>
          <w:lang w:val="en-AU"/>
        </w:rPr>
        <w:t xml:space="preserve"> </w:t>
      </w:r>
      <w:r w:rsidRPr="00CC3983">
        <w:rPr>
          <w:b/>
          <w:lang w:val="en-AU"/>
        </w:rPr>
        <w:t>Section</w:t>
      </w:r>
      <w:r w:rsidRPr="00CC3983">
        <w:rPr>
          <w:b/>
          <w:lang w:val="en-AU"/>
        </w:rPr>
        <w:br/>
        <w:t>Spectrum Planning</w:t>
      </w:r>
      <w:r w:rsidR="005102EA">
        <w:rPr>
          <w:b/>
          <w:lang w:val="en-AU"/>
        </w:rPr>
        <w:t xml:space="preserve"> &amp; Engineering</w:t>
      </w:r>
      <w:r w:rsidRPr="00CC3983">
        <w:rPr>
          <w:b/>
          <w:lang w:val="en-AU"/>
        </w:rPr>
        <w:t xml:space="preserve"> Branch</w:t>
      </w:r>
      <w:r w:rsidRPr="00CC3983">
        <w:rPr>
          <w:b/>
          <w:lang w:val="en-AU"/>
        </w:rPr>
        <w:br/>
        <w:t>Australian Communications and Media Authority</w:t>
      </w:r>
    </w:p>
    <w:bookmarkEnd w:id="490"/>
    <w:bookmarkEnd w:id="491"/>
    <w:bookmarkEnd w:id="492"/>
    <w:bookmarkEnd w:id="493"/>
    <w:bookmarkEnd w:id="494"/>
    <w:bookmarkEnd w:id="495"/>
    <w:bookmarkEnd w:id="496"/>
    <w:bookmarkEnd w:id="497"/>
    <w:bookmarkEnd w:id="498"/>
    <w:bookmarkEnd w:id="499"/>
    <w:p w14:paraId="53B241D4" w14:textId="77777777" w:rsidR="00AC5CD3" w:rsidRDefault="00AC5CD3">
      <w:pPr>
        <w:rPr>
          <w:b/>
        </w:rPr>
      </w:pPr>
    </w:p>
    <w:p w14:paraId="78944F68" w14:textId="77777777" w:rsidR="00AC5CD3" w:rsidRDefault="00AC5CD3">
      <w:pPr>
        <w:rPr>
          <w:b/>
        </w:rPr>
        <w:sectPr w:rsidR="00AC5CD3">
          <w:footerReference w:type="default" r:id="rId28"/>
          <w:pgSz w:w="11907" w:h="16840" w:code="9"/>
          <w:pgMar w:top="1134" w:right="1134" w:bottom="1134" w:left="1418" w:header="720" w:footer="720" w:gutter="0"/>
          <w:paperSrc w:first="41" w:other="41"/>
          <w:cols w:space="720"/>
        </w:sectPr>
      </w:pPr>
    </w:p>
    <w:p w14:paraId="6CB75079" w14:textId="77777777" w:rsidR="00AC5CD3" w:rsidRDefault="00AC5CD3">
      <w:pPr>
        <w:pStyle w:val="Heading3"/>
      </w:pPr>
      <w:bookmarkStart w:id="526" w:name="_Toc411313818"/>
      <w:bookmarkStart w:id="527" w:name="_Toc411396546"/>
      <w:bookmarkStart w:id="528" w:name="_Toc411396645"/>
      <w:bookmarkStart w:id="529" w:name="_Toc411735896"/>
      <w:bookmarkStart w:id="530" w:name="_Toc411736143"/>
      <w:bookmarkStart w:id="531" w:name="_Toc411825945"/>
      <w:bookmarkStart w:id="532" w:name="_Toc411825983"/>
      <w:bookmarkStart w:id="533" w:name="_Toc411826332"/>
      <w:bookmarkStart w:id="534" w:name="_Toc411908137"/>
      <w:bookmarkStart w:id="535" w:name="_Toc411908309"/>
      <w:bookmarkStart w:id="536" w:name="_Toc411917657"/>
      <w:bookmarkStart w:id="537" w:name="_Toc413653398"/>
      <w:bookmarkStart w:id="538" w:name="_Toc414416573"/>
      <w:bookmarkStart w:id="539" w:name="_Toc414416601"/>
      <w:bookmarkStart w:id="540" w:name="_Toc416767901"/>
      <w:bookmarkStart w:id="541" w:name="_Toc416768016"/>
      <w:bookmarkStart w:id="542" w:name="_Toc417275640"/>
      <w:bookmarkStart w:id="543" w:name="_Toc419254226"/>
      <w:bookmarkStart w:id="544" w:name="_Toc419260280"/>
      <w:bookmarkStart w:id="545" w:name="_Toc431373490"/>
      <w:bookmarkStart w:id="546" w:name="_Toc431373596"/>
      <w:bookmarkStart w:id="547" w:name="_Toc431635132"/>
      <w:bookmarkStart w:id="548" w:name="_Toc431635261"/>
      <w:bookmarkStart w:id="549" w:name="_Toc464025854"/>
      <w:bookmarkStart w:id="550" w:name="_Toc242176816"/>
      <w:r>
        <w:lastRenderedPageBreak/>
        <w:t>Attachment 1</w:t>
      </w:r>
      <w:bookmarkEnd w:id="545"/>
      <w:bookmarkEnd w:id="546"/>
      <w:bookmarkEnd w:id="547"/>
      <w:bookmarkEnd w:id="548"/>
      <w:bookmarkEnd w:id="549"/>
      <w:bookmarkEnd w:id="550"/>
    </w:p>
    <w:p w14:paraId="4F97305C" w14:textId="77777777" w:rsidR="00AC5CD3" w:rsidRDefault="00AC5CD3">
      <w:pPr>
        <w:rPr>
          <w:b/>
          <w:sz w:val="36"/>
        </w:rPr>
      </w:pPr>
      <w:bookmarkStart w:id="551" w:name="_Toc431373491"/>
      <w:r>
        <w:rPr>
          <w:b/>
          <w:sz w:val="36"/>
        </w:rPr>
        <w:t>Special Condition</w:t>
      </w:r>
      <w:bookmarkEnd w:id="540"/>
      <w:bookmarkEnd w:id="541"/>
      <w:bookmarkEnd w:id="542"/>
      <w:bookmarkEnd w:id="543"/>
      <w:bookmarkEnd w:id="544"/>
      <w:r>
        <w:rPr>
          <w:b/>
          <w:sz w:val="36"/>
        </w:rPr>
        <w:t>:</w:t>
      </w:r>
      <w:bookmarkEnd w:id="551"/>
    </w:p>
    <w:p w14:paraId="762723BE" w14:textId="77777777" w:rsidR="00AC5CD3" w:rsidRDefault="00AC5CD3"/>
    <w:p w14:paraId="5693268F" w14:textId="77777777" w:rsidR="00AC5CD3" w:rsidRDefault="00AC5CD3">
      <w:r>
        <w:t>Client No.</w:t>
      </w:r>
      <w:r>
        <w:tab/>
        <w:t>....................... {insert Client No.}</w:t>
      </w:r>
    </w:p>
    <w:p w14:paraId="663B2393" w14:textId="77777777" w:rsidR="00AC5CD3" w:rsidRDefault="00AC5CD3">
      <w:r>
        <w:t>Licence No.</w:t>
      </w:r>
      <w:r>
        <w:tab/>
        <w:t>....................... {insert Licence(s) No.}</w:t>
      </w:r>
    </w:p>
    <w:p w14:paraId="05D0A043" w14:textId="77777777" w:rsidR="00AC5CD3" w:rsidRDefault="00AC5CD3"/>
    <w:p w14:paraId="2FA0E65C" w14:textId="77777777" w:rsidR="00AC5CD3" w:rsidRDefault="00AC5CD3"/>
    <w:p w14:paraId="4AB21DDB" w14:textId="77777777" w:rsidR="00AC5CD3" w:rsidRDefault="00AC5CD3"/>
    <w:p w14:paraId="2E302A82" w14:textId="77777777" w:rsidR="00AC5CD3" w:rsidRDefault="00AC5CD3">
      <w:pPr>
        <w:jc w:val="center"/>
      </w:pPr>
      <w:r>
        <w:rPr>
          <w:b/>
        </w:rPr>
        <w:t>Special Condition</w:t>
      </w:r>
    </w:p>
    <w:p w14:paraId="08DB8FCD" w14:textId="77777777" w:rsidR="00AC5CD3" w:rsidRDefault="00AC5CD3"/>
    <w:p w14:paraId="6A286564" w14:textId="77777777" w:rsidR="00AC5CD3" w:rsidRDefault="00AC5CD3">
      <w:r>
        <w:t>The equivalent isotropically radiated power (EIRP) of each station shall not to exceed the following levels:</w:t>
      </w:r>
    </w:p>
    <w:p w14:paraId="2AC696D4" w14:textId="77777777" w:rsidR="00AC5CD3" w:rsidRDefault="00AC5CD3">
      <w:pPr>
        <w:pStyle w:val="ListNumberSub"/>
        <w:numPr>
          <w:ilvl w:val="0"/>
          <w:numId w:val="12"/>
        </w:numPr>
      </w:pPr>
      <w:r>
        <w:t>+35 dBm measured in any 30 kHz bandwidth within the licensed bandwidth;</w:t>
      </w:r>
    </w:p>
    <w:p w14:paraId="1F951344" w14:textId="77777777" w:rsidR="00AC5CD3" w:rsidRDefault="00AC5CD3">
      <w:pPr>
        <w:pStyle w:val="ListNumberSub"/>
        <w:numPr>
          <w:ilvl w:val="0"/>
          <w:numId w:val="12"/>
        </w:numPr>
      </w:pPr>
      <w:r>
        <w:t>+10 dBm measured in any 30 kHz bandwidth between 100 kHz and 350 kHz above the upper and below lower edge of the licensed bandwidth;</w:t>
      </w:r>
    </w:p>
    <w:p w14:paraId="3510DFC9" w14:textId="77777777" w:rsidR="00AC5CD3" w:rsidRDefault="00AC5CD3">
      <w:pPr>
        <w:pStyle w:val="ListNumberSub"/>
        <w:numPr>
          <w:ilvl w:val="0"/>
          <w:numId w:val="12"/>
        </w:numPr>
      </w:pPr>
      <w:r>
        <w:t>-15 dBm measured in any 30 kHz bandwidth between 600 kHz and 1.1 MHz above the upper and below lower edge of the licensed bandwidth; and</w:t>
      </w:r>
    </w:p>
    <w:p w14:paraId="6365F1D1" w14:textId="77777777" w:rsidR="00AC5CD3" w:rsidRDefault="00AC5CD3">
      <w:pPr>
        <w:pStyle w:val="ListNumberSub"/>
        <w:numPr>
          <w:ilvl w:val="0"/>
          <w:numId w:val="12"/>
        </w:numPr>
      </w:pPr>
      <w:r>
        <w:t>-40 dBm measured in any 30 kHz bandwidth at any point more than 2 MHz above the upper and below lower edge of the licensed bandwidth.</w:t>
      </w:r>
    </w:p>
    <w:p w14:paraId="58FAC9EC" w14:textId="77777777" w:rsidR="00AC5CD3" w:rsidRDefault="00AC5CD3">
      <w:r>
        <w:t>For frequencies between the ranges defined by (a) and (b), (b) and (c), or (c) and (d) the EIRP shall not exceed the level defined by a straight line joining the levels specified in (a), (b), (c) and (d).</w:t>
      </w:r>
    </w:p>
    <w:p w14:paraId="28214B43" w14:textId="77777777" w:rsidR="00AC5CD3" w:rsidRDefault="00AC5CD3">
      <w:pPr>
        <w:pStyle w:val="Heading2"/>
        <w:sectPr w:rsidR="00AC5CD3">
          <w:headerReference w:type="default" r:id="rId29"/>
          <w:footerReference w:type="default" r:id="rId30"/>
          <w:pgSz w:w="11907" w:h="16840" w:code="9"/>
          <w:pgMar w:top="1134" w:right="1134" w:bottom="1134" w:left="1418" w:header="720" w:footer="720" w:gutter="0"/>
          <w:paperSrc w:first="41" w:other="41"/>
          <w:cols w:space="720"/>
        </w:sectPr>
      </w:pPr>
    </w:p>
    <w:p w14:paraId="20510BBB" w14:textId="77777777" w:rsidR="00AC5CD3" w:rsidRDefault="00AC5CD3">
      <w:pPr>
        <w:pStyle w:val="Heading3"/>
      </w:pPr>
      <w:bookmarkStart w:id="552" w:name="_Toc416767902"/>
      <w:bookmarkStart w:id="553" w:name="_Toc416768017"/>
      <w:bookmarkStart w:id="554" w:name="_Toc417275641"/>
      <w:bookmarkStart w:id="555" w:name="_Toc419254227"/>
      <w:bookmarkStart w:id="556" w:name="_Toc419260281"/>
      <w:bookmarkStart w:id="557" w:name="_Toc431373492"/>
      <w:bookmarkStart w:id="558" w:name="_Toc431373597"/>
      <w:bookmarkStart w:id="559" w:name="_Toc431635133"/>
      <w:bookmarkStart w:id="560" w:name="_Toc431635262"/>
      <w:bookmarkStart w:id="561" w:name="_Toc464025855"/>
      <w:bookmarkStart w:id="562" w:name="_Toc242176817"/>
      <w:r>
        <w:lastRenderedPageBreak/>
        <w:t xml:space="preserve">Annex A - Emission Limits for Point to </w:t>
      </w:r>
      <w:smartTag w:uri="urn:schemas-microsoft-com:office:smarttags" w:element="place">
        <w:smartTag w:uri="urn:schemas-microsoft-com:office:smarttags" w:element="PlaceType">
          <w:r>
            <w:t>Multipoint</w:t>
          </w:r>
        </w:smartTag>
        <w:r>
          <w:t xml:space="preserve"> </w:t>
        </w:r>
        <w:smartTag w:uri="urn:schemas-microsoft-com:office:smarttags" w:element="PlaceName">
          <w:r>
            <w:t>Systems</w:t>
          </w:r>
        </w:smartTag>
      </w:smartTag>
      <w:r>
        <w:t xml:space="preserve"> Operating in the 3.4 GHz Band</w:t>
      </w:r>
      <w:bookmarkEnd w:id="552"/>
      <w:bookmarkEnd w:id="553"/>
      <w:bookmarkEnd w:id="554"/>
      <w:bookmarkEnd w:id="555"/>
      <w:bookmarkEnd w:id="556"/>
      <w:bookmarkEnd w:id="557"/>
      <w:bookmarkEnd w:id="558"/>
      <w:bookmarkEnd w:id="559"/>
      <w:bookmarkEnd w:id="560"/>
      <w:bookmarkEnd w:id="561"/>
      <w:bookmarkEnd w:id="562"/>
    </w:p>
    <w:p w14:paraId="603BB5DC" w14:textId="77777777" w:rsidR="00AC5CD3" w:rsidRDefault="00AC5CD3">
      <w:r>
        <w:t>The equivalent isotropically radiated power (EIRP) of each station shall not to exceed the following levels:</w:t>
      </w:r>
    </w:p>
    <w:p w14:paraId="6DBCAA36" w14:textId="77777777" w:rsidR="00AC5CD3" w:rsidRDefault="00AC5CD3">
      <w:pPr>
        <w:pStyle w:val="ListNumberSub"/>
        <w:numPr>
          <w:ilvl w:val="0"/>
          <w:numId w:val="13"/>
        </w:numPr>
      </w:pPr>
      <w:r>
        <w:t>+35 dBm measured in any 30 kHz bandwidth within the licensed bandwidth;</w:t>
      </w:r>
    </w:p>
    <w:p w14:paraId="79DACC08" w14:textId="77777777" w:rsidR="00AC5CD3" w:rsidRDefault="00AC5CD3">
      <w:pPr>
        <w:pStyle w:val="ListNumberSub"/>
        <w:numPr>
          <w:ilvl w:val="0"/>
          <w:numId w:val="13"/>
        </w:numPr>
      </w:pPr>
      <w:r>
        <w:t>+10 dBm measured in any 30 kHz bandwidth between 100 kHz and 350 kHz above the upper and below lower edge of the licensed bandwidth;</w:t>
      </w:r>
    </w:p>
    <w:p w14:paraId="59D236D5" w14:textId="77777777" w:rsidR="00AC5CD3" w:rsidRDefault="00AC5CD3">
      <w:pPr>
        <w:pStyle w:val="ListNumberSub"/>
        <w:numPr>
          <w:ilvl w:val="0"/>
          <w:numId w:val="13"/>
        </w:numPr>
      </w:pPr>
      <w:r>
        <w:t>-15 dBm measured in any 30 kHz bandwidth between 600 kHz and 1.1 MHz above the upper and below lower edge of the licensed bandwidth; and</w:t>
      </w:r>
    </w:p>
    <w:p w14:paraId="708E60D1" w14:textId="77777777" w:rsidR="00AC5CD3" w:rsidRDefault="00AC5CD3">
      <w:pPr>
        <w:pStyle w:val="ListNumberSub"/>
        <w:numPr>
          <w:ilvl w:val="0"/>
          <w:numId w:val="13"/>
        </w:numPr>
      </w:pPr>
      <w:r>
        <w:t>-40 dBm measured in any 30 kHz bandwidth at any point more than 2 MHz above the upper and below lower edge of the licensed bandwidth.</w:t>
      </w:r>
    </w:p>
    <w:p w14:paraId="21253128" w14:textId="77777777" w:rsidR="00AC5CD3" w:rsidRDefault="00AC5CD3">
      <w:r>
        <w:t>For frequencies between the ranges defined by (a) and (b), (b) and (c), or (c) and (d) the EIRP shall not exceed the level defined by a straight line joining the levels specified in (a), (b), (c) and (d).</w:t>
      </w:r>
    </w:p>
    <w:p w14:paraId="2ADB8F7E" w14:textId="77777777" w:rsidR="00AC5CD3" w:rsidRDefault="00AC5CD3"/>
    <w:p w14:paraId="441CA4F2" w14:textId="77777777" w:rsidR="00AC5CD3" w:rsidRDefault="00AC5CD3">
      <w:r>
        <w:t>This emission requirement is shown graphically in the following diagram:</w:t>
      </w:r>
    </w:p>
    <w:p w14:paraId="19F0BF65" w14:textId="77777777" w:rsidR="00AC5CD3" w:rsidRDefault="00AC5CD3">
      <w:pPr>
        <w:framePr w:w="9461" w:h="4301" w:hSpace="180" w:wrap="around" w:vAnchor="text" w:hAnchor="page" w:x="1261" w:y="677"/>
        <w:pBdr>
          <w:top w:val="single" w:sz="6" w:space="1" w:color="auto"/>
          <w:left w:val="single" w:sz="6" w:space="1" w:color="auto"/>
          <w:bottom w:val="single" w:sz="6" w:space="1" w:color="auto"/>
          <w:right w:val="single" w:sz="6" w:space="1" w:color="auto"/>
        </w:pBdr>
        <w:jc w:val="right"/>
      </w:pPr>
      <w:r>
        <w:object w:dxaOrig="9303" w:dyaOrig="4355" w14:anchorId="16C7A55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5pt;height:214.5pt" o:ole="">
            <v:imagedata r:id="rId31" o:title=""/>
          </v:shape>
          <o:OLEObject Type="Embed" ProgID="MgxDesigner" ShapeID="_x0000_i1025" DrawAspect="Content" ObjectID="_1628679472" r:id="rId32"/>
        </w:object>
      </w:r>
    </w:p>
    <w:p w14:paraId="43EB333F" w14:textId="77777777" w:rsidR="00AC5CD3" w:rsidRDefault="00AC5CD3">
      <w:pPr>
        <w:framePr w:w="9461" w:h="4301" w:hSpace="180" w:wrap="around" w:vAnchor="text" w:hAnchor="page" w:x="1261" w:y="677"/>
        <w:pBdr>
          <w:top w:val="single" w:sz="6" w:space="1" w:color="auto"/>
          <w:left w:val="single" w:sz="6" w:space="1" w:color="auto"/>
          <w:bottom w:val="single" w:sz="6" w:space="1" w:color="auto"/>
          <w:right w:val="single" w:sz="6" w:space="1" w:color="auto"/>
        </w:pBdr>
      </w:pPr>
      <w:r>
        <w:t xml:space="preserve">   The emission limits are symmetrical about the assigned frequency.</w:t>
      </w:r>
    </w:p>
    <w:p w14:paraId="3119E283" w14:textId="77777777" w:rsidR="00AC5CD3" w:rsidRDefault="00AC5CD3">
      <w:pPr>
        <w:framePr w:w="9461" w:h="4301" w:hSpace="180" w:wrap="around" w:vAnchor="text" w:hAnchor="page" w:x="1261" w:y="677"/>
        <w:pBdr>
          <w:top w:val="single" w:sz="6" w:space="1" w:color="auto"/>
          <w:left w:val="single" w:sz="6" w:space="1" w:color="auto"/>
          <w:bottom w:val="single" w:sz="6" w:space="1" w:color="auto"/>
          <w:right w:val="single" w:sz="6" w:space="1" w:color="auto"/>
        </w:pBdr>
        <w:jc w:val="right"/>
      </w:pPr>
    </w:p>
    <w:p w14:paraId="49138146" w14:textId="77777777" w:rsidR="00AC5CD3" w:rsidRDefault="00AC5CD3"/>
    <w:p w14:paraId="0C53316D" w14:textId="77777777" w:rsidR="00AC5CD3" w:rsidRDefault="00AC5CD3"/>
    <w:p w14:paraId="6E9BD1A6" w14:textId="77777777" w:rsidR="00AC5CD3" w:rsidRDefault="00AC5CD3">
      <w:pPr>
        <w:pStyle w:val="Heading3"/>
        <w:sectPr w:rsidR="00AC5CD3">
          <w:headerReference w:type="default" r:id="rId33"/>
          <w:pgSz w:w="11907" w:h="16840" w:code="9"/>
          <w:pgMar w:top="1134" w:right="1134" w:bottom="1134" w:left="1418" w:header="720" w:footer="720" w:gutter="0"/>
          <w:paperSrc w:first="41" w:other="41"/>
          <w:cols w:space="720"/>
        </w:sectPr>
      </w:pPr>
      <w:bookmarkStart w:id="563" w:name="_Toc411908139"/>
      <w:bookmarkStart w:id="564" w:name="_Toc411908311"/>
      <w:bookmarkStart w:id="565" w:name="_Toc411917659"/>
      <w:bookmarkStart w:id="566" w:name="_Toc413653400"/>
      <w:bookmarkStart w:id="567" w:name="_Toc414416575"/>
      <w:bookmarkStart w:id="568" w:name="_Toc414416603"/>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p>
    <w:p w14:paraId="6AC6D034" w14:textId="77777777" w:rsidR="00AC5CD3" w:rsidRDefault="00AC5CD3">
      <w:pPr>
        <w:pStyle w:val="Heading3"/>
      </w:pPr>
      <w:bookmarkStart w:id="569" w:name="_Toc416767903"/>
      <w:bookmarkStart w:id="570" w:name="_Toc416768018"/>
      <w:bookmarkStart w:id="571" w:name="_Toc417275642"/>
      <w:bookmarkStart w:id="572" w:name="_Toc419254228"/>
      <w:bookmarkStart w:id="573" w:name="_Toc419260282"/>
      <w:bookmarkStart w:id="574" w:name="_Toc431373493"/>
      <w:bookmarkStart w:id="575" w:name="_Toc431373598"/>
      <w:bookmarkStart w:id="576" w:name="_Toc431635134"/>
      <w:bookmarkStart w:id="577" w:name="_Toc431635263"/>
      <w:bookmarkStart w:id="578" w:name="_Toc464025856"/>
      <w:bookmarkStart w:id="579" w:name="_Toc242176818"/>
      <w:r>
        <w:lastRenderedPageBreak/>
        <w:t>Annex B</w:t>
      </w:r>
      <w:bookmarkEnd w:id="563"/>
      <w:bookmarkEnd w:id="564"/>
      <w:bookmarkEnd w:id="565"/>
      <w:bookmarkEnd w:id="566"/>
      <w:bookmarkEnd w:id="567"/>
      <w:bookmarkEnd w:id="568"/>
      <w:r>
        <w:t xml:space="preserve"> - </w:t>
      </w:r>
      <w:bookmarkStart w:id="580" w:name="_Toc411908140"/>
      <w:bookmarkStart w:id="581" w:name="_Toc411908312"/>
      <w:bookmarkStart w:id="582" w:name="_Toc411917660"/>
      <w:bookmarkStart w:id="583" w:name="_Toc413653401"/>
      <w:bookmarkStart w:id="584" w:name="_Toc414416576"/>
      <w:bookmarkStart w:id="585" w:name="_Toc414416604"/>
      <w:r>
        <w:t>Brief Rationale for Coordination Parameters used in this RALI</w:t>
      </w:r>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p>
    <w:p w14:paraId="682E4151" w14:textId="77777777" w:rsidR="00AC5CD3" w:rsidRDefault="00AC5CD3">
      <w:pPr>
        <w:pStyle w:val="Heading4"/>
      </w:pPr>
      <w:bookmarkStart w:id="586" w:name="_Toc411908141"/>
      <w:bookmarkStart w:id="587" w:name="_Toc411908313"/>
      <w:bookmarkStart w:id="588" w:name="_Toc411917661"/>
      <w:bookmarkStart w:id="589" w:name="_Toc413653402"/>
      <w:bookmarkStart w:id="590" w:name="_Toc414416577"/>
      <w:bookmarkStart w:id="591" w:name="_Toc414416605"/>
      <w:bookmarkStart w:id="592" w:name="_Toc416767904"/>
      <w:bookmarkStart w:id="593" w:name="_Toc416768019"/>
      <w:bookmarkStart w:id="594" w:name="_Toc417275643"/>
      <w:bookmarkStart w:id="595" w:name="_Toc419254229"/>
      <w:bookmarkStart w:id="596" w:name="_Toc419260283"/>
      <w:bookmarkStart w:id="597" w:name="_Toc431373494"/>
      <w:bookmarkStart w:id="598" w:name="_Toc431373599"/>
      <w:bookmarkStart w:id="599" w:name="_Toc431635135"/>
      <w:bookmarkStart w:id="600" w:name="_Toc431635264"/>
      <w:bookmarkStart w:id="601" w:name="_Toc464025857"/>
      <w:bookmarkStart w:id="602" w:name="_Toc242176819"/>
      <w:proofErr w:type="gramStart"/>
      <w:r>
        <w:t>B.1  Re</w:t>
      </w:r>
      <w:proofErr w:type="gramEnd"/>
      <w:r>
        <w:t>-use Distance</w:t>
      </w:r>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p>
    <w:p w14:paraId="518CA5F4" w14:textId="77777777" w:rsidR="00AC5CD3" w:rsidRDefault="00AC5CD3">
      <w:r>
        <w:t xml:space="preserve">The re-use distances defined in this RALI are based upon a Point to Multipoint system designed around a </w:t>
      </w:r>
      <w:proofErr w:type="gramStart"/>
      <w:r>
        <w:t>7 cell</w:t>
      </w:r>
      <w:proofErr w:type="gramEnd"/>
      <w:r>
        <w:t xml:space="preserve"> cluster, as shown in Figure 1.</w:t>
      </w:r>
    </w:p>
    <w:p w14:paraId="1BC76034" w14:textId="77777777" w:rsidR="00AC5CD3" w:rsidRDefault="00AC5CD3"/>
    <w:p w14:paraId="4AC26735" w14:textId="77777777" w:rsidR="00AC5CD3" w:rsidRDefault="00AC5CD3">
      <w:pPr>
        <w:jc w:val="center"/>
      </w:pPr>
      <w:r>
        <w:object w:dxaOrig="9529" w:dyaOrig="5900" w14:anchorId="041EE3E2">
          <v:shape id="_x0000_i1026" type="#_x0000_t75" style="width:244.5pt;height:147.75pt" o:ole="">
            <v:imagedata r:id="rId34" o:title=""/>
          </v:shape>
          <o:OLEObject Type="Embed" ProgID="MgxDesigner" ShapeID="_x0000_i1026" DrawAspect="Content" ObjectID="_1628679473" r:id="rId35"/>
        </w:object>
      </w:r>
    </w:p>
    <w:p w14:paraId="1EFE3E90" w14:textId="77777777" w:rsidR="00AC5CD3" w:rsidRDefault="00AC5CD3">
      <w:pPr>
        <w:jc w:val="center"/>
      </w:pPr>
    </w:p>
    <w:p w14:paraId="1AB2D9C8" w14:textId="77777777" w:rsidR="00AC5CD3" w:rsidRDefault="00AC5CD3">
      <w:pPr>
        <w:jc w:val="center"/>
        <w:rPr>
          <w:b/>
        </w:rPr>
      </w:pPr>
      <w:r>
        <w:rPr>
          <w:b/>
        </w:rPr>
        <w:t>Figure 1 - Basic 7 cell re-use pattern</w:t>
      </w:r>
    </w:p>
    <w:p w14:paraId="5A597B5C" w14:textId="77777777" w:rsidR="00AC5CD3" w:rsidRDefault="00AC5CD3">
      <w:r>
        <w:t>The radius of the cells is set to 20 km.  This radius was chosen as a reasonable compromise between the minimum radius needed in urban areas (around 10 km), the average cell size of 15 km and taking account of the absolute maximum cell size possible</w:t>
      </w:r>
      <w:r>
        <w:rPr>
          <w:rStyle w:val="FootnoteReference"/>
        </w:rPr>
        <w:footnoteReference w:id="7"/>
      </w:r>
      <w:r>
        <w:t xml:space="preserve"> of about 40 km.  This very large cell size is expected to be utilised only in outlying, low population density areas.</w:t>
      </w:r>
    </w:p>
    <w:p w14:paraId="35DE70FC" w14:textId="77777777" w:rsidR="00AC5CD3" w:rsidRDefault="00AC5CD3">
      <w:r>
        <w:t>In cellular systems design, frequency or cell re-use distances are dependant upon the cell radius and cluster size and are given by:</w:t>
      </w:r>
    </w:p>
    <w:p w14:paraId="31A130FD" w14:textId="77777777" w:rsidR="00AC5CD3" w:rsidRDefault="00AC5CD3">
      <w:pPr>
        <w:jc w:val="center"/>
      </w:pPr>
      <w:r>
        <w:t xml:space="preserve">D = </w:t>
      </w:r>
      <w:r>
        <w:rPr>
          <w:position w:val="-6"/>
        </w:rPr>
        <w:object w:dxaOrig="580" w:dyaOrig="340" w14:anchorId="30191072">
          <v:shape id="_x0000_i1027" type="#_x0000_t75" style="width:29.25pt;height:17.25pt" o:ole="">
            <v:imagedata r:id="rId36" o:title=""/>
          </v:shape>
          <o:OLEObject Type="Embed" ProgID="Equation.2" ShapeID="_x0000_i1027" DrawAspect="Content" ObjectID="_1628679474" r:id="rId37"/>
        </w:object>
      </w:r>
      <w:r>
        <w:t>R</w:t>
      </w:r>
      <w:r>
        <w:tab/>
        <w:t>[1]</w:t>
      </w:r>
    </w:p>
    <w:p w14:paraId="0FE131A8" w14:textId="77777777" w:rsidR="00AC5CD3" w:rsidRDefault="00AC5CD3">
      <w:pPr>
        <w:jc w:val="center"/>
      </w:pPr>
    </w:p>
    <w:p w14:paraId="4D3AA20B" w14:textId="77777777" w:rsidR="00AC5CD3" w:rsidRDefault="00AC5CD3">
      <w:r>
        <w:t>Where D is the re-use distance, R is the cell radius and N is the cluster size, in this case 7.</w:t>
      </w:r>
    </w:p>
    <w:p w14:paraId="5D6759AF" w14:textId="77777777" w:rsidR="00AC5CD3" w:rsidRDefault="00AC5CD3">
      <w:r>
        <w:t xml:space="preserve">For a 20 km cell radius, this gives a re-use distance of 92 km.  In this RALI, this distance has been approximated to 90 km </w:t>
      </w:r>
      <w:proofErr w:type="gramStart"/>
      <w:r>
        <w:t>taking into account</w:t>
      </w:r>
      <w:proofErr w:type="gramEnd"/>
      <w:r>
        <w:t xml:space="preserve"> an average radius of less than 20 km.</w:t>
      </w:r>
    </w:p>
    <w:p w14:paraId="60E878AC" w14:textId="77777777" w:rsidR="00AC5CD3" w:rsidRDefault="00AC5CD3">
      <w:pPr>
        <w:pStyle w:val="Heading4"/>
      </w:pPr>
      <w:bookmarkStart w:id="603" w:name="_Toc411908142"/>
      <w:bookmarkStart w:id="604" w:name="_Toc411908314"/>
      <w:bookmarkStart w:id="605" w:name="_Toc411917662"/>
      <w:bookmarkStart w:id="606" w:name="_Toc413653403"/>
      <w:bookmarkStart w:id="607" w:name="_Toc414416578"/>
      <w:bookmarkStart w:id="608" w:name="_Toc414416606"/>
      <w:r>
        <w:br w:type="column"/>
      </w:r>
      <w:bookmarkStart w:id="609" w:name="_Toc416767905"/>
      <w:bookmarkStart w:id="610" w:name="_Toc416768020"/>
      <w:bookmarkStart w:id="611" w:name="_Toc417275644"/>
      <w:bookmarkStart w:id="612" w:name="_Toc419254230"/>
      <w:bookmarkStart w:id="613" w:name="_Toc419260284"/>
      <w:bookmarkStart w:id="614" w:name="_Toc431373495"/>
      <w:bookmarkStart w:id="615" w:name="_Toc431373600"/>
      <w:bookmarkStart w:id="616" w:name="_Toc431635136"/>
      <w:bookmarkStart w:id="617" w:name="_Toc431635265"/>
      <w:bookmarkStart w:id="618" w:name="_Toc464025858"/>
      <w:bookmarkStart w:id="619" w:name="_Toc242176820"/>
      <w:proofErr w:type="gramStart"/>
      <w:r>
        <w:lastRenderedPageBreak/>
        <w:t>B.2  Path</w:t>
      </w:r>
      <w:proofErr w:type="gramEnd"/>
      <w:r>
        <w:t xml:space="preserve"> Loss Required Between Co-Channel Adjacent Systems</w:t>
      </w:r>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p>
    <w:p w14:paraId="516A401D" w14:textId="77777777" w:rsidR="00AC5CD3" w:rsidRDefault="00AC5CD3">
      <w:r>
        <w:t>The interference mechanisms in Point to Multipoint systems covered in this RALI are from base transmit to customer receive and from customer transmit into base receive, based on two frequency use with designated base transmit/receiver frequency bands.  Path loss calculations used in determining required discrimination between cells assume the customer units are mounted no higher than 6 m above average terrain and the propagation path is in a cluttered environment with an ‘n’ factor of 3.2.</w:t>
      </w:r>
    </w:p>
    <w:p w14:paraId="742A8C5F" w14:textId="77777777" w:rsidR="00AC5CD3" w:rsidRDefault="00AC5CD3">
      <w:r>
        <w:t>Applying the notional antenna characteristics detailed in this RALI, worst case interference is most likely to occur at the subscriber in a system furthest from the interfering base, ie. the customer transceiver on the far side of an adjacent cell is most likely to suffer from, or cause interference to an adjacent cell.  Customer units on the near side will benefit from front-to-back discrimination.</w:t>
      </w:r>
    </w:p>
    <w:p w14:paraId="1F5811AC" w14:textId="77777777" w:rsidR="00AC5CD3" w:rsidRDefault="00AC5CD3">
      <w:r>
        <w:t>With a distance exponent ‘n’ of 3.2, the path loss between a base station and a customer unit of that base station at the service edge of the cell is given by:</w:t>
      </w:r>
    </w:p>
    <w:p w14:paraId="10AAC263" w14:textId="77777777" w:rsidR="00AC5CD3" w:rsidRDefault="00AC5CD3"/>
    <w:p w14:paraId="01F00DB6" w14:textId="77777777" w:rsidR="00AC5CD3" w:rsidRDefault="00AC5CD3">
      <w:pPr>
        <w:jc w:val="center"/>
      </w:pPr>
      <w:r>
        <w:t>L</w:t>
      </w:r>
      <w:r>
        <w:rPr>
          <w:vertAlign w:val="subscript"/>
        </w:rPr>
        <w:t>P</w:t>
      </w:r>
      <w:r>
        <w:t xml:space="preserve"> = 32.5 + 32logD + 20log(f)</w:t>
      </w:r>
    </w:p>
    <w:p w14:paraId="714AA601" w14:textId="77777777" w:rsidR="00AC5CD3" w:rsidRDefault="00AC5CD3">
      <w:pPr>
        <w:jc w:val="center"/>
      </w:pPr>
    </w:p>
    <w:p w14:paraId="57CF589E" w14:textId="77777777" w:rsidR="00AC5CD3" w:rsidRDefault="00AC5CD3">
      <w:r>
        <w:t>where f is 3400 MHz and D is distance in km.  This gives:</w:t>
      </w:r>
    </w:p>
    <w:p w14:paraId="488797AA" w14:textId="77777777" w:rsidR="00AC5CD3" w:rsidRDefault="00AC5CD3"/>
    <w:p w14:paraId="14D22EAD" w14:textId="77777777" w:rsidR="00AC5CD3" w:rsidRDefault="00AC5CD3">
      <w:pPr>
        <w:jc w:val="center"/>
      </w:pPr>
      <w:r>
        <w:t>L</w:t>
      </w:r>
      <w:r>
        <w:rPr>
          <w:vertAlign w:val="subscript"/>
        </w:rPr>
        <w:t>P</w:t>
      </w:r>
      <w:r>
        <w:t xml:space="preserve"> = 145 dB for a 20 km cell radius.</w:t>
      </w:r>
    </w:p>
    <w:p w14:paraId="5E55551F" w14:textId="77777777" w:rsidR="00AC5CD3" w:rsidRDefault="00AC5CD3">
      <w:pPr>
        <w:jc w:val="center"/>
      </w:pPr>
    </w:p>
    <w:p w14:paraId="0AAF81E6" w14:textId="77777777" w:rsidR="00AC5CD3" w:rsidRDefault="00AC5CD3">
      <w:r>
        <w:t xml:space="preserve">If we assume a required C/I of 20 dB, then the path loss from an </w:t>
      </w:r>
      <w:r>
        <w:rPr>
          <w:i/>
        </w:rPr>
        <w:t>interfering</w:t>
      </w:r>
      <w:r>
        <w:t xml:space="preserve"> base station must therefore be at least 165 dB.  With an ‘n’ of 3.2 and at a re-use distance of 90 km, the actual path loss would be 165.2 dB and thus meet this requirement.  Additional path loss may be gained through terrain shielding, in which case the re-use distance </w:t>
      </w:r>
      <w:r>
        <w:rPr>
          <w:u w:val="single"/>
        </w:rPr>
        <w:t>may</w:t>
      </w:r>
      <w:r>
        <w:t xml:space="preserve"> be able to be relaxed.  Alternatively, very flat terrain or over-water paths may not provide adequate discrimination.  In these cases, a </w:t>
      </w:r>
      <w:proofErr w:type="gramStart"/>
      <w:r>
        <w:t>greater  separation</w:t>
      </w:r>
      <w:proofErr w:type="gramEnd"/>
      <w:r>
        <w:t xml:space="preserve"> distance, or some other way of providing the additional discrimination, will be necessary.</w:t>
      </w:r>
    </w:p>
    <w:p w14:paraId="0A16FCCB" w14:textId="77777777" w:rsidR="00AC5CD3" w:rsidRDefault="00AC5CD3">
      <w:r>
        <w:t>This model is designed to provide protection between base stations and co-channel customer units in adjacent cells for the conditions described.  Customer antennas mounted higher than 6 m above average terrain, or base stations mounted on high sites will in many cases reduce the ‘n’ factor below 3.2 and potentially cause interference to adjacent cells.</w:t>
      </w:r>
    </w:p>
    <w:p w14:paraId="2EECBFFA" w14:textId="77777777" w:rsidR="00AC5CD3" w:rsidRDefault="00AC5CD3">
      <w:pPr>
        <w:pStyle w:val="Heading4"/>
      </w:pPr>
      <w:bookmarkStart w:id="620" w:name="_Toc416767906"/>
      <w:bookmarkStart w:id="621" w:name="_Toc416768021"/>
      <w:bookmarkStart w:id="622" w:name="_Toc417275645"/>
      <w:bookmarkStart w:id="623" w:name="_Toc419254231"/>
      <w:bookmarkStart w:id="624" w:name="_Toc419260285"/>
      <w:bookmarkStart w:id="625" w:name="_Toc431373496"/>
      <w:bookmarkStart w:id="626" w:name="_Toc431373601"/>
      <w:bookmarkStart w:id="627" w:name="_Toc431635137"/>
      <w:bookmarkStart w:id="628" w:name="_Toc431635266"/>
      <w:bookmarkStart w:id="629" w:name="_Toc464025859"/>
      <w:bookmarkStart w:id="630" w:name="_Toc242176821"/>
      <w:proofErr w:type="gramStart"/>
      <w:r>
        <w:t>B.3  Reference</w:t>
      </w:r>
      <w:bookmarkEnd w:id="620"/>
      <w:bookmarkEnd w:id="621"/>
      <w:bookmarkEnd w:id="622"/>
      <w:bookmarkEnd w:id="623"/>
      <w:bookmarkEnd w:id="624"/>
      <w:bookmarkEnd w:id="625"/>
      <w:bookmarkEnd w:id="626"/>
      <w:bookmarkEnd w:id="627"/>
      <w:bookmarkEnd w:id="628"/>
      <w:bookmarkEnd w:id="629"/>
      <w:bookmarkEnd w:id="630"/>
      <w:proofErr w:type="gramEnd"/>
    </w:p>
    <w:p w14:paraId="4B8DB78E" w14:textId="77777777" w:rsidR="00AC5CD3" w:rsidRDefault="00AC5CD3">
      <w:r>
        <w:t>[1]</w:t>
      </w:r>
      <w:r>
        <w:tab/>
        <w:t>Wireless Communication, Principles and Practice.  T. S. Rappaport, Prentice Hall 1996.</w:t>
      </w:r>
    </w:p>
    <w:sectPr w:rsidR="00AC5CD3">
      <w:headerReference w:type="default" r:id="rId38"/>
      <w:footerReference w:type="default" r:id="rId39"/>
      <w:pgSz w:w="11907" w:h="16840" w:code="9"/>
      <w:pgMar w:top="1134" w:right="1134" w:bottom="1134" w:left="1418" w:header="720" w:footer="720" w:gutter="0"/>
      <w:paperSrc w:first="41" w:other="4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A3EEFF" w14:textId="77777777" w:rsidR="00663D68" w:rsidRDefault="00663D68" w:rsidP="00AC5CD3">
      <w:r>
        <w:separator/>
      </w:r>
    </w:p>
  </w:endnote>
  <w:endnote w:type="continuationSeparator" w:id="0">
    <w:p w14:paraId="20DAB42B" w14:textId="77777777" w:rsidR="00663D68" w:rsidRDefault="00663D68" w:rsidP="00AC5C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A2982B" w14:textId="77777777" w:rsidR="0068685E" w:rsidRDefault="006868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604950" w14:textId="77777777" w:rsidR="0068685E" w:rsidRPr="00176D78" w:rsidRDefault="0068685E">
    <w:pPr>
      <w:pBdr>
        <w:top w:val="single" w:sz="48" w:space="6" w:color="auto"/>
      </w:pBdr>
      <w:tabs>
        <w:tab w:val="right" w:pos="9356"/>
      </w:tabs>
      <w:rPr>
        <w:b/>
        <w:i/>
        <w:sz w:val="22"/>
      </w:rPr>
    </w:pPr>
    <w:r w:rsidRPr="00176D78">
      <w:rPr>
        <w:b/>
        <w:i/>
        <w:sz w:val="22"/>
      </w:rPr>
      <w:t>AUSTRALIAN COMMUNICATIONS AND MEDIAAUTHORITY</w:t>
    </w:r>
  </w:p>
  <w:p w14:paraId="21E9627F" w14:textId="77777777" w:rsidR="0068685E" w:rsidRDefault="0068685E">
    <w:pPr>
      <w:pBdr>
        <w:top w:val="single" w:sz="48" w:space="6" w:color="auto"/>
      </w:pBdr>
      <w:tabs>
        <w:tab w:val="right" w:pos="9356"/>
      </w:tabs>
      <w:rPr>
        <w:b/>
        <w:sz w:val="22"/>
      </w:rPr>
    </w:pPr>
    <w:r>
      <w:rPr>
        <w:b/>
        <w:sz w:val="22"/>
      </w:rPr>
      <w:t>SPECTRUM PLANNING BRANCH</w:t>
    </w:r>
  </w:p>
  <w:p w14:paraId="1174734A" w14:textId="77777777" w:rsidR="0068685E" w:rsidRDefault="0068685E">
    <w:pPr>
      <w:pBdr>
        <w:top w:val="single" w:sz="48" w:space="6" w:color="auto"/>
      </w:pBdr>
      <w:tabs>
        <w:tab w:val="right" w:pos="9356"/>
      </w:tabs>
      <w:rPr>
        <w:b/>
        <w:sz w:val="22"/>
      </w:rPr>
    </w:pPr>
    <w:smartTag w:uri="urn:schemas-microsoft-com:office:smarttags" w:element="place">
      <w:smartTag w:uri="urn:schemas-microsoft-com:office:smarttags" w:element="City">
        <w:r>
          <w:rPr>
            <w:b/>
            <w:sz w:val="22"/>
          </w:rPr>
          <w:t>CANBERRA</w:t>
        </w:r>
      </w:smartTag>
    </w:smartTag>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AD84FF" w14:textId="77777777" w:rsidR="0068685E" w:rsidRDefault="0068685E">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CEC2B5" w14:textId="77777777" w:rsidR="0068685E" w:rsidRDefault="0068685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xv</w:t>
    </w:r>
    <w:r>
      <w:rPr>
        <w:rStyle w:val="PageNumber"/>
      </w:rPr>
      <w:fldChar w:fldCharType="end"/>
    </w:r>
  </w:p>
  <w:p w14:paraId="1510521A" w14:textId="77777777" w:rsidR="0068685E" w:rsidRDefault="0068685E">
    <w:pPr>
      <w:pStyle w:val="Footer"/>
      <w:ind w:right="360"/>
      <w:rPr>
        <w:b/>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8BA218" w14:textId="77777777" w:rsidR="0068685E" w:rsidRDefault="0068685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96A03F" w14:textId="77777777" w:rsidR="0068685E" w:rsidRDefault="0068685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F873FC" w14:textId="77777777" w:rsidR="0068685E" w:rsidRDefault="0068685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127185" w14:textId="77777777" w:rsidR="0068685E" w:rsidRDefault="0068685E">
    <w:pPr>
      <w:pStyle w:val="Footer"/>
      <w:pBdr>
        <w:top w:val="single" w:sz="18" w:space="1" w:color="auto"/>
      </w:pBdr>
      <w:tabs>
        <w:tab w:val="right" w:pos="9356"/>
      </w:tabs>
      <w:rPr>
        <w:sz w:val="20"/>
      </w:rPr>
    </w:pPr>
    <w:r>
      <w:rPr>
        <w:sz w:val="20"/>
      </w:rPr>
      <w:t>FX 14</w:t>
    </w:r>
    <w:r>
      <w:rPr>
        <w:sz w:val="20"/>
      </w:rPr>
      <w:tab/>
    </w:r>
    <w:r w:rsidR="00062AFF">
      <w:rPr>
        <w:sz w:val="20"/>
      </w:rPr>
      <w:t>August</w:t>
    </w:r>
    <w:r w:rsidR="009C3786">
      <w:rPr>
        <w:sz w:val="20"/>
      </w:rPr>
      <w:t xml:space="preserve"> 2015</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5F1C95" w14:textId="77777777" w:rsidR="0068685E" w:rsidRDefault="009C3786">
    <w:pPr>
      <w:pStyle w:val="Footer"/>
      <w:pBdr>
        <w:top w:val="single" w:sz="18" w:space="1" w:color="auto"/>
      </w:pBdr>
      <w:tabs>
        <w:tab w:val="right" w:pos="9356"/>
      </w:tabs>
    </w:pPr>
    <w:r>
      <w:rPr>
        <w:sz w:val="20"/>
      </w:rPr>
      <w:t>FX -14</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788447" w14:textId="77777777" w:rsidR="0068685E" w:rsidRDefault="0068685E">
    <w:pPr>
      <w:pStyle w:val="Footer"/>
      <w:pBdr>
        <w:top w:val="single" w:sz="18" w:space="1" w:color="auto"/>
      </w:pBdr>
      <w:tabs>
        <w:tab w:val="right" w:pos="9356"/>
      </w:tabs>
      <w:rPr>
        <w:sz w:val="20"/>
      </w:rPr>
    </w:pPr>
    <w:r>
      <w:rPr>
        <w:sz w:val="20"/>
      </w:rPr>
      <w:t>FX 14</w:t>
    </w:r>
    <w:r>
      <w:rPr>
        <w:sz w:val="20"/>
      </w:rPr>
      <w:tab/>
    </w:r>
    <w:r w:rsidR="00062AFF">
      <w:rPr>
        <w:sz w:val="20"/>
      </w:rPr>
      <w:t>August</w:t>
    </w:r>
    <w:r w:rsidR="009C3786">
      <w:rPr>
        <w:sz w:val="20"/>
      </w:rPr>
      <w:t xml:space="preserve"> 2015</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3087D9" w14:textId="77777777" w:rsidR="0068685E" w:rsidRDefault="0068685E">
    <w:pPr>
      <w:pStyle w:val="Footer"/>
      <w:pBdr>
        <w:top w:val="single" w:sz="18" w:space="1" w:color="auto"/>
      </w:pBdr>
      <w:tabs>
        <w:tab w:val="right" w:pos="9356"/>
      </w:tabs>
      <w:rPr>
        <w:sz w:val="20"/>
      </w:rPr>
    </w:pPr>
    <w:r>
      <w:rPr>
        <w:sz w:val="20"/>
      </w:rPr>
      <w:t>FX 14</w:t>
    </w:r>
    <w:r>
      <w:rPr>
        <w:sz w:val="20"/>
      </w:rPr>
      <w:tab/>
    </w:r>
    <w:r w:rsidR="00062AFF">
      <w:rPr>
        <w:sz w:val="20"/>
      </w:rPr>
      <w:t>August</w:t>
    </w:r>
    <w:r w:rsidR="009C3786">
      <w:rPr>
        <w:sz w:val="20"/>
      </w:rPr>
      <w:t xml:space="preserve"> 2015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1EFB99" w14:textId="77777777" w:rsidR="00663D68" w:rsidRDefault="00663D68" w:rsidP="00AC5CD3">
      <w:r>
        <w:separator/>
      </w:r>
    </w:p>
  </w:footnote>
  <w:footnote w:type="continuationSeparator" w:id="0">
    <w:p w14:paraId="6BB03145" w14:textId="77777777" w:rsidR="00663D68" w:rsidRDefault="00663D68" w:rsidP="00AC5CD3">
      <w:r>
        <w:continuationSeparator/>
      </w:r>
    </w:p>
  </w:footnote>
  <w:footnote w:id="1">
    <w:p w14:paraId="0E129849" w14:textId="77777777" w:rsidR="0068685E" w:rsidRDefault="0068685E">
      <w:pPr>
        <w:pStyle w:val="FootnoteText"/>
        <w:ind w:left="720" w:hanging="720"/>
        <w:rPr>
          <w:i w:val="0"/>
        </w:rPr>
      </w:pPr>
      <w:r>
        <w:rPr>
          <w:rStyle w:val="FootnoteReference"/>
          <w:i w:val="0"/>
        </w:rPr>
        <w:footnoteRef/>
      </w:r>
      <w:r>
        <w:rPr>
          <w:i w:val="0"/>
        </w:rPr>
        <w:tab/>
        <w:t>'TDMA P-MP DRRS in the frequency range 3 to 11 GHz'.</w:t>
      </w:r>
    </w:p>
  </w:footnote>
  <w:footnote w:id="2">
    <w:p w14:paraId="7A68E2F6" w14:textId="77777777" w:rsidR="0068685E" w:rsidRDefault="0068685E">
      <w:pPr>
        <w:pStyle w:val="FootnoteText"/>
        <w:ind w:left="720" w:hanging="720"/>
        <w:rPr>
          <w:i w:val="0"/>
        </w:rPr>
      </w:pPr>
      <w:r>
        <w:rPr>
          <w:rStyle w:val="FootnoteReference"/>
          <w:i w:val="0"/>
        </w:rPr>
        <w:footnoteRef/>
      </w:r>
      <w:r>
        <w:rPr>
          <w:i w:val="0"/>
        </w:rPr>
        <w:tab/>
        <w:t>The Nortel equipment utilises TDMA technology with 10 time slots per RF channel, each of 307.2 kHz with a 50 MHz duplex split.  It uses the bands 3425 – 3442.5 MHz and 3475 – 3492.5 MHz for hub stations receivers and hub stations transmitters respectively.</w:t>
      </w:r>
    </w:p>
  </w:footnote>
  <w:footnote w:id="3">
    <w:p w14:paraId="24D7EB49" w14:textId="77777777" w:rsidR="003B6FFD" w:rsidRDefault="003B6FFD" w:rsidP="003B6FFD">
      <w:pPr>
        <w:pStyle w:val="FootnoteText"/>
      </w:pPr>
      <w:r>
        <w:rPr>
          <w:rStyle w:val="FootnoteReference"/>
        </w:rPr>
        <w:footnoteRef/>
      </w:r>
      <w:r>
        <w:t xml:space="preserve"> ACMA file F1989-207, held by Manager, Spectrum Planning Engineering Section, Spectrum Planning Branch, refers.</w:t>
      </w:r>
    </w:p>
  </w:footnote>
  <w:footnote w:id="4">
    <w:p w14:paraId="0A6A0300" w14:textId="77777777" w:rsidR="0068685E" w:rsidRDefault="0068685E">
      <w:pPr>
        <w:pStyle w:val="FootnoteText"/>
        <w:rPr>
          <w:i w:val="0"/>
        </w:rPr>
      </w:pPr>
      <w:r>
        <w:rPr>
          <w:rStyle w:val="FootnoteReference"/>
          <w:i w:val="0"/>
        </w:rPr>
        <w:footnoteRef/>
      </w:r>
      <w:r>
        <w:rPr>
          <w:i w:val="0"/>
        </w:rPr>
        <w:t xml:space="preserve"> </w:t>
      </w:r>
      <w:r>
        <w:rPr>
          <w:i w:val="0"/>
        </w:rPr>
        <w:tab/>
        <w:t>Within the same authorised bandwidth.</w:t>
      </w:r>
    </w:p>
  </w:footnote>
  <w:footnote w:id="5">
    <w:p w14:paraId="2001C250" w14:textId="77777777" w:rsidR="0068685E" w:rsidRDefault="0068685E">
      <w:pPr>
        <w:pStyle w:val="FootnoteText"/>
        <w:rPr>
          <w:i w:val="0"/>
        </w:rPr>
      </w:pPr>
      <w:r>
        <w:rPr>
          <w:rStyle w:val="FootnoteReference"/>
          <w:i w:val="0"/>
        </w:rPr>
        <w:footnoteRef/>
      </w:r>
      <w:r>
        <w:rPr>
          <w:i w:val="0"/>
        </w:rPr>
        <w:t xml:space="preserve"> </w:t>
      </w:r>
      <w:r>
        <w:rPr>
          <w:i w:val="0"/>
        </w:rPr>
        <w:tab/>
        <w:t xml:space="preserve">For ordering information see the ACMA website: </w:t>
      </w:r>
      <w:hyperlink r:id="rId1" w:history="1">
        <w:r w:rsidRPr="00F131F0">
          <w:rPr>
            <w:rStyle w:val="Hyperlink"/>
          </w:rPr>
          <w:t>http://www.acma.gov.au/WEB/STANDARD/pc=PC_1613</w:t>
        </w:r>
      </w:hyperlink>
      <w:r>
        <w:rPr>
          <w:i w:val="0"/>
        </w:rPr>
        <w:t xml:space="preserve"> .</w:t>
      </w:r>
    </w:p>
  </w:footnote>
  <w:footnote w:id="6">
    <w:p w14:paraId="7E882A16" w14:textId="77777777" w:rsidR="0068685E" w:rsidRDefault="0068685E">
      <w:pPr>
        <w:pStyle w:val="FootnoteText"/>
        <w:rPr>
          <w:i w:val="0"/>
        </w:rPr>
      </w:pPr>
      <w:r>
        <w:rPr>
          <w:rStyle w:val="FootnoteReference"/>
          <w:i w:val="0"/>
        </w:rPr>
        <w:footnoteRef/>
      </w:r>
      <w:r>
        <w:rPr>
          <w:i w:val="0"/>
        </w:rPr>
        <w:t xml:space="preserve"> </w:t>
      </w:r>
      <w:r>
        <w:rPr>
          <w:i w:val="0"/>
        </w:rPr>
        <w:tab/>
        <w:t xml:space="preserve">ITU-R P.370-7 ‘VHF and UHF propagation curves for the frequency range from 30 MHz to 1000 MHz’, Annex 1, 1.2; </w:t>
      </w:r>
      <w:r>
        <w:rPr>
          <w:i w:val="0"/>
        </w:rPr>
        <w:tab/>
        <w:t xml:space="preserve">ITU-R PN 310-9 ‘Definitions of terms relating to propagation in non-ionised media’, (term B8) and other ITU material </w:t>
      </w:r>
      <w:r>
        <w:rPr>
          <w:i w:val="0"/>
        </w:rPr>
        <w:tab/>
        <w:t>referenced in these.</w:t>
      </w:r>
    </w:p>
  </w:footnote>
  <w:footnote w:id="7">
    <w:p w14:paraId="48C38295" w14:textId="77777777" w:rsidR="0068685E" w:rsidRDefault="0068685E">
      <w:pPr>
        <w:pStyle w:val="FootnoteText"/>
        <w:ind w:left="720" w:hanging="720"/>
        <w:rPr>
          <w:i w:val="0"/>
        </w:rPr>
      </w:pPr>
      <w:r>
        <w:rPr>
          <w:rStyle w:val="FootnoteReference"/>
          <w:i w:val="0"/>
        </w:rPr>
        <w:footnoteRef/>
      </w:r>
      <w:r>
        <w:rPr>
          <w:i w:val="0"/>
        </w:rPr>
        <w:tab/>
        <w:t>Using Nortel Proximity I equipment.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9CA48D" w14:textId="77777777" w:rsidR="0068685E" w:rsidRDefault="0068685E">
    <w:pPr>
      <w:pStyle w:val="Header"/>
      <w:ind w:right="-1"/>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03" w:type="dxa"/>
      <w:tblInd w:w="4786" w:type="dxa"/>
      <w:tblLayout w:type="fixed"/>
      <w:tblLook w:val="0000" w:firstRow="0" w:lastRow="0" w:firstColumn="0" w:lastColumn="0" w:noHBand="0" w:noVBand="0"/>
    </w:tblPr>
    <w:tblGrid>
      <w:gridCol w:w="2835"/>
      <w:gridCol w:w="2268"/>
    </w:tblGrid>
    <w:tr w:rsidR="0068685E" w14:paraId="7E2348F9" w14:textId="77777777" w:rsidTr="00563640">
      <w:tblPrEx>
        <w:tblCellMar>
          <w:top w:w="0" w:type="dxa"/>
          <w:bottom w:w="0" w:type="dxa"/>
        </w:tblCellMar>
      </w:tblPrEx>
      <w:trPr>
        <w:cantSplit/>
      </w:trPr>
      <w:tc>
        <w:tcPr>
          <w:tcW w:w="2835" w:type="dxa"/>
        </w:tcPr>
        <w:p w14:paraId="19C22786" w14:textId="77777777" w:rsidR="0068685E" w:rsidRDefault="0068685E">
          <w:pPr>
            <w:ind w:left="34"/>
            <w:jc w:val="right"/>
            <w:rPr>
              <w:b/>
            </w:rPr>
          </w:pPr>
          <w:r>
            <w:rPr>
              <w:b/>
            </w:rPr>
            <w:t>RALI</w:t>
          </w:r>
        </w:p>
      </w:tc>
      <w:tc>
        <w:tcPr>
          <w:tcW w:w="2268" w:type="dxa"/>
        </w:tcPr>
        <w:p w14:paraId="4872FB66" w14:textId="77777777" w:rsidR="0068685E" w:rsidRDefault="0068685E">
          <w:pPr>
            <w:ind w:left="-108"/>
            <w:rPr>
              <w:b/>
            </w:rPr>
          </w:pPr>
          <w:r>
            <w:rPr>
              <w:b/>
            </w:rPr>
            <w:t>: FX 14</w:t>
          </w:r>
        </w:p>
      </w:tc>
    </w:tr>
    <w:tr w:rsidR="0068685E" w14:paraId="182154D1" w14:textId="77777777" w:rsidTr="00563640">
      <w:tblPrEx>
        <w:tblCellMar>
          <w:top w:w="0" w:type="dxa"/>
          <w:bottom w:w="0" w:type="dxa"/>
        </w:tblCellMar>
      </w:tblPrEx>
      <w:trPr>
        <w:cantSplit/>
      </w:trPr>
      <w:tc>
        <w:tcPr>
          <w:tcW w:w="2835" w:type="dxa"/>
        </w:tcPr>
        <w:p w14:paraId="2AB37F41" w14:textId="77777777" w:rsidR="0068685E" w:rsidRDefault="0068685E">
          <w:pPr>
            <w:ind w:left="34"/>
            <w:jc w:val="right"/>
            <w:rPr>
              <w:b/>
            </w:rPr>
          </w:pPr>
          <w:r>
            <w:rPr>
              <w:b/>
            </w:rPr>
            <w:t>DATE OF EFFECT</w:t>
          </w:r>
        </w:p>
      </w:tc>
      <w:tc>
        <w:tcPr>
          <w:tcW w:w="2268" w:type="dxa"/>
        </w:tcPr>
        <w:p w14:paraId="4325B1C3" w14:textId="77777777" w:rsidR="0068685E" w:rsidRDefault="0068685E" w:rsidP="00AE4993">
          <w:pPr>
            <w:ind w:left="-108"/>
            <w:rPr>
              <w:b/>
            </w:rPr>
          </w:pPr>
          <w:r>
            <w:rPr>
              <w:b/>
            </w:rPr>
            <w:t xml:space="preserve">: </w:t>
          </w:r>
          <w:r w:rsidR="00062AFF">
            <w:rPr>
              <w:b/>
            </w:rPr>
            <w:t>11</w:t>
          </w:r>
          <w:r w:rsidRPr="004D3A0E">
            <w:rPr>
              <w:b/>
            </w:rPr>
            <w:t>/0</w:t>
          </w:r>
          <w:r w:rsidR="00062AFF">
            <w:rPr>
              <w:b/>
            </w:rPr>
            <w:t>8</w:t>
          </w:r>
          <w:r w:rsidRPr="004D3A0E">
            <w:rPr>
              <w:b/>
            </w:rPr>
            <w:t>/20</w:t>
          </w:r>
          <w:r w:rsidR="00AE4993" w:rsidRPr="00062AFF">
            <w:rPr>
              <w:b/>
            </w:rPr>
            <w:t>15</w:t>
          </w:r>
        </w:p>
      </w:tc>
    </w:tr>
    <w:tr w:rsidR="0068685E" w14:paraId="07C49C9A" w14:textId="77777777" w:rsidTr="00563640">
      <w:tblPrEx>
        <w:tblCellMar>
          <w:top w:w="0" w:type="dxa"/>
          <w:bottom w:w="0" w:type="dxa"/>
        </w:tblCellMar>
      </w:tblPrEx>
      <w:trPr>
        <w:cantSplit/>
      </w:trPr>
      <w:tc>
        <w:tcPr>
          <w:tcW w:w="2835" w:type="dxa"/>
        </w:tcPr>
        <w:p w14:paraId="51BF9AA2" w14:textId="77777777" w:rsidR="0068685E" w:rsidRDefault="0068685E">
          <w:pPr>
            <w:ind w:left="34"/>
            <w:jc w:val="right"/>
            <w:rPr>
              <w:b/>
              <w:sz w:val="20"/>
            </w:rPr>
          </w:pPr>
        </w:p>
      </w:tc>
      <w:tc>
        <w:tcPr>
          <w:tcW w:w="2268" w:type="dxa"/>
        </w:tcPr>
        <w:p w14:paraId="3E9C2858" w14:textId="77777777" w:rsidR="0068685E" w:rsidRDefault="0068685E">
          <w:pPr>
            <w:ind w:left="-108"/>
            <w:rPr>
              <w:b/>
            </w:rPr>
          </w:pPr>
        </w:p>
      </w:tc>
    </w:tr>
  </w:tbl>
  <w:p w14:paraId="1CB87140" w14:textId="77777777" w:rsidR="0068685E" w:rsidRDefault="0068685E">
    <w:pPr>
      <w:pBdr>
        <w:bottom w:val="single" w:sz="48" w:space="1" w:color="auto"/>
      </w:pBdr>
    </w:pPr>
  </w:p>
  <w:p w14:paraId="6ADD6BA8" w14:textId="77777777" w:rsidR="0068685E" w:rsidRDefault="0068685E">
    <w:pPr>
      <w:ind w:right="-851"/>
      <w:rPr>
        <w:b/>
      </w:rPr>
    </w:pPr>
    <w:r>
      <w:rPr>
        <w:b/>
      </w:rPr>
      <w:t>Radiocommunications Assignment and Licensing Instruction</w:t>
    </w:r>
  </w:p>
  <w:p w14:paraId="4B77E9D7" w14:textId="77777777" w:rsidR="0068685E" w:rsidRDefault="006868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6F7AD8" w14:textId="77777777" w:rsidR="0068685E" w:rsidRDefault="006868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6931BE" w14:textId="77777777" w:rsidR="0068685E" w:rsidRDefault="0068685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xv</w:t>
    </w:r>
    <w:r>
      <w:rPr>
        <w:rStyle w:val="PageNumber"/>
      </w:rPr>
      <w:fldChar w:fldCharType="end"/>
    </w:r>
  </w:p>
  <w:p w14:paraId="3EA623D6" w14:textId="77777777" w:rsidR="0068685E" w:rsidRDefault="0068685E">
    <w:pPr>
      <w:pStyle w:val="Header"/>
      <w:tabs>
        <w:tab w:val="center" w:pos="4536"/>
      </w:tabs>
      <w:ind w:right="360"/>
      <w:jc w:val="center"/>
      <w:rPr>
        <w:b/>
      </w:rPr>
    </w:pPr>
    <w:r>
      <w:rPr>
        <w:b/>
      </w:rPr>
      <w:t>DRAFT</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F872D0" w14:textId="77777777" w:rsidR="0068685E" w:rsidRDefault="0068685E">
    <w:pPr>
      <w:pStyle w:val="Header"/>
      <w:ind w:right="360" w:firstLine="360"/>
      <w:jc w:val="center"/>
      <w:rPr>
        <w:b/>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6CC7D9" w14:textId="77777777" w:rsidR="0068685E" w:rsidRDefault="0068685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435F1D">
      <w:rPr>
        <w:rStyle w:val="PageNumber"/>
        <w:noProof/>
      </w:rPr>
      <w:t>i</w:t>
    </w:r>
    <w:r>
      <w:rPr>
        <w:rStyle w:val="PageNumber"/>
      </w:rPr>
      <w:fldChar w:fldCharType="end"/>
    </w:r>
  </w:p>
  <w:p w14:paraId="313BC58C" w14:textId="77777777" w:rsidR="0068685E" w:rsidRDefault="0068685E">
    <w:pPr>
      <w:pStyle w:val="Header"/>
      <w:ind w:right="360" w:firstLine="360"/>
      <w:jc w:val="center"/>
      <w:rPr>
        <w:b/>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86FD63" w14:textId="77777777" w:rsidR="0068685E" w:rsidRDefault="0068685E">
    <w:pPr>
      <w:pStyle w:val="Header"/>
      <w:ind w:right="360" w:firstLine="360"/>
      <w:jc w:val="center"/>
      <w:rPr>
        <w:b/>
      </w:rPr>
    </w:pPr>
    <w:r>
      <w:rPr>
        <w:rStyle w:val="PageNumber"/>
      </w:rPr>
      <w:fldChar w:fldCharType="begin"/>
    </w:r>
    <w:r>
      <w:rPr>
        <w:rStyle w:val="PageNumber"/>
      </w:rPr>
      <w:instrText xml:space="preserve">PAGE  </w:instrText>
    </w:r>
    <w:r>
      <w:rPr>
        <w:rStyle w:val="PageNumber"/>
      </w:rPr>
      <w:fldChar w:fldCharType="separate"/>
    </w:r>
    <w:r w:rsidR="00435F1D">
      <w:rPr>
        <w:rStyle w:val="PageNumber"/>
        <w:noProof/>
      </w:rPr>
      <w:t>iii</w:t>
    </w:r>
    <w:r>
      <w:rPr>
        <w:rStyle w:val="PageNumber"/>
      </w:rPr>
      <w:fldChar w:fldCharType="end"/>
    </w:r>
  </w:p>
  <w:p w14:paraId="75B3926F" w14:textId="77777777" w:rsidR="0068685E" w:rsidRDefault="0068685E">
    <w:pPr>
      <w:pStyle w:val="Header"/>
      <w:ind w:right="360" w:firstLine="360"/>
      <w:jc w:val="center"/>
      <w:rPr>
        <w:b/>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0DD868" w14:textId="77777777" w:rsidR="0068685E" w:rsidRDefault="0068685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435F1D">
      <w:rPr>
        <w:rStyle w:val="PageNumber"/>
        <w:noProof/>
      </w:rPr>
      <w:t>10</w:t>
    </w:r>
    <w:r>
      <w:rPr>
        <w:rStyle w:val="PageNumber"/>
      </w:rPr>
      <w:fldChar w:fldCharType="end"/>
    </w:r>
  </w:p>
  <w:p w14:paraId="5C33CCF2" w14:textId="77777777" w:rsidR="0068685E" w:rsidRDefault="0068685E">
    <w:pPr>
      <w:pStyle w:val="Header"/>
      <w:ind w:right="360" w:firstLine="360"/>
      <w:jc w:val="center"/>
      <w:rPr>
        <w:b/>
      </w:rPr>
    </w:pPr>
  </w:p>
  <w:p w14:paraId="4A4A3E79" w14:textId="77777777" w:rsidR="0068685E" w:rsidRDefault="0068685E">
    <w:pPr>
      <w:pStyle w:val="Header"/>
      <w:ind w:right="360" w:firstLine="360"/>
      <w:jc w:val="center"/>
      <w:rPr>
        <w:b/>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A62FDD" w14:textId="77777777" w:rsidR="0068685E" w:rsidRDefault="0068685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435F1D">
      <w:rPr>
        <w:rStyle w:val="PageNumber"/>
        <w:noProof/>
      </w:rPr>
      <w:t>12</w:t>
    </w:r>
    <w:r>
      <w:rPr>
        <w:rStyle w:val="PageNumber"/>
      </w:rPr>
      <w:fldChar w:fldCharType="end"/>
    </w:r>
  </w:p>
  <w:p w14:paraId="1F871757" w14:textId="77777777" w:rsidR="0068685E" w:rsidRDefault="0068685E">
    <w:pPr>
      <w:pStyle w:val="Header"/>
      <w:ind w:right="360" w:firstLine="360"/>
      <w:jc w:val="center"/>
      <w:rPr>
        <w:b/>
      </w:rPr>
    </w:pPr>
  </w:p>
  <w:p w14:paraId="1C972738" w14:textId="77777777" w:rsidR="0068685E" w:rsidRDefault="0068685E">
    <w:pPr>
      <w:pStyle w:val="Header"/>
      <w:ind w:right="360" w:firstLine="360"/>
      <w:jc w:val="center"/>
      <w:rPr>
        <w:b/>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6C3B41" w14:textId="77777777" w:rsidR="0068685E" w:rsidRDefault="0068685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435F1D">
      <w:rPr>
        <w:rStyle w:val="PageNumber"/>
        <w:noProof/>
      </w:rPr>
      <w:t>13</w:t>
    </w:r>
    <w:r>
      <w:rPr>
        <w:rStyle w:val="PageNumber"/>
      </w:rPr>
      <w:fldChar w:fldCharType="end"/>
    </w:r>
  </w:p>
  <w:p w14:paraId="0D29E171" w14:textId="77777777" w:rsidR="0068685E" w:rsidRDefault="0068685E">
    <w:pPr>
      <w:pStyle w:val="Header"/>
      <w:ind w:right="360" w:firstLine="360"/>
      <w:jc w:val="center"/>
      <w:rPr>
        <w:b/>
      </w:rPr>
    </w:pPr>
  </w:p>
  <w:p w14:paraId="1ABA61B4" w14:textId="77777777" w:rsidR="0068685E" w:rsidRDefault="0068685E">
    <w:pPr>
      <w:pStyle w:val="Header"/>
      <w:ind w:right="360" w:firstLine="360"/>
      <w:jc w:val="center"/>
      <w:rPr>
        <w:b/>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D55405" w14:textId="77777777" w:rsidR="0068685E" w:rsidRDefault="0068685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435F1D">
      <w:rPr>
        <w:rStyle w:val="PageNumber"/>
        <w:noProof/>
      </w:rPr>
      <w:t>15</w:t>
    </w:r>
    <w:r>
      <w:rPr>
        <w:rStyle w:val="PageNumber"/>
      </w:rPr>
      <w:fldChar w:fldCharType="end"/>
    </w:r>
  </w:p>
  <w:p w14:paraId="17053257" w14:textId="77777777" w:rsidR="0068685E" w:rsidRDefault="0068685E">
    <w:pPr>
      <w:pStyle w:val="Header"/>
      <w:ind w:right="360" w:firstLine="360"/>
      <w:jc w:val="center"/>
      <w:rPr>
        <w:b/>
      </w:rPr>
    </w:pPr>
  </w:p>
  <w:p w14:paraId="3D68E402" w14:textId="77777777" w:rsidR="0068685E" w:rsidRDefault="0068685E">
    <w:pPr>
      <w:pStyle w:val="Header"/>
      <w:ind w:right="360" w:firstLine="360"/>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34F1566"/>
    <w:multiLevelType w:val="singleLevel"/>
    <w:tmpl w:val="69E26AEA"/>
    <w:lvl w:ilvl="0">
      <w:numFmt w:val="bullet"/>
      <w:lvlText w:val=""/>
      <w:lvlJc w:val="left"/>
      <w:pPr>
        <w:tabs>
          <w:tab w:val="num" w:pos="0"/>
        </w:tabs>
        <w:ind w:left="0" w:firstLine="0"/>
      </w:pPr>
      <w:rPr>
        <w:rFonts w:ascii="Symbol" w:hAnsi="Symbol" w:hint="default"/>
      </w:rPr>
    </w:lvl>
  </w:abstractNum>
  <w:abstractNum w:abstractNumId="2" w15:restartNumberingAfterBreak="0">
    <w:nsid w:val="223B78EE"/>
    <w:multiLevelType w:val="singleLevel"/>
    <w:tmpl w:val="79A2A320"/>
    <w:lvl w:ilvl="0">
      <w:start w:val="1"/>
      <w:numFmt w:val="lowerLetter"/>
      <w:lvlText w:val="(%1)"/>
      <w:legacy w:legacy="1" w:legacySpace="0" w:legacyIndent="567"/>
      <w:lvlJc w:val="left"/>
      <w:pPr>
        <w:ind w:left="1134" w:hanging="567"/>
      </w:pPr>
    </w:lvl>
  </w:abstractNum>
  <w:abstractNum w:abstractNumId="3" w15:restartNumberingAfterBreak="0">
    <w:nsid w:val="346714FF"/>
    <w:multiLevelType w:val="singleLevel"/>
    <w:tmpl w:val="79A2A320"/>
    <w:lvl w:ilvl="0">
      <w:start w:val="1"/>
      <w:numFmt w:val="lowerLetter"/>
      <w:lvlText w:val="(%1)"/>
      <w:legacy w:legacy="1" w:legacySpace="0" w:legacyIndent="567"/>
      <w:lvlJc w:val="left"/>
      <w:pPr>
        <w:ind w:left="1134" w:hanging="567"/>
      </w:pPr>
    </w:lvl>
  </w:abstractNum>
  <w:abstractNum w:abstractNumId="4" w15:restartNumberingAfterBreak="0">
    <w:nsid w:val="42A14990"/>
    <w:multiLevelType w:val="singleLevel"/>
    <w:tmpl w:val="9CB68774"/>
    <w:lvl w:ilvl="0">
      <w:start w:val="1"/>
      <w:numFmt w:val="decimal"/>
      <w:lvlText w:val="%1."/>
      <w:legacy w:legacy="1" w:legacySpace="0" w:legacyIndent="283"/>
      <w:lvlJc w:val="left"/>
      <w:pPr>
        <w:ind w:left="283" w:hanging="283"/>
      </w:pPr>
    </w:lvl>
  </w:abstractNum>
  <w:abstractNum w:abstractNumId="5" w15:restartNumberingAfterBreak="0">
    <w:nsid w:val="55BB3D34"/>
    <w:multiLevelType w:val="singleLevel"/>
    <w:tmpl w:val="94506972"/>
    <w:lvl w:ilvl="0">
      <w:start w:val="1"/>
      <w:numFmt w:val="lowerRoman"/>
      <w:lvlText w:val="(%1)"/>
      <w:legacy w:legacy="1" w:legacySpace="0" w:legacyIndent="567"/>
      <w:lvlJc w:val="left"/>
      <w:pPr>
        <w:ind w:left="1701" w:hanging="567"/>
      </w:pPr>
    </w:lvl>
  </w:abstractNum>
  <w:abstractNum w:abstractNumId="6" w15:restartNumberingAfterBreak="0">
    <w:nsid w:val="58946B8D"/>
    <w:multiLevelType w:val="singleLevel"/>
    <w:tmpl w:val="94506972"/>
    <w:lvl w:ilvl="0">
      <w:start w:val="1"/>
      <w:numFmt w:val="lowerRoman"/>
      <w:lvlText w:val="(%1)"/>
      <w:legacy w:legacy="1" w:legacySpace="0" w:legacyIndent="567"/>
      <w:lvlJc w:val="left"/>
      <w:pPr>
        <w:ind w:left="1701" w:hanging="567"/>
      </w:pPr>
    </w:lvl>
  </w:abstractNum>
  <w:abstractNum w:abstractNumId="7" w15:restartNumberingAfterBreak="0">
    <w:nsid w:val="643B0A91"/>
    <w:multiLevelType w:val="singleLevel"/>
    <w:tmpl w:val="94506972"/>
    <w:lvl w:ilvl="0">
      <w:start w:val="1"/>
      <w:numFmt w:val="lowerRoman"/>
      <w:lvlText w:val="(%1)"/>
      <w:legacy w:legacy="1" w:legacySpace="0" w:legacyIndent="567"/>
      <w:lvlJc w:val="left"/>
      <w:pPr>
        <w:ind w:left="1701" w:hanging="567"/>
      </w:pPr>
    </w:lvl>
  </w:abstractNum>
  <w:abstractNum w:abstractNumId="8" w15:restartNumberingAfterBreak="0">
    <w:nsid w:val="67951CFE"/>
    <w:multiLevelType w:val="singleLevel"/>
    <w:tmpl w:val="79A2A320"/>
    <w:lvl w:ilvl="0">
      <w:start w:val="1"/>
      <w:numFmt w:val="lowerLetter"/>
      <w:lvlText w:val="(%1)"/>
      <w:legacy w:legacy="1" w:legacySpace="0" w:legacyIndent="567"/>
      <w:lvlJc w:val="left"/>
      <w:pPr>
        <w:ind w:left="1134" w:hanging="567"/>
      </w:pPr>
    </w:lvl>
  </w:abstractNum>
  <w:abstractNum w:abstractNumId="9" w15:restartNumberingAfterBreak="0">
    <w:nsid w:val="6A742933"/>
    <w:multiLevelType w:val="singleLevel"/>
    <w:tmpl w:val="FFFFFFFF"/>
    <w:lvl w:ilvl="0">
      <w:numFmt w:val="bullet"/>
      <w:lvlText w:val=""/>
      <w:legacy w:legacy="1" w:legacySpace="0" w:legacyIndent="360"/>
      <w:lvlJc w:val="left"/>
      <w:rPr>
        <w:rFonts w:ascii="Symbol" w:hAnsi="Symbol" w:hint="default"/>
      </w:rPr>
    </w:lvl>
  </w:abstractNum>
  <w:abstractNum w:abstractNumId="10" w15:restartNumberingAfterBreak="0">
    <w:nsid w:val="7B955C7C"/>
    <w:multiLevelType w:val="singleLevel"/>
    <w:tmpl w:val="79A2A320"/>
    <w:lvl w:ilvl="0">
      <w:start w:val="1"/>
      <w:numFmt w:val="lowerLetter"/>
      <w:lvlText w:val="(%1)"/>
      <w:legacy w:legacy="1" w:legacySpace="0" w:legacyIndent="567"/>
      <w:lvlJc w:val="left"/>
      <w:pPr>
        <w:ind w:left="1134" w:hanging="567"/>
      </w:pPr>
    </w:lvl>
  </w:abstractNum>
  <w:num w:numId="1">
    <w:abstractNumId w:val="0"/>
    <w:lvlOverride w:ilvl="0">
      <w:lvl w:ilvl="0">
        <w:start w:val="1"/>
        <w:numFmt w:val="bullet"/>
        <w:lvlText w:val=""/>
        <w:legacy w:legacy="1" w:legacySpace="0" w:legacyIndent="283"/>
        <w:lvlJc w:val="left"/>
        <w:pPr>
          <w:ind w:left="283" w:hanging="283"/>
        </w:pPr>
        <w:rPr>
          <w:rFonts w:ascii="Arial" w:hAnsi="Arial" w:hint="default"/>
        </w:rPr>
      </w:lvl>
    </w:lvlOverride>
  </w:num>
  <w:num w:numId="2">
    <w:abstractNumId w:val="10"/>
  </w:num>
  <w:num w:numId="3">
    <w:abstractNumId w:val="6"/>
  </w:num>
  <w:num w:numId="4">
    <w:abstractNumId w:val="7"/>
  </w:num>
  <w:num w:numId="5">
    <w:abstractNumId w:val="5"/>
  </w:num>
  <w:num w:numId="6">
    <w:abstractNumId w:val="3"/>
  </w:num>
  <w:num w:numId="7">
    <w:abstractNumId w:val="0"/>
    <w:lvlOverride w:ilvl="0">
      <w:lvl w:ilvl="0">
        <w:start w:val="1"/>
        <w:numFmt w:val="bullet"/>
        <w:lvlText w:val=""/>
        <w:legacy w:legacy="1" w:legacySpace="0" w:legacyIndent="283"/>
        <w:lvlJc w:val="left"/>
        <w:pPr>
          <w:ind w:left="850" w:hanging="283"/>
        </w:pPr>
        <w:rPr>
          <w:rFonts w:ascii="Arial" w:hAnsi="Arial" w:hint="default"/>
        </w:rPr>
      </w:lvl>
    </w:lvlOverride>
  </w:num>
  <w:num w:numId="8">
    <w:abstractNumId w:val="0"/>
    <w:lvlOverride w:ilvl="0">
      <w:lvl w:ilvl="0">
        <w:start w:val="1"/>
        <w:numFmt w:val="bullet"/>
        <w:lvlText w:val=""/>
        <w:legacy w:legacy="1" w:legacySpace="0" w:legacyIndent="567"/>
        <w:lvlJc w:val="left"/>
        <w:pPr>
          <w:ind w:left="567" w:hanging="567"/>
        </w:pPr>
        <w:rPr>
          <w:rFonts w:ascii="Symbol" w:hAnsi="Symbol" w:hint="default"/>
        </w:rPr>
      </w:lvl>
    </w:lvlOverride>
  </w:num>
  <w:num w:numId="9">
    <w:abstractNumId w:val="0"/>
    <w:lvlOverride w:ilvl="0">
      <w:lvl w:ilvl="0">
        <w:start w:val="1"/>
        <w:numFmt w:val="bullet"/>
        <w:lvlText w:val=""/>
        <w:legacy w:legacy="1" w:legacySpace="0" w:legacyIndent="283"/>
        <w:lvlJc w:val="left"/>
        <w:pPr>
          <w:ind w:left="992" w:hanging="283"/>
        </w:pPr>
        <w:rPr>
          <w:rFonts w:ascii="Symbol" w:hAnsi="Symbol" w:hint="default"/>
        </w:rPr>
      </w:lvl>
    </w:lvlOverride>
  </w:num>
  <w:num w:numId="10">
    <w:abstractNumId w:val="4"/>
  </w:num>
  <w:num w:numId="11">
    <w:abstractNumId w:val="4"/>
    <w:lvlOverride w:ilvl="0">
      <w:lvl w:ilvl="0">
        <w:start w:val="1"/>
        <w:numFmt w:val="decimal"/>
        <w:lvlText w:val="%1."/>
        <w:legacy w:legacy="1" w:legacySpace="0" w:legacyIndent="283"/>
        <w:lvlJc w:val="left"/>
        <w:pPr>
          <w:ind w:left="283" w:hanging="283"/>
        </w:pPr>
      </w:lvl>
    </w:lvlOverride>
  </w:num>
  <w:num w:numId="12">
    <w:abstractNumId w:val="8"/>
  </w:num>
  <w:num w:numId="13">
    <w:abstractNumId w:val="2"/>
  </w:num>
  <w:num w:numId="14">
    <w:abstractNumId w:val="9"/>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73789"/>
    <w:rsid w:val="00062AFF"/>
    <w:rsid w:val="00077F2F"/>
    <w:rsid w:val="00087212"/>
    <w:rsid w:val="000B2923"/>
    <w:rsid w:val="000E4E04"/>
    <w:rsid w:val="000F3EA7"/>
    <w:rsid w:val="001071BC"/>
    <w:rsid w:val="0011353E"/>
    <w:rsid w:val="00176D78"/>
    <w:rsid w:val="00182153"/>
    <w:rsid w:val="00204108"/>
    <w:rsid w:val="00262F98"/>
    <w:rsid w:val="0028546E"/>
    <w:rsid w:val="00295316"/>
    <w:rsid w:val="003B6FFD"/>
    <w:rsid w:val="00435F1D"/>
    <w:rsid w:val="004D3A0E"/>
    <w:rsid w:val="005102EA"/>
    <w:rsid w:val="0052168F"/>
    <w:rsid w:val="00563640"/>
    <w:rsid w:val="005C1BA0"/>
    <w:rsid w:val="00663D68"/>
    <w:rsid w:val="006667A3"/>
    <w:rsid w:val="0068685E"/>
    <w:rsid w:val="006C1F25"/>
    <w:rsid w:val="006E02DF"/>
    <w:rsid w:val="00746ACE"/>
    <w:rsid w:val="007A3F45"/>
    <w:rsid w:val="007B4A9C"/>
    <w:rsid w:val="007C384E"/>
    <w:rsid w:val="007E093B"/>
    <w:rsid w:val="0083077D"/>
    <w:rsid w:val="008D5DB4"/>
    <w:rsid w:val="00990DBD"/>
    <w:rsid w:val="009C3786"/>
    <w:rsid w:val="009C75E3"/>
    <w:rsid w:val="009E5699"/>
    <w:rsid w:val="00AC5CD3"/>
    <w:rsid w:val="00AE4993"/>
    <w:rsid w:val="00B362BD"/>
    <w:rsid w:val="00B370A5"/>
    <w:rsid w:val="00BD2BA9"/>
    <w:rsid w:val="00C032C0"/>
    <w:rsid w:val="00D14831"/>
    <w:rsid w:val="00D363ED"/>
    <w:rsid w:val="00D73789"/>
    <w:rsid w:val="00D75854"/>
    <w:rsid w:val="00E7059C"/>
    <w:rsid w:val="00F57BA9"/>
    <w:rsid w:val="00FF2C17"/>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City"/>
  <w:smartTagType w:namespaceuri="urn:schemas-microsoft-com:office:smarttags" w:name="address"/>
  <w:smartTagType w:namespaceuri="urn:schemas-microsoft-com:office:smarttags" w:name="Street"/>
  <w:smartTagType w:namespaceuri="urn:schemas-microsoft-com:office:smarttags" w:name="PlaceType"/>
  <w:smartTagType w:namespaceuri="urn:schemas-microsoft-com:office:smarttags" w:name="PlaceName"/>
  <w:shapeDefaults>
    <o:shapedefaults v:ext="edit" spidmax="2050"/>
    <o:shapelayout v:ext="edit">
      <o:idmap v:ext="edit" data="1"/>
    </o:shapelayout>
  </w:shapeDefaults>
  <w:decimalSymbol w:val="."/>
  <w:listSeparator w:val=","/>
  <w14:docId w14:val="15178327"/>
  <w15:chartTrackingRefBased/>
  <w15:docId w15:val="{18298479-C4BC-4B28-84F0-3630F1A0DF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zh-CN"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2" w:uiPriority="39"/>
    <w:lsdException w:name="toc 3" w:uiPriority="39"/>
    <w:lsdException w:name="toc 4" w:uiPriority="39"/>
    <w:lsdException w:name="toc 5" w:uiPriority="39"/>
    <w:lsdException w:name="footnote text" w:uiPriority="99"/>
    <w:lsdException w:name="caption" w:semiHidden="1" w:unhideWhenUsed="1" w:qFormat="1"/>
    <w:lsdException w:name="footnote reference" w:uiPriority="99"/>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widowControl w:val="0"/>
      <w:spacing w:after="120"/>
    </w:pPr>
    <w:rPr>
      <w:sz w:val="24"/>
      <w:lang w:val="en-GB" w:eastAsia="ko-KR"/>
    </w:rPr>
  </w:style>
  <w:style w:type="paragraph" w:styleId="Heading1">
    <w:name w:val="heading 1"/>
    <w:aliases w:val="HEADING1,H1"/>
    <w:basedOn w:val="Normal"/>
    <w:next w:val="Normal"/>
    <w:qFormat/>
    <w:pPr>
      <w:keepNext/>
      <w:spacing w:after="0"/>
      <w:outlineLvl w:val="0"/>
    </w:pPr>
    <w:rPr>
      <w:b/>
      <w:kern w:val="28"/>
      <w:sz w:val="16"/>
    </w:rPr>
  </w:style>
  <w:style w:type="paragraph" w:styleId="Heading2">
    <w:name w:val="heading 2"/>
    <w:aliases w:val="H2"/>
    <w:basedOn w:val="Normal"/>
    <w:next w:val="Normal"/>
    <w:qFormat/>
    <w:pPr>
      <w:keepNext/>
      <w:spacing w:before="120"/>
      <w:outlineLvl w:val="1"/>
    </w:pPr>
    <w:rPr>
      <w:b/>
      <w:sz w:val="32"/>
    </w:rPr>
  </w:style>
  <w:style w:type="paragraph" w:styleId="Heading3">
    <w:name w:val="heading 3"/>
    <w:aliases w:val="H3"/>
    <w:basedOn w:val="Normal"/>
    <w:next w:val="Normal"/>
    <w:qFormat/>
    <w:pPr>
      <w:keepNext/>
      <w:spacing w:before="360" w:after="360"/>
      <w:outlineLvl w:val="2"/>
    </w:pPr>
    <w:rPr>
      <w:b/>
      <w:color w:val="000000"/>
      <w:sz w:val="30"/>
    </w:rPr>
  </w:style>
  <w:style w:type="paragraph" w:styleId="Heading4">
    <w:name w:val="heading 4"/>
    <w:aliases w:val="H4"/>
    <w:basedOn w:val="Normal"/>
    <w:next w:val="Normal"/>
    <w:qFormat/>
    <w:pPr>
      <w:keepNext/>
      <w:spacing w:before="240" w:after="240"/>
      <w:outlineLvl w:val="3"/>
    </w:pPr>
    <w:rPr>
      <w:b/>
      <w:sz w:val="28"/>
    </w:rPr>
  </w:style>
  <w:style w:type="paragraph" w:styleId="Heading5">
    <w:name w:val="heading 5"/>
    <w:aliases w:val="H5"/>
    <w:basedOn w:val="Normal"/>
    <w:next w:val="Normal"/>
    <w:qFormat/>
    <w:pPr>
      <w:keepNext/>
      <w:spacing w:before="120"/>
      <w:outlineLvl w:val="4"/>
    </w:pPr>
    <w:rPr>
      <w:b/>
      <w:sz w:val="26"/>
    </w:rPr>
  </w:style>
  <w:style w:type="paragraph" w:styleId="Heading6">
    <w:name w:val="heading 6"/>
    <w:aliases w:val="H6"/>
    <w:basedOn w:val="Normal"/>
    <w:next w:val="Normal"/>
    <w:qFormat/>
    <w:pPr>
      <w:keepNext/>
      <w:spacing w:before="240" w:after="240"/>
      <w:outlineLvl w:val="5"/>
    </w:pPr>
    <w:rPr>
      <w:b/>
    </w:rPr>
  </w:style>
  <w:style w:type="paragraph" w:styleId="Heading7">
    <w:name w:val="heading 7"/>
    <w:basedOn w:val="Normal"/>
    <w:next w:val="Normal"/>
    <w:qFormat/>
    <w:pPr>
      <w:keepNext/>
      <w:spacing w:before="120"/>
      <w:outlineLvl w:val="6"/>
    </w:pPr>
    <w:rPr>
      <w:u w:val="single"/>
    </w:rPr>
  </w:style>
  <w:style w:type="paragraph" w:styleId="Heading8">
    <w:name w:val="heading 8"/>
    <w:basedOn w:val="Normal"/>
    <w:next w:val="Normal"/>
    <w:qFormat/>
    <w:pPr>
      <w:spacing w:before="240" w:after="60"/>
      <w:outlineLvl w:val="7"/>
    </w:pPr>
    <w:rPr>
      <w:rFonts w:ascii="Arial" w:hAnsi="Arial"/>
      <w:i/>
      <w:sz w:val="20"/>
    </w:rPr>
  </w:style>
  <w:style w:type="paragraph" w:styleId="Heading9">
    <w:name w:val="heading 9"/>
    <w:basedOn w:val="Normal"/>
    <w:next w:val="Normal"/>
    <w:qFormat/>
    <w:pPr>
      <w:spacing w:before="240" w:after="60"/>
      <w:outlineLvl w:val="8"/>
    </w:pPr>
    <w:rPr>
      <w:rFonts w:ascii="Arial" w:hAnsi="Arial"/>
      <w:i/>
      <w:sz w:val="18"/>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CommentReference">
    <w:name w:val="annotation reference"/>
    <w:semiHidden/>
    <w:rPr>
      <w:sz w:val="16"/>
    </w:rPr>
  </w:style>
  <w:style w:type="paragraph" w:styleId="CommentText">
    <w:name w:val="annotation text"/>
    <w:basedOn w:val="Normal"/>
    <w:semiHidden/>
    <w:rPr>
      <w:sz w:val="20"/>
    </w:rPr>
  </w:style>
  <w:style w:type="paragraph" w:styleId="TOC3">
    <w:name w:val="toc 3"/>
    <w:basedOn w:val="Normal"/>
    <w:next w:val="Normal"/>
    <w:uiPriority w:val="39"/>
    <w:pPr>
      <w:tabs>
        <w:tab w:val="right" w:leader="dot" w:pos="9070"/>
      </w:tabs>
      <w:ind w:left="480"/>
    </w:pPr>
    <w:rPr>
      <w:caps/>
    </w:rPr>
  </w:style>
  <w:style w:type="paragraph" w:styleId="Footer">
    <w:name w:val="footer"/>
    <w:basedOn w:val="Normal"/>
  </w:style>
  <w:style w:type="paragraph" w:customStyle="1" w:styleId="dash">
    <w:name w:val="dash"/>
    <w:basedOn w:val="dot"/>
    <w:pPr>
      <w:ind w:left="1134"/>
    </w:p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uiPriority w:val="99"/>
    <w:rPr>
      <w:vertAlign w:val="superscript"/>
    </w:rPr>
  </w:style>
  <w:style w:type="paragraph" w:styleId="FootnoteText">
    <w:name w:val="footnote text"/>
    <w:aliases w:val="ACMA Footnote Text,ABA Footnote Text,footnote text,Footnote Text Char1,Footnote Text Char Char,Footnote Text Char1 Char Char,Footnote Text Char Char Char Char,Footnote Text Char1 Char Char Char Char,Footnote Text Char2 Char Char,f"/>
    <w:basedOn w:val="Normal"/>
    <w:link w:val="FootnoteTextChar"/>
    <w:uiPriority w:val="99"/>
    <w:rPr>
      <w:i/>
      <w:sz w:val="18"/>
    </w:rPr>
  </w:style>
  <w:style w:type="paragraph" w:styleId="Header">
    <w:name w:val="header"/>
    <w:basedOn w:val="Normal"/>
    <w:pPr>
      <w:tabs>
        <w:tab w:val="center" w:pos="4153"/>
        <w:tab w:val="right" w:pos="8306"/>
      </w:tabs>
    </w:pPr>
  </w:style>
  <w:style w:type="paragraph" w:styleId="ListBullet">
    <w:name w:val="List Bullet"/>
    <w:aliases w:val="UL"/>
    <w:basedOn w:val="Normal"/>
    <w:pPr>
      <w:ind w:left="567" w:hanging="567"/>
    </w:pPr>
  </w:style>
  <w:style w:type="character" w:styleId="PageNumber">
    <w:name w:val="page number"/>
    <w:basedOn w:val="DefaultParagraphFont"/>
  </w:style>
  <w:style w:type="paragraph" w:styleId="TOC1">
    <w:name w:val="toc 1"/>
    <w:basedOn w:val="Normal"/>
    <w:next w:val="Normal"/>
    <w:semiHidden/>
    <w:pPr>
      <w:tabs>
        <w:tab w:val="right" w:leader="dot" w:pos="9070"/>
      </w:tabs>
    </w:pPr>
    <w:rPr>
      <w:b/>
      <w:caps/>
      <w:sz w:val="28"/>
    </w:rPr>
  </w:style>
  <w:style w:type="paragraph" w:styleId="TOC2">
    <w:name w:val="toc 2"/>
    <w:basedOn w:val="Normal"/>
    <w:next w:val="Normal"/>
    <w:uiPriority w:val="39"/>
    <w:pPr>
      <w:tabs>
        <w:tab w:val="right" w:leader="dot" w:pos="9070"/>
      </w:tabs>
      <w:ind w:left="240"/>
    </w:pPr>
    <w:rPr>
      <w:b/>
      <w:caps/>
    </w:rPr>
  </w:style>
  <w:style w:type="paragraph" w:styleId="TOC4">
    <w:name w:val="toc 4"/>
    <w:basedOn w:val="Normal"/>
    <w:next w:val="Normal"/>
    <w:uiPriority w:val="39"/>
    <w:pPr>
      <w:tabs>
        <w:tab w:val="right" w:leader="dot" w:pos="9070"/>
      </w:tabs>
      <w:ind w:left="720"/>
    </w:pPr>
  </w:style>
  <w:style w:type="paragraph" w:styleId="TOC5">
    <w:name w:val="toc 5"/>
    <w:basedOn w:val="Normal"/>
    <w:next w:val="Normal"/>
    <w:uiPriority w:val="39"/>
    <w:pPr>
      <w:tabs>
        <w:tab w:val="right" w:leader="dot" w:pos="9072"/>
      </w:tabs>
      <w:ind w:left="960"/>
    </w:pPr>
  </w:style>
  <w:style w:type="paragraph" w:styleId="ListNumber">
    <w:name w:val="List Number"/>
    <w:aliases w:val="OL"/>
    <w:basedOn w:val="Normal"/>
    <w:next w:val="Normal"/>
    <w:pPr>
      <w:ind w:left="567" w:hanging="567"/>
    </w:pPr>
  </w:style>
  <w:style w:type="paragraph" w:customStyle="1" w:styleId="ListNumberSub">
    <w:name w:val="List Number  Sub"/>
    <w:basedOn w:val="Normal"/>
    <w:pPr>
      <w:ind w:left="1134" w:hanging="567"/>
    </w:pPr>
  </w:style>
  <w:style w:type="paragraph" w:customStyle="1" w:styleId="ListBulletSub">
    <w:name w:val="List Bullet Sub"/>
    <w:basedOn w:val="ListBullet"/>
    <w:pPr>
      <w:ind w:left="1134"/>
    </w:pPr>
  </w:style>
  <w:style w:type="paragraph" w:customStyle="1" w:styleId="Disclaimer">
    <w:name w:val="Disclaimer"/>
    <w:basedOn w:val="Normal"/>
    <w:pPr>
      <w:keepNext/>
      <w:framePr w:hSpace="181" w:wrap="around" w:vAnchor="text" w:hAnchor="text" w:y="1"/>
      <w:pBdr>
        <w:top w:val="double" w:sz="6" w:space="1" w:color="auto"/>
        <w:left w:val="double" w:sz="6" w:space="1" w:color="auto"/>
        <w:bottom w:val="double" w:sz="6" w:space="1" w:color="auto"/>
        <w:right w:val="double" w:sz="6" w:space="1" w:color="auto"/>
      </w:pBdr>
    </w:pPr>
  </w:style>
  <w:style w:type="paragraph" w:customStyle="1" w:styleId="ListNumberSubSub">
    <w:name w:val="List Number Sub Sub"/>
    <w:basedOn w:val="Normal"/>
    <w:next w:val="Normal"/>
    <w:pPr>
      <w:ind w:left="1701" w:hanging="567"/>
    </w:pPr>
  </w:style>
  <w:style w:type="paragraph" w:customStyle="1" w:styleId="Note">
    <w:name w:val="Note"/>
    <w:basedOn w:val="Normal"/>
    <w:next w:val="Normal"/>
    <w:pPr>
      <w:tabs>
        <w:tab w:val="left" w:pos="851"/>
      </w:tabs>
      <w:spacing w:before="120"/>
    </w:pPr>
  </w:style>
  <w:style w:type="paragraph" w:customStyle="1" w:styleId="ListBulletSubSub">
    <w:name w:val="List Bullet Sub Sub"/>
    <w:basedOn w:val="ListBulletSub"/>
    <w:pPr>
      <w:ind w:left="1701"/>
    </w:pPr>
  </w:style>
  <w:style w:type="paragraph" w:customStyle="1" w:styleId="ListBulletSubSubSub">
    <w:name w:val="List Bullet Sub Sub Sub"/>
    <w:basedOn w:val="ListBulletSubSub"/>
    <w:pPr>
      <w:ind w:left="2268"/>
    </w:pPr>
  </w:style>
  <w:style w:type="paragraph" w:customStyle="1" w:styleId="TITLEOFRALI">
    <w:name w:val="TITLE OF RALI"/>
    <w:basedOn w:val="Normal"/>
    <w:pPr>
      <w:shd w:val="clear" w:color="auto" w:fill="FFFFFF"/>
      <w:spacing w:after="0"/>
      <w:jc w:val="center"/>
    </w:pPr>
    <w:rPr>
      <w:b/>
      <w:caps/>
      <w:sz w:val="40"/>
    </w:rPr>
  </w:style>
  <w:style w:type="paragraph" w:styleId="TOC6">
    <w:name w:val="toc 6"/>
    <w:basedOn w:val="Normal"/>
    <w:next w:val="Normal"/>
    <w:semiHidden/>
    <w:pPr>
      <w:tabs>
        <w:tab w:val="right" w:leader="dot" w:pos="9072"/>
      </w:tabs>
      <w:ind w:left="1200"/>
    </w:pPr>
  </w:style>
  <w:style w:type="paragraph" w:styleId="TOC7">
    <w:name w:val="toc 7"/>
    <w:basedOn w:val="Normal"/>
    <w:next w:val="Normal"/>
    <w:semiHidden/>
    <w:pPr>
      <w:tabs>
        <w:tab w:val="right" w:leader="dot" w:pos="9072"/>
      </w:tabs>
      <w:ind w:left="1440"/>
    </w:pPr>
  </w:style>
  <w:style w:type="paragraph" w:styleId="TOC8">
    <w:name w:val="toc 8"/>
    <w:basedOn w:val="Normal"/>
    <w:next w:val="Normal"/>
    <w:semiHidden/>
    <w:pPr>
      <w:tabs>
        <w:tab w:val="right" w:leader="dot" w:pos="9072"/>
      </w:tabs>
      <w:ind w:left="1680"/>
    </w:pPr>
  </w:style>
  <w:style w:type="paragraph" w:styleId="TOC9">
    <w:name w:val="toc 9"/>
    <w:basedOn w:val="Normal"/>
    <w:next w:val="Normal"/>
    <w:semiHidden/>
    <w:pPr>
      <w:tabs>
        <w:tab w:val="right" w:leader="dot" w:pos="9072"/>
      </w:tabs>
      <w:ind w:left="1920"/>
    </w:pPr>
  </w:style>
  <w:style w:type="paragraph" w:customStyle="1" w:styleId="dot">
    <w:name w:val="dot"/>
    <w:basedOn w:val="Normal"/>
    <w:pPr>
      <w:ind w:left="567" w:hanging="567"/>
    </w:pPr>
  </w:style>
  <w:style w:type="paragraph" w:customStyle="1" w:styleId="attachments">
    <w:name w:val="attachments"/>
    <w:basedOn w:val="TOC3"/>
    <w:pPr>
      <w:ind w:left="1559" w:hanging="425"/>
    </w:pPr>
    <w:rPr>
      <w:smallCaps/>
    </w:rPr>
  </w:style>
  <w:style w:type="paragraph" w:customStyle="1" w:styleId="blankfooter">
    <w:name w:val="blank footer"/>
    <w:basedOn w:val="Footer"/>
    <w:rPr>
      <w:b/>
    </w:rPr>
  </w:style>
  <w:style w:type="paragraph" w:styleId="BodyText">
    <w:name w:val="Body Text"/>
    <w:basedOn w:val="Normal"/>
  </w:style>
  <w:style w:type="character" w:styleId="EndnoteReference">
    <w:name w:val="endnote reference"/>
    <w:semiHidden/>
    <w:rPr>
      <w:vertAlign w:val="superscript"/>
    </w:rPr>
  </w:style>
  <w:style w:type="paragraph" w:styleId="NormalIndent">
    <w:name w:val="Normal Indent"/>
    <w:basedOn w:val="Normal"/>
  </w:style>
  <w:style w:type="paragraph" w:customStyle="1" w:styleId="I">
    <w:name w:val="I"/>
    <w:basedOn w:val="Normal"/>
    <w:pPr>
      <w:tabs>
        <w:tab w:val="left" w:pos="0"/>
        <w:tab w:val="right" w:pos="9072"/>
      </w:tabs>
      <w:ind w:left="1134" w:right="475" w:hanging="851"/>
    </w:pPr>
    <w:rPr>
      <w:rFonts w:ascii="Arial Narrow" w:hAnsi="Arial Narrow"/>
    </w:rPr>
  </w:style>
  <w:style w:type="paragraph" w:styleId="List">
    <w:name w:val="List"/>
    <w:basedOn w:val="Normal"/>
    <w:pPr>
      <w:ind w:left="283" w:hanging="283"/>
    </w:pPr>
  </w:style>
  <w:style w:type="paragraph" w:styleId="List2">
    <w:name w:val="List 2"/>
    <w:basedOn w:val="Normal"/>
    <w:pPr>
      <w:ind w:left="566" w:hanging="283"/>
    </w:pPr>
  </w:style>
  <w:style w:type="paragraph" w:styleId="ListBullet3">
    <w:name w:val="List Bullet 3"/>
    <w:basedOn w:val="Normal"/>
    <w:pPr>
      <w:ind w:left="849" w:hanging="283"/>
    </w:pPr>
  </w:style>
  <w:style w:type="paragraph" w:styleId="ListContinue">
    <w:name w:val="List Continue"/>
    <w:basedOn w:val="Normal"/>
    <w:pPr>
      <w:ind w:left="283"/>
    </w:pPr>
  </w:style>
  <w:style w:type="paragraph" w:styleId="ListContinue2">
    <w:name w:val="List Continue 2"/>
    <w:basedOn w:val="Normal"/>
    <w:pPr>
      <w:ind w:left="566"/>
    </w:pPr>
  </w:style>
  <w:style w:type="paragraph" w:customStyle="1" w:styleId="nonheading">
    <w:name w:val="nonheading"/>
    <w:basedOn w:val="Normal"/>
    <w:pPr>
      <w:pBdr>
        <w:bottom w:val="single" w:sz="24" w:space="1" w:color="auto"/>
      </w:pBdr>
      <w:tabs>
        <w:tab w:val="left" w:pos="567"/>
        <w:tab w:val="right" w:pos="9356"/>
      </w:tabs>
      <w:jc w:val="right"/>
    </w:pPr>
    <w:rPr>
      <w:b/>
      <w:caps/>
    </w:rPr>
  </w:style>
  <w:style w:type="paragraph" w:customStyle="1" w:styleId="nonheading3">
    <w:name w:val="nonheading 3"/>
    <w:basedOn w:val="Heading3"/>
    <w:pPr>
      <w:tabs>
        <w:tab w:val="right" w:pos="9356"/>
      </w:tabs>
      <w:ind w:left="568" w:right="-1"/>
      <w:outlineLvl w:val="9"/>
    </w:pPr>
  </w:style>
  <w:style w:type="paragraph" w:customStyle="1" w:styleId="signature">
    <w:name w:val="signature"/>
    <w:basedOn w:val="Normal"/>
    <w:pPr>
      <w:tabs>
        <w:tab w:val="left" w:pos="8505"/>
        <w:tab w:val="right" w:pos="9356"/>
      </w:tabs>
      <w:spacing w:before="240"/>
    </w:pPr>
    <w:rPr>
      <w:b/>
      <w:sz w:val="22"/>
    </w:rPr>
  </w:style>
  <w:style w:type="paragraph" w:customStyle="1" w:styleId="subclause">
    <w:name w:val="subclause"/>
    <w:basedOn w:val="Normal"/>
    <w:pPr>
      <w:spacing w:after="0"/>
      <w:ind w:left="709"/>
      <w:jc w:val="both"/>
    </w:pPr>
  </w:style>
  <w:style w:type="paragraph" w:customStyle="1" w:styleId="subheading">
    <w:name w:val="subheading"/>
    <w:basedOn w:val="Normal"/>
    <w:pPr>
      <w:spacing w:before="120"/>
    </w:pPr>
    <w:rPr>
      <w:u w:val="single"/>
    </w:rPr>
  </w:style>
  <w:style w:type="paragraph" w:customStyle="1" w:styleId="table">
    <w:name w:val="table"/>
    <w:basedOn w:val="Normal"/>
    <w:pPr>
      <w:spacing w:after="0"/>
    </w:pPr>
    <w:rPr>
      <w:sz w:val="20"/>
    </w:rPr>
  </w:style>
  <w:style w:type="paragraph" w:customStyle="1" w:styleId="glossref">
    <w:name w:val="gloss&amp;ref"/>
    <w:basedOn w:val="Heading1"/>
    <w:pPr>
      <w:ind w:left="397" w:hanging="397"/>
      <w:outlineLvl w:val="9"/>
    </w:pPr>
  </w:style>
  <w:style w:type="paragraph" w:customStyle="1" w:styleId="Part">
    <w:name w:val="Part"/>
    <w:basedOn w:val="Normal"/>
    <w:pPr>
      <w:pBdr>
        <w:bottom w:val="single" w:sz="6" w:space="1" w:color="auto"/>
        <w:between w:val="single" w:sz="24" w:space="1" w:color="auto"/>
      </w:pBdr>
      <w:tabs>
        <w:tab w:val="right" w:pos="9072"/>
      </w:tabs>
      <w:spacing w:before="240"/>
      <w:ind w:firstLine="284"/>
    </w:pPr>
    <w:rPr>
      <w:b/>
      <w:caps/>
      <w:sz w:val="32"/>
    </w:rPr>
  </w:style>
  <w:style w:type="paragraph" w:styleId="BalloonText">
    <w:name w:val="Balloon Text"/>
    <w:basedOn w:val="Normal"/>
    <w:semiHidden/>
    <w:rsid w:val="00D73789"/>
    <w:rPr>
      <w:rFonts w:ascii="Tahoma" w:hAnsi="Tahoma" w:cs="Tahoma"/>
      <w:sz w:val="16"/>
      <w:szCs w:val="16"/>
    </w:rPr>
  </w:style>
  <w:style w:type="paragraph" w:styleId="CommentSubject">
    <w:name w:val="annotation subject"/>
    <w:basedOn w:val="CommentText"/>
    <w:next w:val="CommentText"/>
    <w:semiHidden/>
    <w:rsid w:val="0083077D"/>
    <w:rPr>
      <w:b/>
      <w:bCs/>
    </w:rPr>
  </w:style>
  <w:style w:type="character" w:styleId="Hyperlink">
    <w:name w:val="Hyperlink"/>
    <w:uiPriority w:val="99"/>
    <w:rsid w:val="00176D78"/>
    <w:rPr>
      <w:color w:val="0000FF"/>
      <w:u w:val="single"/>
    </w:rPr>
  </w:style>
  <w:style w:type="character" w:customStyle="1" w:styleId="FootnoteTextChar">
    <w:name w:val="Footnote Text Char"/>
    <w:aliases w:val="ACMA Footnote Text Char,ABA Footnote Text Char,footnote text Char,Footnote Text Char1 Char,Footnote Text Char Char Char,Footnote Text Char1 Char Char Char,Footnote Text Char Char Char Char Char,Footnote Text Char2 Char Char Char"/>
    <w:link w:val="FootnoteText"/>
    <w:uiPriority w:val="99"/>
    <w:rsid w:val="003B6FFD"/>
    <w:rPr>
      <w:i/>
      <w:sz w:val="18"/>
      <w:lang w:val="en-GB" w:eastAsia="ko-K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header" Target="header8.xml"/><Relationship Id="rId39" Type="http://schemas.openxmlformats.org/officeDocument/2006/relationships/footer" Target="footer11.xml"/><Relationship Id="rId3" Type="http://schemas.openxmlformats.org/officeDocument/2006/relationships/customXml" Target="../customXml/item3.xml"/><Relationship Id="rId21" Type="http://schemas.openxmlformats.org/officeDocument/2006/relationships/footer" Target="footer6.xml"/><Relationship Id="rId34" Type="http://schemas.openxmlformats.org/officeDocument/2006/relationships/image" Target="media/image2.wmf"/><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hyperlink" Target="mailto:FACPolicyExemptions@acma.gov.au" TargetMode="External"/><Relationship Id="rId33" Type="http://schemas.openxmlformats.org/officeDocument/2006/relationships/header" Target="header10.xml"/><Relationship Id="rId38" Type="http://schemas.openxmlformats.org/officeDocument/2006/relationships/header" Target="header11.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eader" Target="header9.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hyperlink" Target="http://www.comlaw.gov.au/Details/F2013C00368" TargetMode="External"/><Relationship Id="rId32" Type="http://schemas.openxmlformats.org/officeDocument/2006/relationships/oleObject" Target="embeddings/oleObject1.bin"/><Relationship Id="rId37" Type="http://schemas.openxmlformats.org/officeDocument/2006/relationships/oleObject" Target="embeddings/oleObject3.bin"/><Relationship Id="rId40"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footer" Target="footer7.xml"/><Relationship Id="rId28" Type="http://schemas.openxmlformats.org/officeDocument/2006/relationships/footer" Target="footer9.xml"/><Relationship Id="rId36" Type="http://schemas.openxmlformats.org/officeDocument/2006/relationships/image" Target="media/image3.wmf"/><Relationship Id="rId10" Type="http://schemas.openxmlformats.org/officeDocument/2006/relationships/header" Target="header1.xml"/><Relationship Id="rId19" Type="http://schemas.openxmlformats.org/officeDocument/2006/relationships/footer" Target="footer5.xml"/><Relationship Id="rId31" Type="http://schemas.openxmlformats.org/officeDocument/2006/relationships/image" Target="media/image1.wmf"/><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footer" Target="footer8.xml"/><Relationship Id="rId30" Type="http://schemas.openxmlformats.org/officeDocument/2006/relationships/footer" Target="footer10.xml"/><Relationship Id="rId35" Type="http://schemas.openxmlformats.org/officeDocument/2006/relationships/oleObject" Target="embeddings/oleObject2.bin"/></Relationships>
</file>

<file path=word/_rels/footnotes.xml.rels><?xml version="1.0" encoding="UTF-8" standalone="yes"?>
<Relationships xmlns="http://schemas.openxmlformats.org/package/2006/relationships"><Relationship Id="rId1" Type="http://schemas.openxmlformats.org/officeDocument/2006/relationships/hyperlink" Target="http://www.acma.gov.au/WEB/STANDARD/pc=PC_1613"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RALIS\RALI.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25304620C157419965BBE04711452B" ma:contentTypeVersion="8" ma:contentTypeDescription="Create a new document." ma:contentTypeScope="" ma:versionID="5fd89a0fb101c9049885d4e7b810af01">
  <xsd:schema xmlns:xsd="http://www.w3.org/2001/XMLSchema" xmlns:xs="http://www.w3.org/2001/XMLSchema" xmlns:p="http://schemas.microsoft.com/office/2006/metadata/properties" xmlns:ns3="d6f2653f-5da8-426e-a198-08c26d3f345a" targetNamespace="http://schemas.microsoft.com/office/2006/metadata/properties" ma:root="true" ma:fieldsID="99022a9e837a62c3d33629b5ad562430" ns3:_="">
    <xsd:import namespace="d6f2653f-5da8-426e-a198-08c26d3f345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EventHashCode" minOccurs="0"/>
                <xsd:element ref="ns3:MediaServiceGenerationTime"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f2653f-5da8-426e-a198-08c26d3f34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1C148F9-6D2F-46D0-9D4B-DDF0882926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f2653f-5da8-426e-a198-08c26d3f34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0D5A15-2421-4A27-B5E6-3741F75B14D0}">
  <ds:schemaRefs>
    <ds:schemaRef ds:uri="http://schemas.microsoft.com/sharepoint/v3/contenttype/forms"/>
  </ds:schemaRefs>
</ds:datastoreItem>
</file>

<file path=customXml/itemProps3.xml><?xml version="1.0" encoding="utf-8"?>
<ds:datastoreItem xmlns:ds="http://schemas.openxmlformats.org/officeDocument/2006/customXml" ds:itemID="{A3917B06-7A2E-4653-B5A4-9590480CE255}">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d6f2653f-5da8-426e-a198-08c26d3f345a"/>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RALI.DOT</Template>
  <TotalTime>0</TotalTime>
  <Pages>20</Pages>
  <Words>5604</Words>
  <Characters>31948</Characters>
  <Application>Microsoft Office Word</Application>
  <DocSecurity>0</DocSecurity>
  <Lines>266</Lines>
  <Paragraphs>74</Paragraphs>
  <ScaleCrop>false</ScaleCrop>
  <HeadingPairs>
    <vt:vector size="2" baseType="variant">
      <vt:variant>
        <vt:lpstr>Title</vt:lpstr>
      </vt:variant>
      <vt:variant>
        <vt:i4>1</vt:i4>
      </vt:variant>
    </vt:vector>
  </HeadingPairs>
  <TitlesOfParts>
    <vt:vector size="1" baseType="lpstr">
      <vt:lpstr>RALI</vt:lpstr>
    </vt:vector>
  </TitlesOfParts>
  <Company>Aust Communications Authority</Company>
  <LinksUpToDate>false</LinksUpToDate>
  <CharactersWithSpaces>37478</CharactersWithSpaces>
  <SharedDoc>false</SharedDoc>
  <HLinks>
    <vt:vector size="18" baseType="variant">
      <vt:variant>
        <vt:i4>7536657</vt:i4>
      </vt:variant>
      <vt:variant>
        <vt:i4>120</vt:i4>
      </vt:variant>
      <vt:variant>
        <vt:i4>0</vt:i4>
      </vt:variant>
      <vt:variant>
        <vt:i4>5</vt:i4>
      </vt:variant>
      <vt:variant>
        <vt:lpwstr>mailto:FACPolicyExemptions@acma.gov.au</vt:lpwstr>
      </vt:variant>
      <vt:variant>
        <vt:lpwstr/>
      </vt:variant>
      <vt:variant>
        <vt:i4>655450</vt:i4>
      </vt:variant>
      <vt:variant>
        <vt:i4>117</vt:i4>
      </vt:variant>
      <vt:variant>
        <vt:i4>0</vt:i4>
      </vt:variant>
      <vt:variant>
        <vt:i4>5</vt:i4>
      </vt:variant>
      <vt:variant>
        <vt:lpwstr>http://www.comlaw.gov.au/Details/F2013C00368</vt:lpwstr>
      </vt:variant>
      <vt:variant>
        <vt:lpwstr/>
      </vt:variant>
      <vt:variant>
        <vt:i4>4849782</vt:i4>
      </vt:variant>
      <vt:variant>
        <vt:i4>0</vt:i4>
      </vt:variant>
      <vt:variant>
        <vt:i4>0</vt:i4>
      </vt:variant>
      <vt:variant>
        <vt:i4>5</vt:i4>
      </vt:variant>
      <vt:variant>
        <vt:lpwstr>http://www.acma.gov.au/WEB/STANDARD/pc=PC_1613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RALI</dc:title>
  <dc:subject/>
  <dc:creator>Melissa Purtell</dc:creator>
  <cp:keywords/>
  <cp:lastModifiedBy>Jeffrey Zhu</cp:lastModifiedBy>
  <cp:revision>2</cp:revision>
  <cp:lastPrinted>2009-10-11T22:28:00Z</cp:lastPrinted>
  <dcterms:created xsi:type="dcterms:W3CDTF">2019-08-30T04:11:00Z</dcterms:created>
  <dcterms:modified xsi:type="dcterms:W3CDTF">2019-08-30T04:11:00Z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0x010100BE25304620C157419965BBE04711452B</vt:lpwstr>
  </property>
</Properties>
</file>