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29539" w14:textId="798BFF5A" w:rsidR="00F06E14" w:rsidRPr="00903099" w:rsidRDefault="00621ABF" w:rsidP="00A51D1A">
      <w:pPr>
        <w:pStyle w:val="ACMAReportTitle"/>
      </w:pPr>
      <w:r w:rsidRPr="00903099">
        <w:t>Proposal for v</w:t>
      </w:r>
      <w:r w:rsidR="00BC4804" w:rsidRPr="00903099">
        <w:t>ariation to Licence Area Plan—</w:t>
      </w:r>
      <w:r w:rsidR="00264360" w:rsidRPr="00903099">
        <w:t>Bathurst radio</w:t>
      </w:r>
    </w:p>
    <w:p w14:paraId="069378F6" w14:textId="113F4858" w:rsidR="00F06E14" w:rsidRPr="00903099" w:rsidRDefault="00621ABF" w:rsidP="00F06E14">
      <w:pPr>
        <w:pStyle w:val="ACMAReportSubTitle"/>
      </w:pPr>
      <w:r w:rsidRPr="00903099">
        <w:t>Consultation p</w:t>
      </w:r>
      <w:r w:rsidR="00264360" w:rsidRPr="00903099">
        <w:t>aper</w:t>
      </w:r>
    </w:p>
    <w:p w14:paraId="62943342" w14:textId="2758B339" w:rsidR="00F06E14" w:rsidRPr="00903099" w:rsidRDefault="00621ABF" w:rsidP="00D47AEB">
      <w:pPr>
        <w:pStyle w:val="ACMAReportDate"/>
        <w:spacing w:after="720"/>
      </w:pPr>
      <w:r w:rsidRPr="00903099">
        <w:t>MAY</w:t>
      </w:r>
      <w:r w:rsidR="00BC4804" w:rsidRPr="00903099">
        <w:t xml:space="preserve"> 2018</w:t>
      </w:r>
    </w:p>
    <w:p w14:paraId="41F59CD6" w14:textId="77777777" w:rsidR="00C97736" w:rsidRPr="00903099" w:rsidRDefault="00C97736" w:rsidP="0041071D">
      <w:pPr>
        <w:rPr>
          <w:rFonts w:cs="Arial"/>
        </w:rPr>
      </w:pPr>
    </w:p>
    <w:p w14:paraId="5CC88C00" w14:textId="77777777" w:rsidR="00C97736" w:rsidRPr="00903099" w:rsidRDefault="00C97736" w:rsidP="0041071D">
      <w:pPr>
        <w:rPr>
          <w:rFonts w:cs="Arial"/>
        </w:rPr>
        <w:sectPr w:rsidR="00C97736" w:rsidRPr="00903099" w:rsidSect="004F556E">
          <w:headerReference w:type="default" r:id="rId8"/>
          <w:footerReference w:type="default" r:id="rId9"/>
          <w:headerReference w:type="first" r:id="rId10"/>
          <w:pgSz w:w="11906" w:h="16838" w:code="9"/>
          <w:pgMar w:top="3924" w:right="1797" w:bottom="1440" w:left="1134" w:header="709" w:footer="454" w:gutter="0"/>
          <w:cols w:space="708"/>
          <w:docGrid w:linePitch="360"/>
        </w:sectPr>
      </w:pPr>
    </w:p>
    <w:p w14:paraId="14AFC979" w14:textId="77777777" w:rsidR="0005011A" w:rsidRPr="00903099" w:rsidRDefault="0005011A" w:rsidP="00FC07B9">
      <w:pPr>
        <w:pStyle w:val="ACMACorporateAddressHeader"/>
      </w:pPr>
      <w:r w:rsidRPr="00903099">
        <w:lastRenderedPageBreak/>
        <w:t>Canberra</w:t>
      </w:r>
    </w:p>
    <w:p w14:paraId="36D0E8E5" w14:textId="77777777" w:rsidR="0005011A" w:rsidRPr="00903099" w:rsidRDefault="0005011A" w:rsidP="00FC07B9">
      <w:pPr>
        <w:pStyle w:val="ACMACorporateAddresses"/>
      </w:pPr>
      <w:r w:rsidRPr="00903099">
        <w:t xml:space="preserve">Red Building </w:t>
      </w:r>
      <w:r w:rsidRPr="00903099">
        <w:br/>
        <w:t>Benjamin Offices</w:t>
      </w:r>
      <w:r w:rsidRPr="00903099">
        <w:br/>
        <w:t xml:space="preserve">Chan Street </w:t>
      </w:r>
      <w:r w:rsidRPr="00903099">
        <w:br/>
        <w:t>Belconnen ACT</w:t>
      </w:r>
    </w:p>
    <w:p w14:paraId="07836D0A" w14:textId="77777777" w:rsidR="0005011A" w:rsidRPr="00903099" w:rsidRDefault="0005011A" w:rsidP="00FC07B9">
      <w:pPr>
        <w:pStyle w:val="ACMACorporateAddresses"/>
      </w:pPr>
      <w:r w:rsidRPr="00903099">
        <w:t>PO Box 78</w:t>
      </w:r>
      <w:r w:rsidRPr="00903099">
        <w:br/>
        <w:t>Belconnen ACT 2616</w:t>
      </w:r>
    </w:p>
    <w:p w14:paraId="57FAD5EC" w14:textId="77777777" w:rsidR="00FE1823" w:rsidRPr="00903099" w:rsidRDefault="0005011A" w:rsidP="00FC07B9">
      <w:pPr>
        <w:pStyle w:val="ACMACorporateAddresses"/>
      </w:pPr>
      <w:r w:rsidRPr="00903099">
        <w:t>T</w:t>
      </w:r>
      <w:r w:rsidR="00537604" w:rsidRPr="00903099">
        <w:tab/>
      </w:r>
      <w:r w:rsidRPr="00903099">
        <w:t>+61 2 6219 5555</w:t>
      </w:r>
      <w:r w:rsidRPr="00903099">
        <w:br/>
        <w:t>F</w:t>
      </w:r>
      <w:r w:rsidR="00537604" w:rsidRPr="00903099">
        <w:tab/>
      </w:r>
      <w:r w:rsidRPr="00903099">
        <w:t>+61 2 6219 5353</w:t>
      </w:r>
    </w:p>
    <w:p w14:paraId="4CEDAEE7" w14:textId="77777777" w:rsidR="0005011A" w:rsidRPr="00903099" w:rsidRDefault="0005011A" w:rsidP="00FC07B9">
      <w:pPr>
        <w:pStyle w:val="ACMACorporateAddressHeader"/>
      </w:pPr>
      <w:r w:rsidRPr="00903099">
        <w:t>Melbourne</w:t>
      </w:r>
    </w:p>
    <w:p w14:paraId="555BAA89" w14:textId="77777777" w:rsidR="0005011A" w:rsidRPr="00903099" w:rsidRDefault="0005011A" w:rsidP="00FC07B9">
      <w:pPr>
        <w:pStyle w:val="ACMACorporateAddresses"/>
      </w:pPr>
      <w:r w:rsidRPr="00903099">
        <w:t xml:space="preserve">Level 32 </w:t>
      </w:r>
      <w:r w:rsidRPr="00903099">
        <w:br/>
        <w:t>Melbourne Central Tower</w:t>
      </w:r>
      <w:r w:rsidRPr="00903099">
        <w:br/>
        <w:t xml:space="preserve">360 Elizabeth Street </w:t>
      </w:r>
      <w:r w:rsidR="008C10F4" w:rsidRPr="00903099">
        <w:br/>
      </w:r>
      <w:r w:rsidRPr="00903099">
        <w:t>Melbourne VIC</w:t>
      </w:r>
    </w:p>
    <w:p w14:paraId="38AA22B6" w14:textId="77777777" w:rsidR="0005011A" w:rsidRPr="00903099" w:rsidRDefault="0005011A" w:rsidP="00FC07B9">
      <w:pPr>
        <w:pStyle w:val="ACMACorporateAddresses"/>
      </w:pPr>
      <w:r w:rsidRPr="00903099">
        <w:t>PO Box 13112</w:t>
      </w:r>
      <w:r w:rsidRPr="00903099">
        <w:br/>
        <w:t xml:space="preserve">Law Courts </w:t>
      </w:r>
      <w:r w:rsidRPr="00903099">
        <w:br/>
        <w:t>Melbourne VIC 8010</w:t>
      </w:r>
    </w:p>
    <w:p w14:paraId="72026AE5" w14:textId="77777777" w:rsidR="0005011A" w:rsidRPr="00903099" w:rsidRDefault="0005011A" w:rsidP="00FC07B9">
      <w:pPr>
        <w:pStyle w:val="ACMACorporateAddresses"/>
      </w:pPr>
      <w:r w:rsidRPr="00903099">
        <w:t>T</w:t>
      </w:r>
      <w:r w:rsidR="00140318" w:rsidRPr="00903099">
        <w:tab/>
      </w:r>
      <w:r w:rsidRPr="00903099">
        <w:t>+61 3 9963 6800</w:t>
      </w:r>
      <w:r w:rsidRPr="00903099">
        <w:br/>
        <w:t>F</w:t>
      </w:r>
      <w:r w:rsidR="00140318" w:rsidRPr="00903099">
        <w:tab/>
      </w:r>
      <w:r w:rsidRPr="00903099">
        <w:t>+61 3 9963 6899</w:t>
      </w:r>
    </w:p>
    <w:p w14:paraId="61CBB7AB" w14:textId="77777777" w:rsidR="0005011A" w:rsidRPr="00903099" w:rsidRDefault="0005011A" w:rsidP="00FC07B9">
      <w:pPr>
        <w:pStyle w:val="ACMACorporateAddressHeader"/>
      </w:pPr>
      <w:r w:rsidRPr="00903099">
        <w:t>Sydney</w:t>
      </w:r>
    </w:p>
    <w:p w14:paraId="5F520B4A" w14:textId="77777777" w:rsidR="0005011A" w:rsidRPr="00903099" w:rsidRDefault="0005011A" w:rsidP="00FC07B9">
      <w:pPr>
        <w:pStyle w:val="ACMACorporateAddresses"/>
      </w:pPr>
      <w:r w:rsidRPr="00903099">
        <w:t xml:space="preserve">Level 5 </w:t>
      </w:r>
      <w:r w:rsidRPr="00903099">
        <w:br/>
      </w:r>
      <w:proofErr w:type="gramStart"/>
      <w:r w:rsidRPr="00903099">
        <w:t>The</w:t>
      </w:r>
      <w:proofErr w:type="gramEnd"/>
      <w:r w:rsidRPr="00903099">
        <w:t xml:space="preserve"> Bay Centre</w:t>
      </w:r>
      <w:r w:rsidRPr="00903099">
        <w:br/>
        <w:t xml:space="preserve">65 </w:t>
      </w:r>
      <w:proofErr w:type="spellStart"/>
      <w:r w:rsidRPr="00903099">
        <w:t>Pirrama</w:t>
      </w:r>
      <w:proofErr w:type="spellEnd"/>
      <w:r w:rsidRPr="00903099">
        <w:t xml:space="preserve"> Road </w:t>
      </w:r>
      <w:r w:rsidRPr="00903099">
        <w:br/>
        <w:t>Pyrmont NSW</w:t>
      </w:r>
    </w:p>
    <w:p w14:paraId="6987EC7F" w14:textId="77777777" w:rsidR="0005011A" w:rsidRPr="00903099" w:rsidRDefault="0005011A" w:rsidP="00FC07B9">
      <w:pPr>
        <w:pStyle w:val="ACMACorporateAddresses"/>
      </w:pPr>
      <w:r w:rsidRPr="00903099">
        <w:t>PO Box Q500</w:t>
      </w:r>
      <w:r w:rsidRPr="00903099">
        <w:br/>
        <w:t xml:space="preserve">Queen Victoria Building </w:t>
      </w:r>
      <w:r w:rsidRPr="00903099">
        <w:br/>
        <w:t>NSW 1230</w:t>
      </w:r>
    </w:p>
    <w:p w14:paraId="1E88C371" w14:textId="77777777" w:rsidR="0005011A" w:rsidRPr="00903099" w:rsidRDefault="0005011A" w:rsidP="00FC07B9">
      <w:pPr>
        <w:pStyle w:val="ACMACorporateAddresses"/>
      </w:pPr>
      <w:r w:rsidRPr="00903099">
        <w:t>T</w:t>
      </w:r>
      <w:r w:rsidR="00140318" w:rsidRPr="00903099">
        <w:tab/>
      </w:r>
      <w:r w:rsidRPr="00903099">
        <w:t>+61 2 9334 7700</w:t>
      </w:r>
      <w:r w:rsidR="00140318" w:rsidRPr="00903099">
        <w:t xml:space="preserve"> or</w:t>
      </w:r>
      <w:r w:rsidRPr="00903099">
        <w:t xml:space="preserve"> 1800 226 667</w:t>
      </w:r>
      <w:r w:rsidRPr="00903099">
        <w:br/>
        <w:t>F</w:t>
      </w:r>
      <w:r w:rsidR="00140318" w:rsidRPr="00903099">
        <w:tab/>
      </w:r>
      <w:r w:rsidRPr="00903099">
        <w:t>+61 2 9334 7799</w:t>
      </w:r>
    </w:p>
    <w:p w14:paraId="7FBE90D3" w14:textId="77777777" w:rsidR="00140318" w:rsidRPr="00903099" w:rsidRDefault="00140318" w:rsidP="00FC07B9">
      <w:pPr>
        <w:pStyle w:val="ACMACopyrightHeader"/>
      </w:pPr>
      <w:r w:rsidRPr="00903099">
        <w:t>Copyright notice</w:t>
      </w:r>
    </w:p>
    <w:p w14:paraId="4CC6F97E" w14:textId="77777777" w:rsidR="00140318" w:rsidRPr="00903099" w:rsidRDefault="00623FF9" w:rsidP="00623FF9">
      <w:pPr>
        <w:pStyle w:val="ACMACClogo"/>
      </w:pPr>
      <w:r w:rsidRPr="00903099">
        <w:rPr>
          <w:noProof/>
        </w:rPr>
        <w:drawing>
          <wp:inline distT="0" distB="0" distL="0" distR="0" wp14:anchorId="3EB7370E" wp14:editId="15C7DD38">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085E46F2" w14:textId="16B27E3A" w:rsidR="00140318" w:rsidRPr="00903099" w:rsidRDefault="001E02E2" w:rsidP="00FC07B9">
      <w:pPr>
        <w:pStyle w:val="ACMACorporateAddresses"/>
        <w:rPr>
          <w:rStyle w:val="Hyperlink"/>
        </w:rPr>
      </w:pPr>
      <w:hyperlink r:id="rId13" w:tooltip="Creative Commons Licenses" w:history="1">
        <w:r w:rsidR="00140318" w:rsidRPr="00903099">
          <w:rPr>
            <w:rStyle w:val="Hyperlink"/>
          </w:rPr>
          <w:t>http://creativecommons.org/licenses/by/3.0/au/</w:t>
        </w:r>
      </w:hyperlink>
    </w:p>
    <w:p w14:paraId="23D4622C" w14:textId="77777777" w:rsidR="00140318" w:rsidRPr="00903099" w:rsidRDefault="00140318" w:rsidP="00FC07B9">
      <w:pPr>
        <w:pStyle w:val="ACMACorporateAddresses"/>
      </w:pPr>
      <w:r w:rsidRPr="00903099">
        <w:t xml:space="preserve">With the exception of coats of arms, logos, emblems, images, other third-party material or devices protected by a trademark, this content is licensed under the Creative Commons Australia Attribution 3.0 Licence. </w:t>
      </w:r>
    </w:p>
    <w:p w14:paraId="25C6E490" w14:textId="477BF5A9" w:rsidR="00140318" w:rsidRPr="00903099" w:rsidRDefault="00140318" w:rsidP="00FC07B9">
      <w:pPr>
        <w:pStyle w:val="ACMACorporateAddresses"/>
      </w:pPr>
      <w:r w:rsidRPr="00903099">
        <w:t>We request attribution as: © Commonwealth of Australia (Australian Communic</w:t>
      </w:r>
      <w:r w:rsidR="008408FF" w:rsidRPr="00903099">
        <w:t>ations and Media Authority) 201</w:t>
      </w:r>
      <w:r w:rsidR="00621ABF" w:rsidRPr="00903099">
        <w:t>8</w:t>
      </w:r>
      <w:r w:rsidRPr="00903099">
        <w:t>.</w:t>
      </w:r>
    </w:p>
    <w:p w14:paraId="5A3B3317" w14:textId="77777777" w:rsidR="00140318" w:rsidRPr="00903099" w:rsidRDefault="00140318" w:rsidP="00FC07B9">
      <w:pPr>
        <w:pStyle w:val="ACMACorporateAddresses"/>
      </w:pPr>
      <w:r w:rsidRPr="00903099">
        <w:t>All other rights are reserved.</w:t>
      </w:r>
    </w:p>
    <w:p w14:paraId="2C23DDD6" w14:textId="77777777" w:rsidR="00140318" w:rsidRPr="00903099" w:rsidRDefault="00140318" w:rsidP="00FC07B9">
      <w:pPr>
        <w:pStyle w:val="ACMACorporateAddresses"/>
      </w:pPr>
      <w:r w:rsidRPr="00903099">
        <w:lastRenderedPageBreak/>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7022478" w14:textId="77777777" w:rsidR="00140318" w:rsidRPr="00903099" w:rsidRDefault="00140318" w:rsidP="00FC07B9">
      <w:pPr>
        <w:pStyle w:val="ACMACorporateAddresses"/>
      </w:pPr>
      <w:r w:rsidRPr="00903099">
        <w:t>Written enquiries may be sent to:</w:t>
      </w:r>
    </w:p>
    <w:p w14:paraId="283E059C" w14:textId="58A14359" w:rsidR="00D16FE3" w:rsidRPr="00903099" w:rsidRDefault="00140318" w:rsidP="00D16FE3">
      <w:pPr>
        <w:pStyle w:val="ACMACorporateAddresses"/>
        <w:rPr>
          <w:rStyle w:val="Hyperlink"/>
        </w:rPr>
      </w:pPr>
      <w:r w:rsidRPr="00903099">
        <w:t>Manager, Editorial and Design</w:t>
      </w:r>
      <w:r w:rsidR="00623FF9" w:rsidRPr="00903099">
        <w:br/>
      </w:r>
      <w:r w:rsidRPr="00903099">
        <w:t>PO Box 13112</w:t>
      </w:r>
      <w:r w:rsidR="00623FF9" w:rsidRPr="00903099">
        <w:br/>
      </w:r>
      <w:r w:rsidRPr="00903099">
        <w:t>Law Courts</w:t>
      </w:r>
      <w:r w:rsidR="00623FF9" w:rsidRPr="00903099">
        <w:br/>
      </w:r>
      <w:r w:rsidRPr="00903099">
        <w:t>Melbourne VIC 8010</w:t>
      </w:r>
      <w:r w:rsidR="00623FF9" w:rsidRPr="00903099">
        <w:br/>
      </w:r>
      <w:r w:rsidRPr="00903099">
        <w:t>Tel: 03 9963 6968</w:t>
      </w:r>
      <w:r w:rsidR="00623FF9" w:rsidRPr="00903099">
        <w:br/>
      </w:r>
      <w:r w:rsidRPr="00903099">
        <w:t xml:space="preserve">Email: </w:t>
      </w:r>
      <w:hyperlink r:id="rId14" w:history="1">
        <w:r w:rsidRPr="00903099">
          <w:rPr>
            <w:rStyle w:val="Hyperlink"/>
          </w:rPr>
          <w:t>candinfo@acma.gov.au</w:t>
        </w:r>
      </w:hyperlink>
    </w:p>
    <w:p w14:paraId="6E69E871" w14:textId="77777777" w:rsidR="00D16FE3" w:rsidRPr="00903099" w:rsidRDefault="00D16FE3" w:rsidP="00D16FE3">
      <w:pPr>
        <w:pStyle w:val="ACMACorporateAddresses"/>
        <w:rPr>
          <w:rStyle w:val="Hyperlink"/>
        </w:rPr>
      </w:pPr>
    </w:p>
    <w:p w14:paraId="6B40B5E3" w14:textId="77777777" w:rsidR="00D16FE3" w:rsidRPr="00903099" w:rsidRDefault="00D16FE3" w:rsidP="00D16FE3">
      <w:pPr>
        <w:pStyle w:val="ACMACorporateAddresses"/>
        <w:sectPr w:rsidR="00D16FE3" w:rsidRPr="00903099">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5B18634D" w14:textId="77777777" w:rsidR="00EB7A84" w:rsidRDefault="007A6CC0">
      <w:pPr>
        <w:pStyle w:val="TOC1"/>
        <w:rPr>
          <w:rFonts w:asciiTheme="minorHAnsi" w:eastAsiaTheme="minorEastAsia" w:hAnsiTheme="minorHAnsi" w:cstheme="minorBidi"/>
          <w:b w:val="0"/>
          <w:spacing w:val="0"/>
          <w:sz w:val="22"/>
          <w:szCs w:val="22"/>
        </w:rPr>
      </w:pPr>
      <w:r w:rsidRPr="00903099">
        <w:rPr>
          <w:rFonts w:cs="Arial"/>
          <w:b w:val="0"/>
          <w:noProof w:val="0"/>
        </w:rPr>
        <w:lastRenderedPageBreak/>
        <w:fldChar w:fldCharType="begin"/>
      </w:r>
      <w:r w:rsidRPr="00903099">
        <w:rPr>
          <w:rFonts w:cs="Arial"/>
          <w:b w:val="0"/>
          <w:noProof w:val="0"/>
        </w:rPr>
        <w:instrText xml:space="preserve"> TOC \o "1-3" \t "ACMA_ExecSummaryHeading,1" </w:instrText>
      </w:r>
      <w:r w:rsidRPr="00903099">
        <w:rPr>
          <w:rFonts w:cs="Arial"/>
          <w:b w:val="0"/>
          <w:noProof w:val="0"/>
        </w:rPr>
        <w:fldChar w:fldCharType="separate"/>
      </w:r>
      <w:r w:rsidR="00EB7A84">
        <w:t>Executive summary</w:t>
      </w:r>
      <w:r w:rsidR="00EB7A84">
        <w:tab/>
      </w:r>
      <w:r w:rsidR="00EB7A84">
        <w:fldChar w:fldCharType="begin"/>
      </w:r>
      <w:r w:rsidR="00EB7A84">
        <w:instrText xml:space="preserve"> PAGEREF _Toc513195727 \h </w:instrText>
      </w:r>
      <w:r w:rsidR="00EB7A84">
        <w:fldChar w:fldCharType="separate"/>
      </w:r>
      <w:r w:rsidR="00CC4569">
        <w:t>1</w:t>
      </w:r>
      <w:r w:rsidR="00EB7A84">
        <w:fldChar w:fldCharType="end"/>
      </w:r>
    </w:p>
    <w:p w14:paraId="51A6793B" w14:textId="77777777" w:rsidR="00EB7A84" w:rsidRDefault="00EB7A84">
      <w:pPr>
        <w:pStyle w:val="TOC2"/>
        <w:rPr>
          <w:rFonts w:asciiTheme="minorHAnsi" w:eastAsiaTheme="minorEastAsia" w:hAnsiTheme="minorHAnsi" w:cstheme="minorBidi"/>
          <w:spacing w:val="0"/>
          <w:sz w:val="22"/>
          <w:szCs w:val="22"/>
        </w:rPr>
      </w:pPr>
      <w:r>
        <w:t>Proposed changes to Licence Area Plan—Bathurst Radio</w:t>
      </w:r>
      <w:r>
        <w:tab/>
      </w:r>
      <w:r>
        <w:fldChar w:fldCharType="begin"/>
      </w:r>
      <w:r>
        <w:instrText xml:space="preserve"> PAGEREF _Toc513195728 \h </w:instrText>
      </w:r>
      <w:r>
        <w:fldChar w:fldCharType="separate"/>
      </w:r>
      <w:r w:rsidR="00CC4569">
        <w:t>1</w:t>
      </w:r>
      <w:r>
        <w:fldChar w:fldCharType="end"/>
      </w:r>
    </w:p>
    <w:p w14:paraId="7A85BABA" w14:textId="77777777" w:rsidR="00EB7A84" w:rsidRDefault="00EB7A84">
      <w:pPr>
        <w:pStyle w:val="TOC1"/>
        <w:rPr>
          <w:rFonts w:asciiTheme="minorHAnsi" w:eastAsiaTheme="minorEastAsia" w:hAnsiTheme="minorHAnsi" w:cstheme="minorBidi"/>
          <w:b w:val="0"/>
          <w:spacing w:val="0"/>
          <w:sz w:val="22"/>
          <w:szCs w:val="22"/>
        </w:rPr>
      </w:pPr>
      <w:r>
        <w:t>Issues for comment</w:t>
      </w:r>
      <w:r>
        <w:tab/>
      </w:r>
      <w:r>
        <w:fldChar w:fldCharType="begin"/>
      </w:r>
      <w:r>
        <w:instrText xml:space="preserve"> PAGEREF _Toc513195729 \h </w:instrText>
      </w:r>
      <w:r>
        <w:fldChar w:fldCharType="separate"/>
      </w:r>
      <w:r w:rsidR="00CC4569">
        <w:t>2</w:t>
      </w:r>
      <w:r>
        <w:fldChar w:fldCharType="end"/>
      </w:r>
    </w:p>
    <w:p w14:paraId="775959CB" w14:textId="77777777" w:rsidR="00EB7A84" w:rsidRDefault="00EB7A84">
      <w:pPr>
        <w:pStyle w:val="TOC1"/>
        <w:rPr>
          <w:rFonts w:asciiTheme="minorHAnsi" w:eastAsiaTheme="minorEastAsia" w:hAnsiTheme="minorHAnsi" w:cstheme="minorBidi"/>
          <w:b w:val="0"/>
          <w:spacing w:val="0"/>
          <w:sz w:val="22"/>
          <w:szCs w:val="22"/>
        </w:rPr>
      </w:pPr>
      <w:r>
        <w:t>Background</w:t>
      </w:r>
      <w:r>
        <w:tab/>
      </w:r>
      <w:r>
        <w:fldChar w:fldCharType="begin"/>
      </w:r>
      <w:r>
        <w:instrText xml:space="preserve"> PAGEREF _Toc513195730 \h </w:instrText>
      </w:r>
      <w:r>
        <w:fldChar w:fldCharType="separate"/>
      </w:r>
      <w:r w:rsidR="00CC4569">
        <w:t>3</w:t>
      </w:r>
      <w:r>
        <w:fldChar w:fldCharType="end"/>
      </w:r>
    </w:p>
    <w:p w14:paraId="39D6B410" w14:textId="77777777" w:rsidR="00EB7A84" w:rsidRDefault="00EB7A84">
      <w:pPr>
        <w:pStyle w:val="TOC2"/>
        <w:rPr>
          <w:rFonts w:asciiTheme="minorHAnsi" w:eastAsiaTheme="minorEastAsia" w:hAnsiTheme="minorHAnsi" w:cstheme="minorBidi"/>
          <w:spacing w:val="0"/>
          <w:sz w:val="22"/>
          <w:szCs w:val="22"/>
        </w:rPr>
      </w:pPr>
      <w:r>
        <w:t>Planning of broadcasting services and the preparation of LAPs</w:t>
      </w:r>
      <w:r>
        <w:tab/>
      </w:r>
      <w:r>
        <w:fldChar w:fldCharType="begin"/>
      </w:r>
      <w:r>
        <w:instrText xml:space="preserve"> PAGEREF _Toc513195731 \h </w:instrText>
      </w:r>
      <w:r>
        <w:fldChar w:fldCharType="separate"/>
      </w:r>
      <w:r w:rsidR="00CC4569">
        <w:t>3</w:t>
      </w:r>
      <w:r>
        <w:fldChar w:fldCharType="end"/>
      </w:r>
    </w:p>
    <w:p w14:paraId="7CC69244" w14:textId="77777777" w:rsidR="00EB7A84" w:rsidRDefault="00EB7A84">
      <w:pPr>
        <w:pStyle w:val="TOC3"/>
        <w:rPr>
          <w:rFonts w:asciiTheme="minorHAnsi" w:eastAsiaTheme="minorEastAsia" w:hAnsiTheme="minorHAnsi" w:cstheme="minorBidi"/>
        </w:rPr>
      </w:pPr>
      <w:r>
        <w:t>FM planning—protected field strengths</w:t>
      </w:r>
      <w:r>
        <w:tab/>
      </w:r>
      <w:r>
        <w:fldChar w:fldCharType="begin"/>
      </w:r>
      <w:r>
        <w:instrText xml:space="preserve"> PAGEREF _Toc513195732 \h </w:instrText>
      </w:r>
      <w:r>
        <w:fldChar w:fldCharType="separate"/>
      </w:r>
      <w:r w:rsidR="00CC4569">
        <w:t>4</w:t>
      </w:r>
      <w:r>
        <w:fldChar w:fldCharType="end"/>
      </w:r>
    </w:p>
    <w:p w14:paraId="68E62D57" w14:textId="77777777" w:rsidR="00EB7A84" w:rsidRDefault="00EB7A84">
      <w:pPr>
        <w:pStyle w:val="TOC3"/>
        <w:rPr>
          <w:rFonts w:asciiTheme="minorHAnsi" w:eastAsiaTheme="minorEastAsia" w:hAnsiTheme="minorHAnsi" w:cstheme="minorBidi"/>
        </w:rPr>
      </w:pPr>
      <w:r>
        <w:t>AM–FM conversions</w:t>
      </w:r>
      <w:r>
        <w:tab/>
      </w:r>
      <w:r>
        <w:fldChar w:fldCharType="begin"/>
      </w:r>
      <w:r>
        <w:instrText xml:space="preserve"> PAGEREF _Toc513195733 \h </w:instrText>
      </w:r>
      <w:r>
        <w:fldChar w:fldCharType="separate"/>
      </w:r>
      <w:r w:rsidR="00CC4569">
        <w:t>4</w:t>
      </w:r>
      <w:r>
        <w:fldChar w:fldCharType="end"/>
      </w:r>
    </w:p>
    <w:p w14:paraId="61665F82" w14:textId="77777777" w:rsidR="00EB7A84" w:rsidRDefault="00EB7A84">
      <w:pPr>
        <w:pStyle w:val="TOC2"/>
        <w:rPr>
          <w:rFonts w:asciiTheme="minorHAnsi" w:eastAsiaTheme="minorEastAsia" w:hAnsiTheme="minorHAnsi" w:cstheme="minorBidi"/>
          <w:spacing w:val="0"/>
          <w:sz w:val="22"/>
          <w:szCs w:val="22"/>
        </w:rPr>
      </w:pPr>
      <w:r>
        <w:t>Bathurst LAP</w:t>
      </w:r>
      <w:r>
        <w:tab/>
      </w:r>
      <w:r>
        <w:fldChar w:fldCharType="begin"/>
      </w:r>
      <w:r>
        <w:instrText xml:space="preserve"> PAGEREF _Toc513195734 \h </w:instrText>
      </w:r>
      <w:r>
        <w:fldChar w:fldCharType="separate"/>
      </w:r>
      <w:r w:rsidR="00CC4569">
        <w:t>6</w:t>
      </w:r>
      <w:r>
        <w:fldChar w:fldCharType="end"/>
      </w:r>
    </w:p>
    <w:p w14:paraId="2F6AF690" w14:textId="191271A3" w:rsidR="00EB7A84" w:rsidRDefault="009B3702">
      <w:pPr>
        <w:pStyle w:val="TOC1"/>
        <w:rPr>
          <w:rFonts w:asciiTheme="minorHAnsi" w:eastAsiaTheme="minorEastAsia" w:hAnsiTheme="minorHAnsi" w:cstheme="minorBidi"/>
          <w:b w:val="0"/>
          <w:spacing w:val="0"/>
          <w:sz w:val="22"/>
          <w:szCs w:val="22"/>
        </w:rPr>
      </w:pPr>
      <w:r>
        <w:t xml:space="preserve">Preliminary view—commercial radio </w:t>
      </w:r>
      <w:r w:rsidR="00EB7A84">
        <w:t>Bathurst LAP</w:t>
      </w:r>
      <w:r w:rsidR="00EB7A84">
        <w:tab/>
      </w:r>
      <w:r w:rsidR="00EB7A84">
        <w:fldChar w:fldCharType="begin"/>
      </w:r>
      <w:r w:rsidR="00EB7A84">
        <w:instrText xml:space="preserve"> PAGEREF _Toc513195735 \h </w:instrText>
      </w:r>
      <w:r w:rsidR="00EB7A84">
        <w:fldChar w:fldCharType="separate"/>
      </w:r>
      <w:r w:rsidR="00CC4569">
        <w:t>7</w:t>
      </w:r>
      <w:r w:rsidR="00EB7A84">
        <w:fldChar w:fldCharType="end"/>
      </w:r>
    </w:p>
    <w:p w14:paraId="3581C137" w14:textId="77777777" w:rsidR="00EB7A84" w:rsidRDefault="00EB7A84">
      <w:pPr>
        <w:pStyle w:val="TOC2"/>
        <w:rPr>
          <w:rFonts w:asciiTheme="minorHAnsi" w:eastAsiaTheme="minorEastAsia" w:hAnsiTheme="minorHAnsi" w:cstheme="minorBidi"/>
          <w:spacing w:val="0"/>
          <w:sz w:val="22"/>
          <w:szCs w:val="22"/>
        </w:rPr>
      </w:pPr>
      <w:r>
        <w:t>Summary</w:t>
      </w:r>
      <w:r>
        <w:tab/>
      </w:r>
      <w:r>
        <w:fldChar w:fldCharType="begin"/>
      </w:r>
      <w:r>
        <w:instrText xml:space="preserve"> PAGEREF _Toc513195736 \h </w:instrText>
      </w:r>
      <w:r>
        <w:fldChar w:fldCharType="separate"/>
      </w:r>
      <w:r w:rsidR="00CC4569">
        <w:t>7</w:t>
      </w:r>
      <w:r>
        <w:fldChar w:fldCharType="end"/>
      </w:r>
    </w:p>
    <w:p w14:paraId="4DDE18B9" w14:textId="77777777" w:rsidR="00EB7A84" w:rsidRDefault="00EB7A84">
      <w:pPr>
        <w:pStyle w:val="TOC2"/>
        <w:rPr>
          <w:rFonts w:asciiTheme="minorHAnsi" w:eastAsiaTheme="minorEastAsia" w:hAnsiTheme="minorHAnsi" w:cstheme="minorBidi"/>
          <w:spacing w:val="0"/>
          <w:sz w:val="22"/>
          <w:szCs w:val="22"/>
        </w:rPr>
      </w:pPr>
      <w:r>
        <w:t>Background</w:t>
      </w:r>
      <w:r>
        <w:tab/>
      </w:r>
      <w:r>
        <w:fldChar w:fldCharType="begin"/>
      </w:r>
      <w:r>
        <w:instrText xml:space="preserve"> PAGEREF _Toc513195737 \h </w:instrText>
      </w:r>
      <w:r>
        <w:fldChar w:fldCharType="separate"/>
      </w:r>
      <w:r w:rsidR="00CC4569">
        <w:t>7</w:t>
      </w:r>
      <w:r>
        <w:fldChar w:fldCharType="end"/>
      </w:r>
    </w:p>
    <w:p w14:paraId="5C673E75" w14:textId="77777777" w:rsidR="00EB7A84" w:rsidRDefault="00EB7A84">
      <w:pPr>
        <w:pStyle w:val="TOC2"/>
        <w:rPr>
          <w:rFonts w:asciiTheme="minorHAnsi" w:eastAsiaTheme="minorEastAsia" w:hAnsiTheme="minorHAnsi" w:cstheme="minorBidi"/>
          <w:spacing w:val="0"/>
          <w:sz w:val="22"/>
          <w:szCs w:val="22"/>
        </w:rPr>
      </w:pPr>
      <w:r>
        <w:t>Engineering analysis</w:t>
      </w:r>
      <w:r>
        <w:tab/>
      </w:r>
      <w:r>
        <w:fldChar w:fldCharType="begin"/>
      </w:r>
      <w:r>
        <w:instrText xml:space="preserve"> PAGEREF _Toc513195738 \h </w:instrText>
      </w:r>
      <w:r>
        <w:fldChar w:fldCharType="separate"/>
      </w:r>
      <w:r w:rsidR="00CC4569">
        <w:t>8</w:t>
      </w:r>
      <w:r>
        <w:fldChar w:fldCharType="end"/>
      </w:r>
    </w:p>
    <w:p w14:paraId="7FD3F2C1" w14:textId="77777777" w:rsidR="00EB7A84" w:rsidRDefault="00EB7A84">
      <w:pPr>
        <w:pStyle w:val="TOC3"/>
        <w:rPr>
          <w:rFonts w:asciiTheme="minorHAnsi" w:eastAsiaTheme="minorEastAsia" w:hAnsiTheme="minorHAnsi" w:cstheme="minorBidi"/>
        </w:rPr>
      </w:pPr>
      <w:r>
        <w:t>Proposed use of 95.1 MHz for converted 2BS service</w:t>
      </w:r>
      <w:r>
        <w:tab/>
      </w:r>
      <w:r>
        <w:fldChar w:fldCharType="begin"/>
      </w:r>
      <w:r>
        <w:instrText xml:space="preserve"> PAGEREF _Toc513195739 \h </w:instrText>
      </w:r>
      <w:r>
        <w:fldChar w:fldCharType="separate"/>
      </w:r>
      <w:r w:rsidR="00CC4569">
        <w:t>8</w:t>
      </w:r>
      <w:r>
        <w:fldChar w:fldCharType="end"/>
      </w:r>
    </w:p>
    <w:p w14:paraId="0114D7AB" w14:textId="739E47FD" w:rsidR="00EB7A84" w:rsidRDefault="00EB7A84">
      <w:pPr>
        <w:pStyle w:val="TOC3"/>
        <w:rPr>
          <w:rFonts w:asciiTheme="minorHAnsi" w:eastAsiaTheme="minorEastAsia" w:hAnsiTheme="minorHAnsi" w:cstheme="minorBidi"/>
        </w:rPr>
      </w:pPr>
      <w:r>
        <w:t xml:space="preserve">Coverage prediction—proposed 95.1 MHz service compared with </w:t>
      </w:r>
      <w:r w:rsidR="009B3702">
        <w:br/>
      </w:r>
      <w:r>
        <w:t>AM service in Bathurst RA1 licence area</w:t>
      </w:r>
      <w:r>
        <w:tab/>
      </w:r>
      <w:r>
        <w:fldChar w:fldCharType="begin"/>
      </w:r>
      <w:r>
        <w:instrText xml:space="preserve"> PAGEREF _Toc513195740 \h </w:instrText>
      </w:r>
      <w:r>
        <w:fldChar w:fldCharType="separate"/>
      </w:r>
      <w:r w:rsidR="00CC4569">
        <w:t>8</w:t>
      </w:r>
      <w:r>
        <w:fldChar w:fldCharType="end"/>
      </w:r>
    </w:p>
    <w:p w14:paraId="17A270D9" w14:textId="77777777" w:rsidR="00EB7A84" w:rsidRDefault="00EB7A84">
      <w:pPr>
        <w:pStyle w:val="TOC3"/>
        <w:rPr>
          <w:rFonts w:asciiTheme="minorHAnsi" w:eastAsiaTheme="minorEastAsia" w:hAnsiTheme="minorHAnsi" w:cstheme="minorBidi"/>
        </w:rPr>
      </w:pPr>
      <w:r>
        <w:t>Coverage overspill by Bathurst 95.1 MHz service</w:t>
      </w:r>
      <w:r>
        <w:tab/>
      </w:r>
      <w:r>
        <w:fldChar w:fldCharType="begin"/>
      </w:r>
      <w:r>
        <w:instrText xml:space="preserve"> PAGEREF _Toc513195741 \h </w:instrText>
      </w:r>
      <w:r>
        <w:fldChar w:fldCharType="separate"/>
      </w:r>
      <w:r w:rsidR="00CC4569">
        <w:t>10</w:t>
      </w:r>
      <w:r>
        <w:fldChar w:fldCharType="end"/>
      </w:r>
    </w:p>
    <w:p w14:paraId="4DCFF160" w14:textId="77777777" w:rsidR="00EB7A84" w:rsidRDefault="00EB7A84">
      <w:pPr>
        <w:pStyle w:val="TOC2"/>
        <w:rPr>
          <w:rFonts w:asciiTheme="minorHAnsi" w:eastAsiaTheme="minorEastAsia" w:hAnsiTheme="minorHAnsi" w:cstheme="minorBidi"/>
          <w:spacing w:val="0"/>
          <w:sz w:val="22"/>
          <w:szCs w:val="22"/>
        </w:rPr>
      </w:pPr>
      <w:r>
        <w:t>Execution of AM–FM conversion</w:t>
      </w:r>
      <w:r>
        <w:tab/>
      </w:r>
      <w:r>
        <w:fldChar w:fldCharType="begin"/>
      </w:r>
      <w:r>
        <w:instrText xml:space="preserve"> PAGEREF _Toc513195742 \h </w:instrText>
      </w:r>
      <w:r>
        <w:fldChar w:fldCharType="separate"/>
      </w:r>
      <w:r w:rsidR="00CC4569">
        <w:t>12</w:t>
      </w:r>
      <w:r>
        <w:fldChar w:fldCharType="end"/>
      </w:r>
    </w:p>
    <w:p w14:paraId="3D6BCC39" w14:textId="77777777" w:rsidR="00EB7A84" w:rsidRDefault="00EB7A84">
      <w:pPr>
        <w:pStyle w:val="TOC3"/>
        <w:rPr>
          <w:rFonts w:asciiTheme="minorHAnsi" w:eastAsiaTheme="minorEastAsia" w:hAnsiTheme="minorHAnsi" w:cstheme="minorBidi"/>
        </w:rPr>
      </w:pPr>
      <w:r>
        <w:t>Simulcast period of AM and FM services</w:t>
      </w:r>
      <w:r>
        <w:tab/>
      </w:r>
      <w:r>
        <w:fldChar w:fldCharType="begin"/>
      </w:r>
      <w:r>
        <w:instrText xml:space="preserve"> PAGEREF _Toc513195743 \h </w:instrText>
      </w:r>
      <w:r>
        <w:fldChar w:fldCharType="separate"/>
      </w:r>
      <w:r w:rsidR="00CC4569">
        <w:t>12</w:t>
      </w:r>
      <w:r>
        <w:fldChar w:fldCharType="end"/>
      </w:r>
    </w:p>
    <w:p w14:paraId="6B868EDB" w14:textId="77777777" w:rsidR="00EB7A84" w:rsidRDefault="00EB7A84">
      <w:pPr>
        <w:pStyle w:val="TOC3"/>
        <w:rPr>
          <w:rFonts w:asciiTheme="minorHAnsi" w:eastAsiaTheme="minorEastAsia" w:hAnsiTheme="minorHAnsi" w:cstheme="minorBidi"/>
        </w:rPr>
      </w:pPr>
      <w:r>
        <w:t>Special conditions in the LAP would execute the conversion</w:t>
      </w:r>
      <w:r>
        <w:tab/>
      </w:r>
      <w:r>
        <w:fldChar w:fldCharType="begin"/>
      </w:r>
      <w:r>
        <w:instrText xml:space="preserve"> PAGEREF _Toc513195744 \h </w:instrText>
      </w:r>
      <w:r>
        <w:fldChar w:fldCharType="separate"/>
      </w:r>
      <w:r w:rsidR="00CC4569">
        <w:t>12</w:t>
      </w:r>
      <w:r>
        <w:fldChar w:fldCharType="end"/>
      </w:r>
    </w:p>
    <w:p w14:paraId="242353D5" w14:textId="77777777" w:rsidR="00EB7A84" w:rsidRDefault="00EB7A84">
      <w:pPr>
        <w:pStyle w:val="TOC2"/>
        <w:rPr>
          <w:rFonts w:asciiTheme="minorHAnsi" w:eastAsiaTheme="minorEastAsia" w:hAnsiTheme="minorHAnsi" w:cstheme="minorBidi"/>
          <w:spacing w:val="0"/>
          <w:sz w:val="22"/>
          <w:szCs w:val="22"/>
        </w:rPr>
      </w:pPr>
      <w:r>
        <w:t>Preliminary view</w:t>
      </w:r>
      <w:r>
        <w:tab/>
      </w:r>
      <w:r>
        <w:fldChar w:fldCharType="begin"/>
      </w:r>
      <w:r>
        <w:instrText xml:space="preserve"> PAGEREF _Toc513195745 \h </w:instrText>
      </w:r>
      <w:r>
        <w:fldChar w:fldCharType="separate"/>
      </w:r>
      <w:r w:rsidR="00CC4569">
        <w:t>12</w:t>
      </w:r>
      <w:r>
        <w:fldChar w:fldCharType="end"/>
      </w:r>
    </w:p>
    <w:p w14:paraId="7A53D7FC" w14:textId="77777777" w:rsidR="00EB7A84" w:rsidRDefault="00EB7A84">
      <w:pPr>
        <w:pStyle w:val="TOC1"/>
        <w:rPr>
          <w:rFonts w:asciiTheme="minorHAnsi" w:eastAsiaTheme="minorEastAsia" w:hAnsiTheme="minorHAnsi" w:cstheme="minorBidi"/>
          <w:b w:val="0"/>
          <w:spacing w:val="0"/>
          <w:sz w:val="22"/>
          <w:szCs w:val="22"/>
        </w:rPr>
      </w:pPr>
      <w:r>
        <w:t>Proposed minor amendments</w:t>
      </w:r>
      <w:r>
        <w:tab/>
      </w:r>
      <w:r>
        <w:fldChar w:fldCharType="begin"/>
      </w:r>
      <w:r>
        <w:instrText xml:space="preserve"> PAGEREF _Toc513195746 \h </w:instrText>
      </w:r>
      <w:r>
        <w:fldChar w:fldCharType="separate"/>
      </w:r>
      <w:r w:rsidR="00CC4569">
        <w:t>13</w:t>
      </w:r>
      <w:r>
        <w:fldChar w:fldCharType="end"/>
      </w:r>
    </w:p>
    <w:p w14:paraId="7D91D4EE" w14:textId="77777777" w:rsidR="00EB7A84" w:rsidRDefault="00EB7A84">
      <w:pPr>
        <w:pStyle w:val="TOC1"/>
        <w:rPr>
          <w:rFonts w:asciiTheme="minorHAnsi" w:eastAsiaTheme="minorEastAsia" w:hAnsiTheme="minorHAnsi" w:cstheme="minorBidi"/>
          <w:b w:val="0"/>
          <w:spacing w:val="0"/>
          <w:sz w:val="22"/>
          <w:szCs w:val="22"/>
        </w:rPr>
      </w:pPr>
      <w:r>
        <w:t>Invitation to comment</w:t>
      </w:r>
      <w:r>
        <w:tab/>
      </w:r>
      <w:r>
        <w:fldChar w:fldCharType="begin"/>
      </w:r>
      <w:r>
        <w:instrText xml:space="preserve"> PAGEREF _Toc513195747 \h </w:instrText>
      </w:r>
      <w:r>
        <w:fldChar w:fldCharType="separate"/>
      </w:r>
      <w:r w:rsidR="00CC4569">
        <w:t>14</w:t>
      </w:r>
      <w:r>
        <w:fldChar w:fldCharType="end"/>
      </w:r>
    </w:p>
    <w:p w14:paraId="5EA2AE5D" w14:textId="77777777" w:rsidR="00EB7A84" w:rsidRDefault="00EB7A84">
      <w:pPr>
        <w:pStyle w:val="TOC2"/>
        <w:rPr>
          <w:rFonts w:asciiTheme="minorHAnsi" w:eastAsiaTheme="minorEastAsia" w:hAnsiTheme="minorHAnsi" w:cstheme="minorBidi"/>
          <w:spacing w:val="0"/>
          <w:sz w:val="22"/>
          <w:szCs w:val="22"/>
        </w:rPr>
      </w:pPr>
      <w:r>
        <w:t>Making a submission</w:t>
      </w:r>
      <w:r>
        <w:tab/>
      </w:r>
      <w:r>
        <w:fldChar w:fldCharType="begin"/>
      </w:r>
      <w:r>
        <w:instrText xml:space="preserve"> PAGEREF _Toc513195748 \h </w:instrText>
      </w:r>
      <w:r>
        <w:fldChar w:fldCharType="separate"/>
      </w:r>
      <w:r w:rsidR="00CC4569">
        <w:t>14</w:t>
      </w:r>
      <w:r>
        <w:fldChar w:fldCharType="end"/>
      </w:r>
    </w:p>
    <w:p w14:paraId="22080206" w14:textId="77777777" w:rsidR="00EB7A84" w:rsidRDefault="00EB7A84">
      <w:pPr>
        <w:pStyle w:val="TOC3"/>
        <w:rPr>
          <w:rFonts w:asciiTheme="minorHAnsi" w:eastAsiaTheme="minorEastAsia" w:hAnsiTheme="minorHAnsi" w:cstheme="minorBidi"/>
        </w:rPr>
      </w:pPr>
      <w:r>
        <w:t>Enquiries</w:t>
      </w:r>
      <w:r>
        <w:tab/>
      </w:r>
      <w:r>
        <w:fldChar w:fldCharType="begin"/>
      </w:r>
      <w:r>
        <w:instrText xml:space="preserve"> PAGEREF _Toc513195749 \h </w:instrText>
      </w:r>
      <w:r>
        <w:fldChar w:fldCharType="separate"/>
      </w:r>
      <w:r w:rsidR="00CC4569">
        <w:t>14</w:t>
      </w:r>
      <w:r>
        <w:fldChar w:fldCharType="end"/>
      </w:r>
    </w:p>
    <w:p w14:paraId="28426AA9" w14:textId="77777777" w:rsidR="00EB7A84" w:rsidRDefault="00EB7A84">
      <w:pPr>
        <w:pStyle w:val="TOC3"/>
        <w:rPr>
          <w:rFonts w:asciiTheme="minorHAnsi" w:eastAsiaTheme="minorEastAsia" w:hAnsiTheme="minorHAnsi" w:cstheme="minorBidi"/>
        </w:rPr>
      </w:pPr>
      <w:r>
        <w:t>Effective consultation</w:t>
      </w:r>
      <w:r>
        <w:tab/>
      </w:r>
      <w:r>
        <w:fldChar w:fldCharType="begin"/>
      </w:r>
      <w:r>
        <w:instrText xml:space="preserve"> PAGEREF _Toc513195750 \h </w:instrText>
      </w:r>
      <w:r>
        <w:fldChar w:fldCharType="separate"/>
      </w:r>
      <w:r w:rsidR="00CC4569">
        <w:t>14</w:t>
      </w:r>
      <w:r>
        <w:fldChar w:fldCharType="end"/>
      </w:r>
    </w:p>
    <w:p w14:paraId="17029E01" w14:textId="77777777" w:rsidR="00EB7A84" w:rsidRDefault="00EB7A84">
      <w:pPr>
        <w:pStyle w:val="TOC3"/>
        <w:rPr>
          <w:rFonts w:asciiTheme="minorHAnsi" w:eastAsiaTheme="minorEastAsia" w:hAnsiTheme="minorHAnsi" w:cstheme="minorBidi"/>
        </w:rPr>
      </w:pPr>
      <w:r>
        <w:t>Publication of submissions</w:t>
      </w:r>
      <w:r>
        <w:tab/>
      </w:r>
      <w:r>
        <w:fldChar w:fldCharType="begin"/>
      </w:r>
      <w:r>
        <w:instrText xml:space="preserve"> PAGEREF _Toc513195751 \h </w:instrText>
      </w:r>
      <w:r>
        <w:fldChar w:fldCharType="separate"/>
      </w:r>
      <w:r w:rsidR="00CC4569">
        <w:t>14</w:t>
      </w:r>
      <w:r>
        <w:fldChar w:fldCharType="end"/>
      </w:r>
    </w:p>
    <w:p w14:paraId="5A744036" w14:textId="77777777" w:rsidR="00EB7A84" w:rsidRDefault="00EB7A84">
      <w:pPr>
        <w:pStyle w:val="TOC3"/>
        <w:rPr>
          <w:rFonts w:asciiTheme="minorHAnsi" w:eastAsiaTheme="minorEastAsia" w:hAnsiTheme="minorHAnsi" w:cstheme="minorBidi"/>
        </w:rPr>
      </w:pPr>
      <w:r>
        <w:t>Release of submissions where authorised or required by law</w:t>
      </w:r>
      <w:r>
        <w:tab/>
      </w:r>
      <w:r>
        <w:fldChar w:fldCharType="begin"/>
      </w:r>
      <w:r>
        <w:instrText xml:space="preserve"> PAGEREF _Toc513195752 \h </w:instrText>
      </w:r>
      <w:r>
        <w:fldChar w:fldCharType="separate"/>
      </w:r>
      <w:r w:rsidR="00CC4569">
        <w:t>14</w:t>
      </w:r>
      <w:r>
        <w:fldChar w:fldCharType="end"/>
      </w:r>
    </w:p>
    <w:p w14:paraId="38D04C22" w14:textId="77777777" w:rsidR="00EB7A84" w:rsidRDefault="00EB7A84">
      <w:pPr>
        <w:pStyle w:val="TOC3"/>
        <w:rPr>
          <w:rFonts w:asciiTheme="minorHAnsi" w:eastAsiaTheme="minorEastAsia" w:hAnsiTheme="minorHAnsi" w:cstheme="minorBidi"/>
        </w:rPr>
      </w:pPr>
      <w:r>
        <w:lastRenderedPageBreak/>
        <w:t>Privacy</w:t>
      </w:r>
      <w:r>
        <w:tab/>
      </w:r>
      <w:r>
        <w:fldChar w:fldCharType="begin"/>
      </w:r>
      <w:r>
        <w:instrText xml:space="preserve"> PAGEREF _Toc513195753 \h </w:instrText>
      </w:r>
      <w:r>
        <w:fldChar w:fldCharType="separate"/>
      </w:r>
      <w:r w:rsidR="00CC4569">
        <w:t>15</w:t>
      </w:r>
      <w:r>
        <w:fldChar w:fldCharType="end"/>
      </w:r>
    </w:p>
    <w:p w14:paraId="2A057923" w14:textId="77777777" w:rsidR="00EB7A84" w:rsidRDefault="00EB7A84" w:rsidP="009B3702">
      <w:pPr>
        <w:pStyle w:val="TOC1"/>
        <w:keepNext/>
        <w:rPr>
          <w:rFonts w:asciiTheme="minorHAnsi" w:eastAsiaTheme="minorEastAsia" w:hAnsiTheme="minorHAnsi" w:cstheme="minorBidi"/>
          <w:b w:val="0"/>
          <w:spacing w:val="0"/>
          <w:sz w:val="22"/>
          <w:szCs w:val="22"/>
        </w:rPr>
      </w:pPr>
      <w:r>
        <w:t>Appendix A—Consideration of AM–FM coverage loss</w:t>
      </w:r>
      <w:r>
        <w:tab/>
      </w:r>
      <w:r>
        <w:fldChar w:fldCharType="begin"/>
      </w:r>
      <w:r>
        <w:instrText xml:space="preserve"> PAGEREF _Toc513195754 \h </w:instrText>
      </w:r>
      <w:r>
        <w:fldChar w:fldCharType="separate"/>
      </w:r>
      <w:r w:rsidR="00CC4569">
        <w:t>16</w:t>
      </w:r>
      <w:r>
        <w:fldChar w:fldCharType="end"/>
      </w:r>
    </w:p>
    <w:p w14:paraId="2F0503D1" w14:textId="77777777" w:rsidR="00EB7A84" w:rsidRDefault="00EB7A84">
      <w:pPr>
        <w:pStyle w:val="TOC2"/>
        <w:rPr>
          <w:rFonts w:asciiTheme="minorHAnsi" w:eastAsiaTheme="minorEastAsia" w:hAnsiTheme="minorHAnsi" w:cstheme="minorBidi"/>
          <w:spacing w:val="0"/>
          <w:sz w:val="22"/>
          <w:szCs w:val="22"/>
        </w:rPr>
      </w:pPr>
      <w:r>
        <w:t>Signal characteristics</w:t>
      </w:r>
      <w:r>
        <w:tab/>
      </w:r>
      <w:r>
        <w:fldChar w:fldCharType="begin"/>
      </w:r>
      <w:r>
        <w:instrText xml:space="preserve"> PAGEREF _Toc513195755 \h </w:instrText>
      </w:r>
      <w:r>
        <w:fldChar w:fldCharType="separate"/>
      </w:r>
      <w:r w:rsidR="00CC4569">
        <w:t>16</w:t>
      </w:r>
      <w:r>
        <w:fldChar w:fldCharType="end"/>
      </w:r>
    </w:p>
    <w:p w14:paraId="6E702311" w14:textId="77777777" w:rsidR="00EB7A84" w:rsidRDefault="00EB7A84">
      <w:pPr>
        <w:pStyle w:val="TOC2"/>
        <w:rPr>
          <w:rFonts w:asciiTheme="minorHAnsi" w:eastAsiaTheme="minorEastAsia" w:hAnsiTheme="minorHAnsi" w:cstheme="minorBidi"/>
          <w:spacing w:val="0"/>
          <w:sz w:val="22"/>
          <w:szCs w:val="22"/>
        </w:rPr>
      </w:pPr>
      <w:r>
        <w:t>Adequate coverage levels</w:t>
      </w:r>
      <w:r>
        <w:tab/>
      </w:r>
      <w:r>
        <w:fldChar w:fldCharType="begin"/>
      </w:r>
      <w:r>
        <w:instrText xml:space="preserve"> PAGEREF _Toc513195756 \h </w:instrText>
      </w:r>
      <w:r>
        <w:fldChar w:fldCharType="separate"/>
      </w:r>
      <w:r w:rsidR="00CC4569">
        <w:t>16</w:t>
      </w:r>
      <w:r>
        <w:fldChar w:fldCharType="end"/>
      </w:r>
    </w:p>
    <w:p w14:paraId="5EFE4194" w14:textId="77777777" w:rsidR="00EB7A84" w:rsidRDefault="00EB7A84">
      <w:pPr>
        <w:pStyle w:val="TOC2"/>
        <w:rPr>
          <w:rFonts w:asciiTheme="minorHAnsi" w:eastAsiaTheme="minorEastAsia" w:hAnsiTheme="minorHAnsi" w:cstheme="minorBidi"/>
          <w:spacing w:val="0"/>
          <w:sz w:val="22"/>
          <w:szCs w:val="22"/>
        </w:rPr>
      </w:pPr>
      <w:r>
        <w:t>Evaluating coverage levels</w:t>
      </w:r>
      <w:r>
        <w:tab/>
      </w:r>
      <w:r>
        <w:fldChar w:fldCharType="begin"/>
      </w:r>
      <w:r>
        <w:instrText xml:space="preserve"> PAGEREF _Toc513195757 \h </w:instrText>
      </w:r>
      <w:r>
        <w:fldChar w:fldCharType="separate"/>
      </w:r>
      <w:r w:rsidR="00CC4569">
        <w:t>17</w:t>
      </w:r>
      <w:r>
        <w:fldChar w:fldCharType="end"/>
      </w:r>
    </w:p>
    <w:p w14:paraId="5B26B516" w14:textId="77777777" w:rsidR="00EB7A84" w:rsidRDefault="00EB7A84">
      <w:pPr>
        <w:pStyle w:val="TOC2"/>
        <w:rPr>
          <w:rFonts w:asciiTheme="minorHAnsi" w:eastAsiaTheme="minorEastAsia" w:hAnsiTheme="minorHAnsi" w:cstheme="minorBidi"/>
          <w:spacing w:val="0"/>
          <w:sz w:val="22"/>
          <w:szCs w:val="22"/>
        </w:rPr>
      </w:pPr>
      <w:r>
        <w:t>Population estimates</w:t>
      </w:r>
      <w:r>
        <w:tab/>
      </w:r>
      <w:r>
        <w:fldChar w:fldCharType="begin"/>
      </w:r>
      <w:r>
        <w:instrText xml:space="preserve"> PAGEREF _Toc513195758 \h </w:instrText>
      </w:r>
      <w:r>
        <w:fldChar w:fldCharType="separate"/>
      </w:r>
      <w:r w:rsidR="00CC4569">
        <w:t>17</w:t>
      </w:r>
      <w:r>
        <w:fldChar w:fldCharType="end"/>
      </w:r>
    </w:p>
    <w:p w14:paraId="76FE0387" w14:textId="77777777" w:rsidR="00EB7A84" w:rsidRDefault="00EB7A84">
      <w:pPr>
        <w:pStyle w:val="TOC1"/>
        <w:rPr>
          <w:rFonts w:asciiTheme="minorHAnsi" w:eastAsiaTheme="minorEastAsia" w:hAnsiTheme="minorHAnsi" w:cstheme="minorBidi"/>
          <w:b w:val="0"/>
          <w:spacing w:val="0"/>
          <w:sz w:val="22"/>
          <w:szCs w:val="22"/>
        </w:rPr>
      </w:pPr>
      <w:r>
        <w:t>Appendix B—Proposed technical specification for 2BS FM transmitter</w:t>
      </w:r>
      <w:r>
        <w:tab/>
      </w:r>
      <w:r>
        <w:fldChar w:fldCharType="begin"/>
      </w:r>
      <w:r>
        <w:instrText xml:space="preserve"> PAGEREF _Toc513195759 \h </w:instrText>
      </w:r>
      <w:r>
        <w:fldChar w:fldCharType="separate"/>
      </w:r>
      <w:r w:rsidR="00CC4569">
        <w:t>18</w:t>
      </w:r>
      <w:r>
        <w:fldChar w:fldCharType="end"/>
      </w:r>
    </w:p>
    <w:p w14:paraId="09DA3986" w14:textId="6DBEFA63" w:rsidR="00EB7A84" w:rsidRDefault="009B3702">
      <w:pPr>
        <w:pStyle w:val="TOC1"/>
        <w:rPr>
          <w:rFonts w:asciiTheme="minorHAnsi" w:eastAsiaTheme="minorEastAsia" w:hAnsiTheme="minorHAnsi" w:cstheme="minorBidi"/>
          <w:b w:val="0"/>
          <w:spacing w:val="0"/>
          <w:sz w:val="22"/>
          <w:szCs w:val="22"/>
        </w:rPr>
      </w:pPr>
      <w:r>
        <w:t>Appendix C—</w:t>
      </w:r>
      <w:r w:rsidR="00EB7A84" w:rsidRPr="00E76854">
        <w:rPr>
          <w:snapToGrid w:val="0"/>
        </w:rPr>
        <w:t>Bathurst coverage spread</w:t>
      </w:r>
      <w:r w:rsidR="00EB7A84">
        <w:tab/>
      </w:r>
      <w:r w:rsidR="00EB7A84">
        <w:fldChar w:fldCharType="begin"/>
      </w:r>
      <w:r w:rsidR="00EB7A84">
        <w:instrText xml:space="preserve"> PAGEREF _Toc513195760 \h </w:instrText>
      </w:r>
      <w:r w:rsidR="00EB7A84">
        <w:fldChar w:fldCharType="separate"/>
      </w:r>
      <w:r w:rsidR="00CC4569">
        <w:t>19</w:t>
      </w:r>
      <w:r w:rsidR="00EB7A84">
        <w:fldChar w:fldCharType="end"/>
      </w:r>
    </w:p>
    <w:p w14:paraId="13DD7750" w14:textId="4136DC4F" w:rsidR="00EB7A84" w:rsidRDefault="009B3702">
      <w:pPr>
        <w:pStyle w:val="TOC1"/>
        <w:rPr>
          <w:rFonts w:asciiTheme="minorHAnsi" w:eastAsiaTheme="minorEastAsia" w:hAnsiTheme="minorHAnsi" w:cstheme="minorBidi"/>
          <w:b w:val="0"/>
          <w:spacing w:val="0"/>
          <w:sz w:val="22"/>
          <w:szCs w:val="22"/>
        </w:rPr>
      </w:pPr>
      <w:r>
        <w:t>Appendix D—</w:t>
      </w:r>
      <w:r w:rsidR="00EB7A84">
        <w:t>Bathurst RA1 licence area map</w:t>
      </w:r>
      <w:r w:rsidR="00EB7A84">
        <w:tab/>
      </w:r>
      <w:r w:rsidR="00EB7A84">
        <w:fldChar w:fldCharType="begin"/>
      </w:r>
      <w:r w:rsidR="00EB7A84">
        <w:instrText xml:space="preserve"> PAGEREF _Toc513195761 \h </w:instrText>
      </w:r>
      <w:r w:rsidR="00EB7A84">
        <w:fldChar w:fldCharType="separate"/>
      </w:r>
      <w:r w:rsidR="00CC4569">
        <w:t>20</w:t>
      </w:r>
      <w:r w:rsidR="00EB7A84">
        <w:fldChar w:fldCharType="end"/>
      </w:r>
    </w:p>
    <w:p w14:paraId="463EAC63" w14:textId="77777777" w:rsidR="000A4A51" w:rsidRPr="00903099" w:rsidRDefault="007A6CC0">
      <w:pPr>
        <w:rPr>
          <w:rFonts w:cs="Arial"/>
        </w:rPr>
      </w:pPr>
      <w:r w:rsidRPr="00903099">
        <w:rPr>
          <w:rFonts w:cs="Arial"/>
          <w:b/>
          <w:spacing w:val="-14"/>
          <w:sz w:val="28"/>
        </w:rPr>
        <w:fldChar w:fldCharType="end"/>
      </w:r>
    </w:p>
    <w:p w14:paraId="7F2D27FD" w14:textId="77777777" w:rsidR="004D56FF" w:rsidRPr="00903099" w:rsidRDefault="004D56FF">
      <w:pPr>
        <w:rPr>
          <w:rFonts w:cs="Arial"/>
        </w:rPr>
        <w:sectPr w:rsidR="004D56FF" w:rsidRPr="00903099"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p>
    <w:p w14:paraId="58DE4F66" w14:textId="64ADA661" w:rsidR="00D30379" w:rsidRPr="00903099" w:rsidRDefault="009D6C71" w:rsidP="00A708D3">
      <w:pPr>
        <w:pStyle w:val="ACMAExecSummaryHeading"/>
      </w:pPr>
      <w:bookmarkStart w:id="0" w:name="_Toc513195727"/>
      <w:r w:rsidRPr="00903099">
        <w:lastRenderedPageBreak/>
        <w:t>Executive summary</w:t>
      </w:r>
      <w:bookmarkEnd w:id="0"/>
    </w:p>
    <w:p w14:paraId="15187477" w14:textId="74E2A981" w:rsidR="007649F9" w:rsidRPr="00903099" w:rsidRDefault="001442E0" w:rsidP="00FF3C69">
      <w:pPr>
        <w:rPr>
          <w:rFonts w:cs="Arial"/>
        </w:rPr>
      </w:pPr>
      <w:r w:rsidRPr="00903099">
        <w:rPr>
          <w:rFonts w:cs="Arial"/>
        </w:rPr>
        <w:t xml:space="preserve">The Australian Communications and Media Authority (ACMA) is seeking comment on the specific draft proposals </w:t>
      </w:r>
      <w:r w:rsidR="00570825" w:rsidRPr="00903099">
        <w:rPr>
          <w:rFonts w:cs="Arial"/>
        </w:rPr>
        <w:t>set out below.</w:t>
      </w:r>
    </w:p>
    <w:p w14:paraId="6107A0A4" w14:textId="7CD6382F" w:rsidR="00FF3C69" w:rsidRPr="005F7906" w:rsidRDefault="001442E0" w:rsidP="00493D50">
      <w:pPr>
        <w:pStyle w:val="Heading2"/>
      </w:pPr>
      <w:bookmarkStart w:id="1" w:name="_Toc348105631"/>
      <w:bookmarkStart w:id="2" w:name="_Toc513195728"/>
      <w:r w:rsidRPr="00903099">
        <w:t xml:space="preserve">Proposed changes to </w:t>
      </w:r>
      <w:bookmarkEnd w:id="1"/>
      <w:r w:rsidR="00EB742A" w:rsidRPr="005F7906">
        <w:t>Licence Area Plan</w:t>
      </w:r>
      <w:r w:rsidR="00E125DD">
        <w:t>—</w:t>
      </w:r>
      <w:r w:rsidRPr="005F7906">
        <w:t>Bathurst</w:t>
      </w:r>
      <w:r w:rsidR="00EB742A" w:rsidRPr="005F7906">
        <w:t xml:space="preserve"> Radio</w:t>
      </w:r>
      <w:bookmarkEnd w:id="2"/>
    </w:p>
    <w:p w14:paraId="772D2669" w14:textId="41365065" w:rsidR="009F6CC6" w:rsidRPr="00903099" w:rsidRDefault="00A708D3" w:rsidP="00DB6785">
      <w:pPr>
        <w:rPr>
          <w:rFonts w:cs="Arial"/>
        </w:rPr>
      </w:pPr>
      <w:r w:rsidRPr="00903099">
        <w:rPr>
          <w:rStyle w:val="Strong"/>
          <w:b w:val="0"/>
        </w:rPr>
        <w:t>T</w:t>
      </w:r>
      <w:r w:rsidR="001442E0" w:rsidRPr="00903099">
        <w:rPr>
          <w:rStyle w:val="Strong"/>
          <w:b w:val="0"/>
        </w:rPr>
        <w:t xml:space="preserve">he ACMA is proposing to vary the </w:t>
      </w:r>
      <w:hyperlink r:id="rId24" w:history="1">
        <w:r w:rsidR="001442E0" w:rsidRPr="00903099">
          <w:rPr>
            <w:rStyle w:val="Hyperlink"/>
            <w:i/>
          </w:rPr>
          <w:t xml:space="preserve">Licence Area Plan </w:t>
        </w:r>
        <w:r w:rsidR="0048452F" w:rsidRPr="00903099">
          <w:rPr>
            <w:rStyle w:val="Hyperlink"/>
            <w:i/>
          </w:rPr>
          <w:t>–</w:t>
        </w:r>
        <w:r w:rsidR="001442E0" w:rsidRPr="00903099">
          <w:rPr>
            <w:rStyle w:val="Hyperlink"/>
            <w:i/>
          </w:rPr>
          <w:t xml:space="preserve"> </w:t>
        </w:r>
        <w:r w:rsidR="00621ABF" w:rsidRPr="00903099">
          <w:rPr>
            <w:rStyle w:val="Hyperlink"/>
            <w:i/>
          </w:rPr>
          <w:t>Bathurst Radio</w:t>
        </w:r>
      </w:hyperlink>
      <w:r w:rsidR="0048452F" w:rsidRPr="00903099">
        <w:rPr>
          <w:rStyle w:val="Strong"/>
          <w:b w:val="0"/>
        </w:rPr>
        <w:t xml:space="preserve"> (Bathurst LAP) to</w:t>
      </w:r>
      <w:r w:rsidR="00DB6785" w:rsidRPr="00903099">
        <w:rPr>
          <w:rStyle w:val="Strong"/>
          <w:b w:val="0"/>
        </w:rPr>
        <w:t xml:space="preserve"> </w:t>
      </w:r>
      <w:r w:rsidR="009C4B19" w:rsidRPr="00903099">
        <w:rPr>
          <w:rFonts w:cs="Arial"/>
        </w:rPr>
        <w:t xml:space="preserve">enable </w:t>
      </w:r>
      <w:r w:rsidR="0048452F" w:rsidRPr="00903099">
        <w:rPr>
          <w:rFonts w:cs="Arial"/>
        </w:rPr>
        <w:t xml:space="preserve">the commercial radio broadcasting service 2BS </w:t>
      </w:r>
      <w:r w:rsidRPr="00903099">
        <w:rPr>
          <w:rFonts w:cs="Arial"/>
        </w:rPr>
        <w:t>in</w:t>
      </w:r>
      <w:r w:rsidR="0048452F" w:rsidRPr="00903099">
        <w:rPr>
          <w:rFonts w:cs="Arial"/>
        </w:rPr>
        <w:t xml:space="preserve"> </w:t>
      </w:r>
      <w:r w:rsidRPr="00903099">
        <w:rPr>
          <w:rFonts w:cs="Arial"/>
        </w:rPr>
        <w:t xml:space="preserve">the </w:t>
      </w:r>
      <w:r w:rsidR="0048452F" w:rsidRPr="00903099">
        <w:rPr>
          <w:rFonts w:cs="Arial"/>
        </w:rPr>
        <w:t>Bathurst</w:t>
      </w:r>
      <w:r w:rsidRPr="00903099">
        <w:rPr>
          <w:rFonts w:cs="Arial"/>
        </w:rPr>
        <w:t xml:space="preserve"> RA1 licence area to convert from AM to FM</w:t>
      </w:r>
      <w:r w:rsidR="0048452F" w:rsidRPr="00903099">
        <w:rPr>
          <w:rFonts w:cs="Arial"/>
        </w:rPr>
        <w:t xml:space="preserve"> (</w:t>
      </w:r>
      <w:r w:rsidR="00621ABF" w:rsidRPr="00493D50">
        <w:rPr>
          <w:rFonts w:cs="Arial"/>
        </w:rPr>
        <w:t>preliminary view</w:t>
      </w:r>
      <w:r w:rsidR="0048452F" w:rsidRPr="00903099">
        <w:rPr>
          <w:rFonts w:cs="Arial"/>
        </w:rPr>
        <w:t>)</w:t>
      </w:r>
      <w:r w:rsidR="00D444BE">
        <w:rPr>
          <w:rFonts w:cs="Arial"/>
        </w:rPr>
        <w:t>.</w:t>
      </w:r>
    </w:p>
    <w:p w14:paraId="7B857F7E" w14:textId="70791AC7" w:rsidR="006C6A77" w:rsidRPr="00903099" w:rsidRDefault="006C6A77" w:rsidP="009F6CC6">
      <w:pPr>
        <w:rPr>
          <w:rStyle w:val="Strong"/>
          <w:b w:val="0"/>
        </w:rPr>
      </w:pPr>
      <w:r w:rsidRPr="00903099">
        <w:rPr>
          <w:rFonts w:cs="Arial"/>
        </w:rPr>
        <w:t>This proposal</w:t>
      </w:r>
      <w:r w:rsidR="00BC4804" w:rsidRPr="00903099">
        <w:rPr>
          <w:rFonts w:cs="Arial"/>
        </w:rPr>
        <w:t xml:space="preserve"> </w:t>
      </w:r>
      <w:r w:rsidRPr="00903099">
        <w:rPr>
          <w:rFonts w:cs="Arial"/>
        </w:rPr>
        <w:t xml:space="preserve">reflects </w:t>
      </w:r>
      <w:r w:rsidR="00E125DD">
        <w:rPr>
          <w:rFonts w:cs="Arial"/>
        </w:rPr>
        <w:t>our</w:t>
      </w:r>
      <w:r w:rsidRPr="00903099">
        <w:rPr>
          <w:rFonts w:cs="Arial"/>
        </w:rPr>
        <w:t xml:space="preserve"> approach to AM–FM conversions as set out in </w:t>
      </w:r>
      <w:r w:rsidR="00E125DD">
        <w:rPr>
          <w:rFonts w:cs="Arial"/>
        </w:rPr>
        <w:t>our</w:t>
      </w:r>
      <w:r w:rsidR="00E125DD" w:rsidRPr="00903099">
        <w:rPr>
          <w:rFonts w:cs="Arial"/>
        </w:rPr>
        <w:t xml:space="preserve"> </w:t>
      </w:r>
      <w:r w:rsidRPr="00903099">
        <w:rPr>
          <w:rFonts w:cs="Arial"/>
        </w:rPr>
        <w:t xml:space="preserve">guidance </w:t>
      </w:r>
      <w:r w:rsidR="00E125DD">
        <w:rPr>
          <w:rFonts w:cs="Arial"/>
        </w:rPr>
        <w:t>document</w:t>
      </w:r>
      <w:r w:rsidR="00A708D3" w:rsidRPr="00903099">
        <w:rPr>
          <w:rFonts w:cs="Arial"/>
        </w:rPr>
        <w:t>,</w:t>
      </w:r>
      <w:r w:rsidRPr="00903099">
        <w:rPr>
          <w:rFonts w:cs="Arial"/>
        </w:rPr>
        <w:t xml:space="preserve"> </w:t>
      </w:r>
      <w:hyperlink r:id="rId25" w:history="1">
        <w:r w:rsidRPr="00493D50">
          <w:rPr>
            <w:rStyle w:val="Hyperlink"/>
          </w:rPr>
          <w:t>The ACMA’s approach to AM–FM conversions and infill transmitters for commercial radio broadcasting services</w:t>
        </w:r>
      </w:hyperlink>
      <w:r w:rsidRPr="00903099">
        <w:rPr>
          <w:rFonts w:cs="Arial"/>
          <w:szCs w:val="20"/>
        </w:rPr>
        <w:t> (the AM–FM guidance)</w:t>
      </w:r>
      <w:r w:rsidR="001175E8" w:rsidRPr="00903099">
        <w:rPr>
          <w:rFonts w:cs="Arial"/>
          <w:szCs w:val="20"/>
        </w:rPr>
        <w:t>.</w:t>
      </w:r>
    </w:p>
    <w:p w14:paraId="35B3908B" w14:textId="77777777" w:rsidR="00982185" w:rsidRPr="00903099" w:rsidRDefault="00982185" w:rsidP="00982185">
      <w:pPr>
        <w:rPr>
          <w:rFonts w:cs="Arial"/>
        </w:rPr>
      </w:pPr>
      <w:r w:rsidRPr="00903099">
        <w:rPr>
          <w:rFonts w:cs="Arial"/>
        </w:rPr>
        <w:t xml:space="preserve">The ACMA considers that the proposed variations will promote the objects of the </w:t>
      </w:r>
      <w:r w:rsidRPr="00903099">
        <w:rPr>
          <w:rFonts w:cs="Arial"/>
          <w:i/>
        </w:rPr>
        <w:t>Broadcasting Services Act 1992</w:t>
      </w:r>
      <w:r w:rsidRPr="00903099">
        <w:rPr>
          <w:rFonts w:cs="Arial"/>
        </w:rPr>
        <w:t xml:space="preserve"> (BSA), as discussed in the preliminary views in this paper.</w:t>
      </w:r>
    </w:p>
    <w:p w14:paraId="03EE73F7" w14:textId="0E604DD0" w:rsidR="00BE4C11" w:rsidRPr="00903099" w:rsidRDefault="000E5BFC" w:rsidP="00777BA2">
      <w:pPr>
        <w:pStyle w:val="Heading1"/>
      </w:pPr>
      <w:bookmarkStart w:id="3" w:name="_Toc513195729"/>
      <w:r w:rsidRPr="00903099">
        <w:lastRenderedPageBreak/>
        <w:t>Issues for comment</w:t>
      </w:r>
      <w:bookmarkEnd w:id="3"/>
      <w:r w:rsidR="0042762F" w:rsidRPr="00903099">
        <w:t xml:space="preserve"> </w:t>
      </w:r>
    </w:p>
    <w:p w14:paraId="1F95EFB8" w14:textId="4809E256" w:rsidR="000E5BFC" w:rsidRPr="00903099" w:rsidRDefault="000E5BFC" w:rsidP="00FF3C69">
      <w:pPr>
        <w:rPr>
          <w:rFonts w:cs="Arial"/>
        </w:rPr>
      </w:pPr>
      <w:r w:rsidRPr="00903099">
        <w:rPr>
          <w:rFonts w:cs="Arial"/>
        </w:rPr>
        <w:t xml:space="preserve">The ACMA welcomes comment from interested stakeholders on the issues raised in this paper or any other issues raised relevant to the proposed LAP variation. </w:t>
      </w:r>
    </w:p>
    <w:p w14:paraId="45AFA090" w14:textId="0C6701E4" w:rsidR="000E5BFC" w:rsidRPr="00903099" w:rsidRDefault="000E5BFC" w:rsidP="00015664">
      <w:r w:rsidRPr="00903099">
        <w:rPr>
          <w:rFonts w:cs="Arial"/>
        </w:rPr>
        <w:t xml:space="preserve">Details on making a submission can be found at </w:t>
      </w:r>
      <w:hyperlink w:anchor="Invite" w:history="1">
        <w:r w:rsidR="002551A2" w:rsidRPr="00903099">
          <w:rPr>
            <w:rStyle w:val="Hyperlink"/>
            <w:i/>
          </w:rPr>
          <w:t>Invitation to comment</w:t>
        </w:r>
      </w:hyperlink>
      <w:r w:rsidR="002551A2" w:rsidRPr="00903099">
        <w:rPr>
          <w:rFonts w:cs="Arial"/>
          <w:i/>
        </w:rPr>
        <w:t xml:space="preserve"> </w:t>
      </w:r>
      <w:r w:rsidRPr="00903099">
        <w:rPr>
          <w:rFonts w:cs="Arial"/>
        </w:rPr>
        <w:t>at the end of this document.</w:t>
      </w:r>
    </w:p>
    <w:p w14:paraId="558676E7" w14:textId="7C1E89C3" w:rsidR="000E5BFC" w:rsidRPr="00903099" w:rsidRDefault="000E5BFC" w:rsidP="00F17CB3">
      <w:pPr>
        <w:pStyle w:val="Heading1"/>
        <w:spacing w:after="0" w:line="240" w:lineRule="auto"/>
      </w:pPr>
      <w:bookmarkStart w:id="4" w:name="_Toc513195730"/>
      <w:r w:rsidRPr="00903099">
        <w:lastRenderedPageBreak/>
        <w:t>Background</w:t>
      </w:r>
      <w:bookmarkEnd w:id="4"/>
      <w:r w:rsidRPr="00903099">
        <w:t xml:space="preserve"> </w:t>
      </w:r>
    </w:p>
    <w:p w14:paraId="228C5589" w14:textId="4941C1FB" w:rsidR="000E5BFC" w:rsidRPr="00D24383" w:rsidRDefault="000E5BFC" w:rsidP="00D24383">
      <w:pPr>
        <w:pStyle w:val="Heading2"/>
      </w:pPr>
      <w:bookmarkStart w:id="5" w:name="_Toc513195731"/>
      <w:r w:rsidRPr="00903099">
        <w:t>Planning of broadcasting services and the preparation of</w:t>
      </w:r>
      <w:r w:rsidR="00E125DD">
        <w:t> </w:t>
      </w:r>
      <w:r w:rsidRPr="00903099">
        <w:t>LAPs</w:t>
      </w:r>
      <w:bookmarkEnd w:id="5"/>
      <w:r w:rsidRPr="00903099">
        <w:t xml:space="preserve"> </w:t>
      </w:r>
    </w:p>
    <w:p w14:paraId="5D01EC33" w14:textId="2FB3600C" w:rsidR="000E5BFC" w:rsidRPr="00903099" w:rsidRDefault="000E5BFC" w:rsidP="000E5BFC">
      <w:pPr>
        <w:rPr>
          <w:rFonts w:cs="Arial"/>
        </w:rPr>
      </w:pPr>
      <w:r w:rsidRPr="00903099">
        <w:rPr>
          <w:rFonts w:cs="Arial"/>
        </w:rPr>
        <w:t xml:space="preserve">The </w:t>
      </w:r>
      <w:r w:rsidR="00E125DD">
        <w:rPr>
          <w:rFonts w:cs="Arial"/>
        </w:rPr>
        <w:t xml:space="preserve">ACMA’s </w:t>
      </w:r>
      <w:r w:rsidRPr="00903099">
        <w:rPr>
          <w:rFonts w:cs="Arial"/>
        </w:rPr>
        <w:t xml:space="preserve">broadcasting planning functions are set out in Part 3 of the </w:t>
      </w:r>
      <w:r w:rsidR="00F17CB3" w:rsidRPr="00903099">
        <w:rPr>
          <w:rFonts w:cs="Arial"/>
        </w:rPr>
        <w:t>BSA</w:t>
      </w:r>
      <w:r w:rsidRPr="00903099">
        <w:rPr>
          <w:rFonts w:cs="Arial"/>
        </w:rPr>
        <w:t xml:space="preserve">. In performing </w:t>
      </w:r>
      <w:r w:rsidR="00E125DD">
        <w:rPr>
          <w:rFonts w:cs="Arial"/>
        </w:rPr>
        <w:t>our</w:t>
      </w:r>
      <w:r w:rsidR="00E125DD" w:rsidRPr="00903099">
        <w:rPr>
          <w:rFonts w:cs="Arial"/>
        </w:rPr>
        <w:t xml:space="preserve"> </w:t>
      </w:r>
      <w:r w:rsidRPr="00903099">
        <w:rPr>
          <w:rFonts w:cs="Arial"/>
        </w:rPr>
        <w:t xml:space="preserve">planning functions, </w:t>
      </w:r>
      <w:r w:rsidR="00E125DD">
        <w:rPr>
          <w:rFonts w:cs="Arial"/>
        </w:rPr>
        <w:t>we</w:t>
      </w:r>
      <w:r w:rsidRPr="00903099">
        <w:rPr>
          <w:rFonts w:cs="Arial"/>
        </w:rPr>
        <w:t xml:space="preserve"> must promote the objects of the BSA</w:t>
      </w:r>
      <w:r w:rsidR="00E125DD">
        <w:rPr>
          <w:rFonts w:cs="Arial"/>
        </w:rPr>
        <w:t xml:space="preserve"> (section 3)</w:t>
      </w:r>
      <w:r w:rsidRPr="00903099">
        <w:rPr>
          <w:rFonts w:cs="Arial"/>
        </w:rPr>
        <w:t xml:space="preserve">, including the economic and efficient use of radiofrequency </w:t>
      </w:r>
      <w:r w:rsidR="009C4B19" w:rsidRPr="00903099">
        <w:rPr>
          <w:rFonts w:cs="Arial"/>
        </w:rPr>
        <w:t xml:space="preserve">spectrum. </w:t>
      </w:r>
      <w:r w:rsidR="00E125DD">
        <w:rPr>
          <w:rFonts w:cs="Arial"/>
        </w:rPr>
        <w:t>We</w:t>
      </w:r>
      <w:r w:rsidR="009C4B19" w:rsidRPr="00903099">
        <w:rPr>
          <w:rFonts w:cs="Arial"/>
        </w:rPr>
        <w:t xml:space="preserve"> will also</w:t>
      </w:r>
      <w:r w:rsidR="0002105D" w:rsidRPr="00903099">
        <w:rPr>
          <w:rFonts w:cs="Arial"/>
        </w:rPr>
        <w:t xml:space="preserve"> have regard to the planning criteria set out in section 23 of the BSA.</w:t>
      </w:r>
      <w:r w:rsidR="009C4B19" w:rsidRPr="00903099">
        <w:rPr>
          <w:rStyle w:val="FootnoteReference"/>
          <w:rFonts w:cs="Arial"/>
        </w:rPr>
        <w:footnoteReference w:id="1"/>
      </w:r>
      <w:r w:rsidR="0002105D" w:rsidRPr="00903099">
        <w:rPr>
          <w:rFonts w:cs="Arial"/>
        </w:rPr>
        <w:t xml:space="preserve"> </w:t>
      </w:r>
    </w:p>
    <w:p w14:paraId="7390EB9C" w14:textId="52A78F82" w:rsidR="0002105D" w:rsidRPr="00903099" w:rsidRDefault="00066F18" w:rsidP="000E5BFC">
      <w:pPr>
        <w:rPr>
          <w:rFonts w:cs="Arial"/>
        </w:rPr>
      </w:pPr>
      <w:r>
        <w:rPr>
          <w:rFonts w:cs="Arial"/>
        </w:rPr>
        <w:t>W</w:t>
      </w:r>
      <w:r w:rsidRPr="00903099">
        <w:rPr>
          <w:rFonts w:cs="Arial"/>
        </w:rPr>
        <w:t xml:space="preserve">hen </w:t>
      </w:r>
      <w:r>
        <w:rPr>
          <w:rFonts w:cs="Arial"/>
        </w:rPr>
        <w:t>we</w:t>
      </w:r>
      <w:r w:rsidRPr="00903099">
        <w:rPr>
          <w:rFonts w:cs="Arial"/>
        </w:rPr>
        <w:t xml:space="preserve"> consider the planning of broadcasting services</w:t>
      </w:r>
      <w:r>
        <w:rPr>
          <w:rFonts w:cs="Arial"/>
        </w:rPr>
        <w:t>, w</w:t>
      </w:r>
      <w:r w:rsidR="00E125DD">
        <w:rPr>
          <w:rFonts w:cs="Arial"/>
        </w:rPr>
        <w:t>e</w:t>
      </w:r>
      <w:r w:rsidR="0002105D" w:rsidRPr="00903099">
        <w:rPr>
          <w:rFonts w:cs="Arial"/>
        </w:rPr>
        <w:t xml:space="preserve"> refer to the </w:t>
      </w:r>
      <w:hyperlink r:id="rId26" w:history="1">
        <w:r w:rsidR="001175E8" w:rsidRPr="00903099">
          <w:rPr>
            <w:rStyle w:val="Hyperlink"/>
            <w:rFonts w:cs="Arial"/>
            <w:i/>
          </w:rPr>
          <w:t xml:space="preserve">General approach to </w:t>
        </w:r>
        <w:proofErr w:type="spellStart"/>
        <w:r w:rsidR="001175E8" w:rsidRPr="00903099">
          <w:rPr>
            <w:rStyle w:val="Hyperlink"/>
            <w:rFonts w:cs="Arial"/>
            <w:i/>
          </w:rPr>
          <w:t>analog</w:t>
        </w:r>
        <w:proofErr w:type="spellEnd"/>
        <w:r w:rsidR="001175E8" w:rsidRPr="00903099">
          <w:rPr>
            <w:rStyle w:val="Hyperlink"/>
            <w:rFonts w:cs="Arial"/>
            <w:i/>
          </w:rPr>
          <w:t xml:space="preserve"> p</w:t>
        </w:r>
        <w:r w:rsidR="002551A2" w:rsidRPr="00903099">
          <w:rPr>
            <w:rStyle w:val="Hyperlink"/>
            <w:rFonts w:cs="Arial"/>
            <w:i/>
          </w:rPr>
          <w:t>lanning</w:t>
        </w:r>
      </w:hyperlink>
      <w:r w:rsidR="001175E8" w:rsidRPr="00903099">
        <w:rPr>
          <w:rFonts w:cs="Arial"/>
        </w:rPr>
        <w:t xml:space="preserve">, which </w:t>
      </w:r>
      <w:r w:rsidR="0002105D" w:rsidRPr="00903099">
        <w:rPr>
          <w:rFonts w:cs="Arial"/>
        </w:rPr>
        <w:t>sets out the legislative framework and planning criteria for</w:t>
      </w:r>
      <w:r w:rsidR="009F6CC6" w:rsidRPr="00903099">
        <w:rPr>
          <w:rFonts w:cs="Arial"/>
        </w:rPr>
        <w:t xml:space="preserve"> broadcasting services</w:t>
      </w:r>
      <w:r w:rsidR="0002105D" w:rsidRPr="00903099">
        <w:rPr>
          <w:rFonts w:cs="Arial"/>
        </w:rPr>
        <w:t xml:space="preserve">. </w:t>
      </w:r>
    </w:p>
    <w:p w14:paraId="7DFF07FF" w14:textId="013956AE" w:rsidR="0002105D" w:rsidRPr="00903099" w:rsidRDefault="0002105D" w:rsidP="000E5BFC">
      <w:pPr>
        <w:rPr>
          <w:rFonts w:cs="Arial"/>
        </w:rPr>
      </w:pPr>
      <w:r w:rsidRPr="00903099">
        <w:rPr>
          <w:rFonts w:cs="Arial"/>
        </w:rPr>
        <w:t>Under section 26 of the BSA, the ACMA must, by legislative instrument, prepare licence area plans (LAPs) that determine the number and characteristics, including technical specifications, of broadcasting services that are to be available in particular areas of Australia with use of the b</w:t>
      </w:r>
      <w:r w:rsidR="001175E8" w:rsidRPr="00903099">
        <w:rPr>
          <w:rFonts w:cs="Arial"/>
        </w:rPr>
        <w:t>roadcasting services bands</w:t>
      </w:r>
      <w:r w:rsidR="00015664">
        <w:rPr>
          <w:rFonts w:cs="Arial"/>
        </w:rPr>
        <w:t>.</w:t>
      </w:r>
    </w:p>
    <w:p w14:paraId="2ED5F01E" w14:textId="5B366FBA" w:rsidR="0002105D" w:rsidRPr="00903099" w:rsidRDefault="0002105D" w:rsidP="000E5BFC">
      <w:pPr>
        <w:rPr>
          <w:rFonts w:cs="Arial"/>
        </w:rPr>
      </w:pPr>
      <w:r w:rsidRPr="00903099">
        <w:rPr>
          <w:rFonts w:cs="Arial"/>
        </w:rPr>
        <w:t xml:space="preserve">Subsection 26(2) of the BSA gives </w:t>
      </w:r>
      <w:r w:rsidR="00066F18">
        <w:rPr>
          <w:rFonts w:cs="Arial"/>
        </w:rPr>
        <w:t>us</w:t>
      </w:r>
      <w:r w:rsidRPr="00903099">
        <w:rPr>
          <w:rFonts w:cs="Arial"/>
        </w:rPr>
        <w:t xml:space="preserve"> a discretionary power to vary</w:t>
      </w:r>
      <w:r w:rsidR="00D3095B" w:rsidRPr="00903099">
        <w:rPr>
          <w:rFonts w:cs="Arial"/>
        </w:rPr>
        <w:t>, by legislative instrument,</w:t>
      </w:r>
      <w:r w:rsidRPr="00903099">
        <w:rPr>
          <w:rFonts w:cs="Arial"/>
        </w:rPr>
        <w:t xml:space="preserve"> LAPs. There is no right to apply for a variation to a LAP; however, it is </w:t>
      </w:r>
      <w:r w:rsidR="00066F18">
        <w:rPr>
          <w:rFonts w:cs="Arial"/>
        </w:rPr>
        <w:t>our</w:t>
      </w:r>
      <w:r w:rsidRPr="00903099">
        <w:rPr>
          <w:rFonts w:cs="Arial"/>
        </w:rPr>
        <w:t xml:space="preserve"> practice to consider certain requests that LAPs be varied</w:t>
      </w:r>
      <w:r w:rsidR="00F20706" w:rsidRPr="00903099">
        <w:rPr>
          <w:rFonts w:cs="Arial"/>
        </w:rPr>
        <w:t xml:space="preserve">. </w:t>
      </w:r>
      <w:hyperlink r:id="rId27" w:history="1">
        <w:r w:rsidR="00F20706" w:rsidRPr="00903099">
          <w:rPr>
            <w:rStyle w:val="Hyperlink"/>
            <w:rFonts w:cs="Arial"/>
          </w:rPr>
          <w:t xml:space="preserve">The ACMA policy on assessing </w:t>
        </w:r>
        <w:r w:rsidR="00031552" w:rsidRPr="00903099">
          <w:rPr>
            <w:rStyle w:val="Hyperlink"/>
            <w:rFonts w:cs="Arial"/>
          </w:rPr>
          <w:t>and prioritising requests to vary radio LAPs</w:t>
        </w:r>
      </w:hyperlink>
      <w:r w:rsidR="00031552" w:rsidRPr="00903099">
        <w:rPr>
          <w:rFonts w:cs="Arial"/>
        </w:rPr>
        <w:t xml:space="preserve"> sets out the framework for </w:t>
      </w:r>
      <w:r w:rsidR="00066F18">
        <w:rPr>
          <w:rFonts w:cs="Arial"/>
        </w:rPr>
        <w:t>our</w:t>
      </w:r>
      <w:r w:rsidR="00031552" w:rsidRPr="00903099">
        <w:rPr>
          <w:rFonts w:cs="Arial"/>
        </w:rPr>
        <w:t xml:space="preserve"> consideration of requests for variation to radio LAPs received from licensees or third parties. Initial consideration of requests to vary LAPs is conducted as part of </w:t>
      </w:r>
      <w:r w:rsidR="00066F18">
        <w:rPr>
          <w:rFonts w:cs="Arial"/>
        </w:rPr>
        <w:t>our</w:t>
      </w:r>
      <w:r w:rsidR="00031552" w:rsidRPr="00903099">
        <w:rPr>
          <w:rFonts w:cs="Arial"/>
        </w:rPr>
        <w:t xml:space="preserve"> incidental powers and functions under the </w:t>
      </w:r>
      <w:hyperlink r:id="rId28" w:history="1">
        <w:r w:rsidR="00031552" w:rsidRPr="00903099">
          <w:rPr>
            <w:rStyle w:val="Hyperlink"/>
            <w:rFonts w:cs="Arial"/>
            <w:i/>
          </w:rPr>
          <w:t>Australian Communications and Media Authority Act 2005</w:t>
        </w:r>
      </w:hyperlink>
      <w:r w:rsidR="00031552" w:rsidRPr="00903099">
        <w:rPr>
          <w:rFonts w:cs="Arial"/>
        </w:rPr>
        <w:t>. The ACMA’s planning functions</w:t>
      </w:r>
      <w:r w:rsidR="00107055" w:rsidRPr="00903099">
        <w:rPr>
          <w:rFonts w:cs="Arial"/>
        </w:rPr>
        <w:t xml:space="preserve"> (broadcasting services band</w:t>
      </w:r>
      <w:r w:rsidR="00066F18">
        <w:rPr>
          <w:rFonts w:cs="Arial"/>
        </w:rPr>
        <w:t>s</w:t>
      </w:r>
      <w:r w:rsidR="00107055" w:rsidRPr="00903099">
        <w:rPr>
          <w:rFonts w:cs="Arial"/>
        </w:rPr>
        <w:t>)</w:t>
      </w:r>
      <w:r w:rsidR="00031552" w:rsidRPr="00903099">
        <w:rPr>
          <w:rFonts w:cs="Arial"/>
        </w:rPr>
        <w:t xml:space="preserve"> in Part 3 of the BSA are not engaged unless and until </w:t>
      </w:r>
      <w:r w:rsidR="009E1A67">
        <w:rPr>
          <w:rFonts w:cs="Arial"/>
        </w:rPr>
        <w:t>we</w:t>
      </w:r>
      <w:r w:rsidR="009E1A67" w:rsidRPr="00903099">
        <w:rPr>
          <w:rFonts w:cs="Arial"/>
        </w:rPr>
        <w:t xml:space="preserve"> </w:t>
      </w:r>
      <w:r w:rsidR="00031552" w:rsidRPr="00903099">
        <w:rPr>
          <w:rFonts w:cs="Arial"/>
        </w:rPr>
        <w:t xml:space="preserve">decide to propose a variation be made to the LAP, at which time </w:t>
      </w:r>
      <w:r w:rsidR="009E1A67">
        <w:rPr>
          <w:rFonts w:cs="Arial"/>
        </w:rPr>
        <w:t>we</w:t>
      </w:r>
      <w:r w:rsidR="009E1A67" w:rsidRPr="00903099">
        <w:rPr>
          <w:rFonts w:cs="Arial"/>
        </w:rPr>
        <w:t xml:space="preserve"> </w:t>
      </w:r>
      <w:r w:rsidR="00031552" w:rsidRPr="00903099">
        <w:rPr>
          <w:rFonts w:cs="Arial"/>
        </w:rPr>
        <w:t>undertake consultation in accordance with</w:t>
      </w:r>
      <w:r w:rsidR="00107055" w:rsidRPr="00903099">
        <w:rPr>
          <w:rFonts w:cs="Arial"/>
        </w:rPr>
        <w:t xml:space="preserve"> section 17 of</w:t>
      </w:r>
      <w:r w:rsidR="00031552" w:rsidRPr="00903099">
        <w:rPr>
          <w:rFonts w:cs="Arial"/>
        </w:rPr>
        <w:t xml:space="preserve"> the </w:t>
      </w:r>
      <w:hyperlink r:id="rId29" w:history="1">
        <w:r w:rsidR="00031552" w:rsidRPr="00903099">
          <w:rPr>
            <w:rStyle w:val="Hyperlink"/>
            <w:rFonts w:cs="Arial"/>
            <w:i/>
          </w:rPr>
          <w:t>Legislation Act 2003</w:t>
        </w:r>
      </w:hyperlink>
      <w:r w:rsidR="00031552" w:rsidRPr="00903099">
        <w:rPr>
          <w:rFonts w:cs="Arial"/>
          <w:i/>
        </w:rPr>
        <w:t>.</w:t>
      </w:r>
      <w:r w:rsidR="002B1BFA" w:rsidRPr="00903099">
        <w:rPr>
          <w:rStyle w:val="FootnoteReference"/>
          <w:rFonts w:cs="Arial"/>
        </w:rPr>
        <w:footnoteReference w:id="2"/>
      </w:r>
    </w:p>
    <w:p w14:paraId="501325E1" w14:textId="526929B5" w:rsidR="00C841CB" w:rsidRPr="00903099" w:rsidRDefault="00C841CB" w:rsidP="00C841CB">
      <w:pPr>
        <w:rPr>
          <w:rFonts w:cs="Arial"/>
        </w:rPr>
      </w:pPr>
      <w:r w:rsidRPr="00903099">
        <w:rPr>
          <w:rFonts w:cs="Arial"/>
        </w:rPr>
        <w:t xml:space="preserve">The ACMA is required to, and will, consider submissions received from stakeholders before making a final decision on whether </w:t>
      </w:r>
      <w:r w:rsidR="009E1A67">
        <w:rPr>
          <w:rFonts w:cs="Arial"/>
        </w:rPr>
        <w:t>we</w:t>
      </w:r>
      <w:r w:rsidR="009E1A67" w:rsidRPr="00903099">
        <w:rPr>
          <w:rFonts w:cs="Arial"/>
        </w:rPr>
        <w:t xml:space="preserve"> </w:t>
      </w:r>
      <w:r w:rsidRPr="00903099">
        <w:rPr>
          <w:rFonts w:cs="Arial"/>
        </w:rPr>
        <w:t xml:space="preserve">will vary a LAP. </w:t>
      </w:r>
    </w:p>
    <w:p w14:paraId="0C3EDE87" w14:textId="7A47BEA0" w:rsidR="000E5BFC" w:rsidRPr="00903099" w:rsidRDefault="00031552" w:rsidP="000E5BFC">
      <w:pPr>
        <w:pStyle w:val="Heading3"/>
      </w:pPr>
      <w:bookmarkStart w:id="6" w:name="_Toc513195732"/>
      <w:r w:rsidRPr="00903099">
        <w:lastRenderedPageBreak/>
        <w:t xml:space="preserve">FM </w:t>
      </w:r>
      <w:r w:rsidR="009E1A67">
        <w:t>p</w:t>
      </w:r>
      <w:r w:rsidRPr="00903099">
        <w:t>lanning</w:t>
      </w:r>
      <w:r w:rsidR="009E1A67">
        <w:t>—p</w:t>
      </w:r>
      <w:r w:rsidRPr="00903099">
        <w:t xml:space="preserve">rotected </w:t>
      </w:r>
      <w:r w:rsidR="009E1A67">
        <w:t>f</w:t>
      </w:r>
      <w:r w:rsidRPr="00903099">
        <w:t xml:space="preserve">ield </w:t>
      </w:r>
      <w:r w:rsidR="009E1A67">
        <w:t>s</w:t>
      </w:r>
      <w:r w:rsidRPr="00903099">
        <w:t>trengths</w:t>
      </w:r>
      <w:bookmarkEnd w:id="6"/>
      <w:r w:rsidR="000E5BFC" w:rsidRPr="00903099">
        <w:t xml:space="preserve"> </w:t>
      </w:r>
    </w:p>
    <w:p w14:paraId="0C99A3C5" w14:textId="6291F593" w:rsidR="00031552" w:rsidRPr="00903099" w:rsidRDefault="00031552" w:rsidP="00D24383">
      <w:pPr>
        <w:keepNext/>
        <w:keepLines/>
        <w:spacing w:after="80"/>
        <w:rPr>
          <w:rFonts w:cs="Arial"/>
        </w:rPr>
      </w:pPr>
      <w:r w:rsidRPr="00903099">
        <w:rPr>
          <w:rFonts w:cs="Arial"/>
        </w:rPr>
        <w:t>For FM planning purposes, the protected field strength</w:t>
      </w:r>
      <w:r w:rsidR="00687CBC" w:rsidRPr="00903099">
        <w:rPr>
          <w:rFonts w:cs="Arial"/>
        </w:rPr>
        <w:t xml:space="preserve"> for adequate reception</w:t>
      </w:r>
      <w:r w:rsidRPr="00903099">
        <w:rPr>
          <w:rFonts w:cs="Arial"/>
        </w:rPr>
        <w:t xml:space="preserve"> in the presence of man-made radio noise alone is:</w:t>
      </w:r>
    </w:p>
    <w:p w14:paraId="1B142DF9" w14:textId="3E349F7A" w:rsidR="00031552" w:rsidRPr="00903099" w:rsidRDefault="00031552" w:rsidP="00D24383">
      <w:pPr>
        <w:pStyle w:val="ListBullet"/>
        <w:keepNext/>
        <w:keepLines/>
      </w:pPr>
      <w:r w:rsidRPr="00903099">
        <w:t>rural (</w:t>
      </w:r>
      <w:r w:rsidRPr="00D24383">
        <w:t>stereo</w:t>
      </w:r>
      <w:r w:rsidRPr="00903099">
        <w:t xml:space="preserve">) environment: &gt;54 </w:t>
      </w:r>
      <w:proofErr w:type="spellStart"/>
      <w:r w:rsidRPr="00903099">
        <w:t>dB</w:t>
      </w:r>
      <w:r w:rsidR="009E17A5" w:rsidRPr="00903099">
        <w:t>µV</w:t>
      </w:r>
      <w:proofErr w:type="spellEnd"/>
      <w:r w:rsidR="009E17A5" w:rsidRPr="00903099">
        <w:t>/m</w:t>
      </w:r>
    </w:p>
    <w:p w14:paraId="0EE69025" w14:textId="456DDB00" w:rsidR="009E17A5" w:rsidRPr="00903099" w:rsidRDefault="009E17A5" w:rsidP="00D24383">
      <w:pPr>
        <w:pStyle w:val="ListBullet"/>
        <w:keepNext/>
        <w:keepLines/>
      </w:pPr>
      <w:r w:rsidRPr="00D24383">
        <w:t>suburban</w:t>
      </w:r>
      <w:r w:rsidRPr="00903099">
        <w:t xml:space="preserve"> environment: &gt;66 </w:t>
      </w:r>
      <w:proofErr w:type="spellStart"/>
      <w:r w:rsidRPr="00903099">
        <w:t>dBµV</w:t>
      </w:r>
      <w:proofErr w:type="spellEnd"/>
      <w:r w:rsidRPr="00903099">
        <w:t>/m</w:t>
      </w:r>
    </w:p>
    <w:p w14:paraId="2277761A" w14:textId="22EEB875" w:rsidR="009E17A5" w:rsidRPr="00D24383" w:rsidRDefault="009E17A5" w:rsidP="00D24383">
      <w:pPr>
        <w:pStyle w:val="ListBulletLast"/>
        <w:keepNext/>
        <w:keepLines/>
      </w:pPr>
      <w:r w:rsidRPr="00903099">
        <w:t xml:space="preserve">urban environment: &gt;74 </w:t>
      </w:r>
      <w:proofErr w:type="spellStart"/>
      <w:r w:rsidRPr="00903099">
        <w:t>dBµV</w:t>
      </w:r>
      <w:proofErr w:type="spellEnd"/>
      <w:r w:rsidRPr="00903099">
        <w:t>/m</w:t>
      </w:r>
      <w:r w:rsidR="00F17CB3" w:rsidRPr="00903099">
        <w:t>.</w:t>
      </w:r>
      <w:r w:rsidRPr="00903099">
        <w:rPr>
          <w:rStyle w:val="FootnoteReference"/>
        </w:rPr>
        <w:footnoteReference w:id="3"/>
      </w:r>
    </w:p>
    <w:p w14:paraId="35246DAD" w14:textId="4C4D145A" w:rsidR="009E17A5" w:rsidRPr="00903099" w:rsidRDefault="009E1A67" w:rsidP="009E17A5">
      <w:pPr>
        <w:rPr>
          <w:rFonts w:cs="Arial"/>
        </w:rPr>
      </w:pPr>
      <w:r>
        <w:rPr>
          <w:rFonts w:cs="Arial"/>
        </w:rPr>
        <w:t>U</w:t>
      </w:r>
      <w:r w:rsidR="009E17A5" w:rsidRPr="00903099">
        <w:rPr>
          <w:rFonts w:cs="Arial"/>
        </w:rPr>
        <w:t xml:space="preserve">nless specified otherwise, all population figures in this paper are </w:t>
      </w:r>
      <w:r w:rsidR="009F6CC6" w:rsidRPr="00903099">
        <w:rPr>
          <w:rFonts w:cs="Arial"/>
        </w:rPr>
        <w:t xml:space="preserve">derived </w:t>
      </w:r>
      <w:r w:rsidR="009E17A5" w:rsidRPr="00903099">
        <w:rPr>
          <w:rFonts w:cs="Arial"/>
        </w:rPr>
        <w:t xml:space="preserve">from the </w:t>
      </w:r>
      <w:r w:rsidR="009E17A5" w:rsidRPr="00493D50">
        <w:rPr>
          <w:rFonts w:cs="Arial"/>
          <w:i/>
        </w:rPr>
        <w:t>Australian Census 2011</w:t>
      </w:r>
      <w:r w:rsidR="009E17A5" w:rsidRPr="00903099">
        <w:rPr>
          <w:rFonts w:cs="Arial"/>
        </w:rPr>
        <w:t xml:space="preserve"> (Australian Bureau of Statistics).</w:t>
      </w:r>
    </w:p>
    <w:p w14:paraId="5D7328AA" w14:textId="61FFE58D" w:rsidR="009E17A5" w:rsidRPr="00D24383" w:rsidRDefault="00893733" w:rsidP="00D24383">
      <w:pPr>
        <w:pStyle w:val="Heading3"/>
      </w:pPr>
      <w:bookmarkStart w:id="7" w:name="_Toc513195733"/>
      <w:r w:rsidRPr="00903099">
        <w:t>AM–FM</w:t>
      </w:r>
      <w:r w:rsidR="009E17A5" w:rsidRPr="00903099">
        <w:t xml:space="preserve"> conversions</w:t>
      </w:r>
      <w:bookmarkEnd w:id="7"/>
    </w:p>
    <w:p w14:paraId="584C3B90" w14:textId="4CA31F57" w:rsidR="00971FBA" w:rsidRPr="00903099" w:rsidRDefault="00971FBA" w:rsidP="009E17A5">
      <w:pPr>
        <w:rPr>
          <w:rFonts w:cs="Arial"/>
        </w:rPr>
      </w:pPr>
      <w:r w:rsidRPr="00903099">
        <w:rPr>
          <w:rFonts w:cs="Arial"/>
        </w:rPr>
        <w:t>The ACMA</w:t>
      </w:r>
      <w:r w:rsidR="00383F00" w:rsidRPr="00903099">
        <w:rPr>
          <w:rFonts w:cs="Arial"/>
        </w:rPr>
        <w:t xml:space="preserve"> has received a</w:t>
      </w:r>
      <w:r w:rsidRPr="00903099">
        <w:rPr>
          <w:rFonts w:cs="Arial"/>
        </w:rPr>
        <w:t xml:space="preserve"> </w:t>
      </w:r>
      <w:r w:rsidR="00383F00" w:rsidRPr="00903099">
        <w:rPr>
          <w:rFonts w:cs="Arial"/>
        </w:rPr>
        <w:t>request</w:t>
      </w:r>
      <w:r w:rsidRPr="00903099">
        <w:rPr>
          <w:rFonts w:cs="Arial"/>
        </w:rPr>
        <w:t xml:space="preserve"> for AM–FM conversion relating to the commercial radio broadcasting service 2BS in Bathurst RA1.</w:t>
      </w:r>
    </w:p>
    <w:p w14:paraId="25EBF53A" w14:textId="7539D747" w:rsidR="009E17A5" w:rsidRPr="00903099" w:rsidRDefault="009E17A5" w:rsidP="009E17A5">
      <w:pPr>
        <w:rPr>
          <w:rFonts w:cs="Arial"/>
        </w:rPr>
      </w:pPr>
      <w:r w:rsidRPr="00903099">
        <w:rPr>
          <w:rFonts w:cs="Arial"/>
        </w:rPr>
        <w:t>In response to a proposal from the commercial radio industry, the Minister for Communications</w:t>
      </w:r>
      <w:r w:rsidR="00DE46FB" w:rsidRPr="00903099">
        <w:rPr>
          <w:rFonts w:cs="Arial"/>
        </w:rPr>
        <w:t xml:space="preserve"> asked</w:t>
      </w:r>
      <w:r w:rsidR="00836279" w:rsidRPr="00903099">
        <w:rPr>
          <w:rFonts w:cs="Arial"/>
        </w:rPr>
        <w:t xml:space="preserve"> the ACMA</w:t>
      </w:r>
      <w:r w:rsidR="00DE46FB" w:rsidRPr="00903099">
        <w:rPr>
          <w:rFonts w:cs="Arial"/>
        </w:rPr>
        <w:t xml:space="preserve"> in February 2016</w:t>
      </w:r>
      <w:r w:rsidR="00836279" w:rsidRPr="00903099">
        <w:rPr>
          <w:rFonts w:cs="Arial"/>
        </w:rPr>
        <w:t xml:space="preserve"> </w:t>
      </w:r>
      <w:r w:rsidR="00DE46FB" w:rsidRPr="00903099">
        <w:rPr>
          <w:rFonts w:cs="Arial"/>
        </w:rPr>
        <w:t>to</w:t>
      </w:r>
      <w:r w:rsidRPr="00903099">
        <w:rPr>
          <w:rFonts w:cs="Arial"/>
        </w:rPr>
        <w:t xml:space="preserve"> give priority to undertak</w:t>
      </w:r>
      <w:r w:rsidR="00744F5A">
        <w:rPr>
          <w:rFonts w:cs="Arial"/>
        </w:rPr>
        <w:t>ing</w:t>
      </w:r>
      <w:r w:rsidRPr="00903099">
        <w:rPr>
          <w:rFonts w:cs="Arial"/>
        </w:rPr>
        <w:t xml:space="preserve"> the planning and implementation work to facilitate </w:t>
      </w:r>
      <w:r w:rsidR="00893733" w:rsidRPr="00903099">
        <w:rPr>
          <w:rFonts w:cs="Arial"/>
        </w:rPr>
        <w:t>AM–FM</w:t>
      </w:r>
      <w:r w:rsidRPr="00903099">
        <w:rPr>
          <w:rFonts w:cs="Arial"/>
        </w:rPr>
        <w:t xml:space="preserve"> conversions of commercial radio broadcasting </w:t>
      </w:r>
      <w:r w:rsidR="000440F3" w:rsidRPr="00903099">
        <w:rPr>
          <w:rFonts w:cs="Arial"/>
        </w:rPr>
        <w:t>services in regional licence areas with one commercial licensee</w:t>
      </w:r>
      <w:r w:rsidR="00A90464" w:rsidRPr="00903099">
        <w:rPr>
          <w:rFonts w:cs="Arial"/>
        </w:rPr>
        <w:t>—</w:t>
      </w:r>
      <w:r w:rsidR="000440F3" w:rsidRPr="00903099">
        <w:rPr>
          <w:rFonts w:cs="Arial"/>
        </w:rPr>
        <w:t>known as ‘</w:t>
      </w:r>
      <w:proofErr w:type="spellStart"/>
      <w:r w:rsidR="000440F3" w:rsidRPr="00903099">
        <w:rPr>
          <w:rFonts w:cs="Arial"/>
        </w:rPr>
        <w:t>solus</w:t>
      </w:r>
      <w:proofErr w:type="spellEnd"/>
      <w:r w:rsidR="000440F3" w:rsidRPr="00903099">
        <w:rPr>
          <w:rFonts w:cs="Arial"/>
        </w:rPr>
        <w:t xml:space="preserve">’ licence areas. In almost all cases, the commercial </w:t>
      </w:r>
      <w:r w:rsidR="001E5642" w:rsidRPr="00903099">
        <w:rPr>
          <w:rFonts w:cs="Arial"/>
        </w:rPr>
        <w:t>licensees</w:t>
      </w:r>
      <w:r w:rsidR="000440F3" w:rsidRPr="00903099">
        <w:rPr>
          <w:rFonts w:cs="Arial"/>
        </w:rPr>
        <w:t xml:space="preserve"> in these </w:t>
      </w:r>
      <w:proofErr w:type="spellStart"/>
      <w:r w:rsidR="000440F3" w:rsidRPr="00903099">
        <w:rPr>
          <w:rFonts w:cs="Arial"/>
        </w:rPr>
        <w:t>solus</w:t>
      </w:r>
      <w:proofErr w:type="spellEnd"/>
      <w:r w:rsidR="000440F3" w:rsidRPr="00903099">
        <w:rPr>
          <w:rFonts w:cs="Arial"/>
        </w:rPr>
        <w:t xml:space="preserve"> licence areas hold two licences</w:t>
      </w:r>
      <w:r w:rsidR="00A90464" w:rsidRPr="00903099">
        <w:rPr>
          <w:rFonts w:cs="Arial"/>
        </w:rPr>
        <w:t>—a</w:t>
      </w:r>
      <w:r w:rsidR="000440F3" w:rsidRPr="00903099">
        <w:rPr>
          <w:rFonts w:cs="Arial"/>
        </w:rPr>
        <w:t xml:space="preserve"> commercial radio broadcasting licence</w:t>
      </w:r>
      <w:r w:rsidR="00A90464" w:rsidRPr="00903099">
        <w:rPr>
          <w:rFonts w:cs="Arial"/>
        </w:rPr>
        <w:t xml:space="preserve"> in AM mode</w:t>
      </w:r>
      <w:r w:rsidR="000440F3" w:rsidRPr="00903099">
        <w:rPr>
          <w:rFonts w:cs="Arial"/>
        </w:rPr>
        <w:t xml:space="preserve"> (commercial licence) and a </w:t>
      </w:r>
      <w:r w:rsidR="00A90464" w:rsidRPr="00903099">
        <w:rPr>
          <w:rFonts w:cs="Arial"/>
        </w:rPr>
        <w:t>‘</w:t>
      </w:r>
      <w:r w:rsidR="000440F3" w:rsidRPr="00903099">
        <w:rPr>
          <w:rFonts w:cs="Arial"/>
        </w:rPr>
        <w:t>supplementary</w:t>
      </w:r>
      <w:r w:rsidR="00A90464" w:rsidRPr="00903099">
        <w:rPr>
          <w:rFonts w:cs="Arial"/>
        </w:rPr>
        <w:t>’</w:t>
      </w:r>
      <w:r w:rsidR="000440F3" w:rsidRPr="00903099">
        <w:rPr>
          <w:rFonts w:cs="Arial"/>
        </w:rPr>
        <w:t xml:space="preserve"> commercial</w:t>
      </w:r>
      <w:r w:rsidR="00A90464" w:rsidRPr="00903099">
        <w:rPr>
          <w:rFonts w:cs="Arial"/>
        </w:rPr>
        <w:t xml:space="preserve"> radio broadcasting</w:t>
      </w:r>
      <w:r w:rsidR="000440F3" w:rsidRPr="00903099">
        <w:rPr>
          <w:rFonts w:cs="Arial"/>
        </w:rPr>
        <w:t xml:space="preserve"> licence</w:t>
      </w:r>
      <w:r w:rsidR="00A90464" w:rsidRPr="00903099">
        <w:rPr>
          <w:rFonts w:cs="Arial"/>
        </w:rPr>
        <w:t xml:space="preserve"> in FM mode</w:t>
      </w:r>
      <w:r w:rsidR="000440F3" w:rsidRPr="00903099">
        <w:rPr>
          <w:rFonts w:cs="Arial"/>
        </w:rPr>
        <w:t xml:space="preserve"> issued in the 1990s under section 39 of the BSA.</w:t>
      </w:r>
      <w:r w:rsidR="00383F00" w:rsidRPr="00903099">
        <w:rPr>
          <w:rStyle w:val="FootnoteReference"/>
          <w:rFonts w:cs="Arial"/>
        </w:rPr>
        <w:footnoteReference w:id="4"/>
      </w:r>
    </w:p>
    <w:p w14:paraId="7EAB63BC" w14:textId="0D8F16B7" w:rsidR="004B32F5" w:rsidRPr="00903099" w:rsidRDefault="005104F2" w:rsidP="004B32F5">
      <w:pPr>
        <w:rPr>
          <w:rFonts w:cs="Arial"/>
        </w:rPr>
      </w:pPr>
      <w:r>
        <w:rPr>
          <w:rFonts w:cs="Arial"/>
        </w:rPr>
        <w:t>We</w:t>
      </w:r>
      <w:r w:rsidR="000440F3" w:rsidRPr="00903099">
        <w:rPr>
          <w:rFonts w:cs="Arial"/>
        </w:rPr>
        <w:t xml:space="preserve"> consulted on a new approach to </w:t>
      </w:r>
      <w:r w:rsidR="00893733" w:rsidRPr="00903099">
        <w:rPr>
          <w:rFonts w:cs="Arial"/>
        </w:rPr>
        <w:t>AM–FM</w:t>
      </w:r>
      <w:r w:rsidR="000440F3" w:rsidRPr="00903099">
        <w:rPr>
          <w:rFonts w:cs="Arial"/>
        </w:rPr>
        <w:t xml:space="preserve"> conversions (and the related issue of infill transmitters) </w:t>
      </w:r>
      <w:r w:rsidR="00352CE6" w:rsidRPr="00903099">
        <w:rPr>
          <w:rFonts w:cs="Arial"/>
        </w:rPr>
        <w:t xml:space="preserve">in December 2016. The new approach </w:t>
      </w:r>
      <w:r w:rsidR="00002A10" w:rsidRPr="00903099">
        <w:rPr>
          <w:rFonts w:cs="Arial"/>
        </w:rPr>
        <w:t xml:space="preserve">to </w:t>
      </w:r>
      <w:r w:rsidR="00893733" w:rsidRPr="00903099">
        <w:rPr>
          <w:rFonts w:cs="Arial"/>
        </w:rPr>
        <w:t>AM–FM</w:t>
      </w:r>
      <w:r w:rsidR="00352CE6" w:rsidRPr="00903099">
        <w:rPr>
          <w:rFonts w:cs="Arial"/>
        </w:rPr>
        <w:t xml:space="preserve"> conversions</w:t>
      </w:r>
      <w:r>
        <w:rPr>
          <w:rFonts w:cs="Arial"/>
        </w:rPr>
        <w:t xml:space="preserve">, </w:t>
      </w:r>
      <w:hyperlink r:id="rId30" w:history="1">
        <w:r w:rsidRPr="005104F2">
          <w:rPr>
            <w:rStyle w:val="Hyperlink"/>
            <w:rFonts w:cs="Arial"/>
            <w:szCs w:val="20"/>
          </w:rPr>
          <w:t>the AM–FM guidance</w:t>
        </w:r>
      </w:hyperlink>
      <w:r>
        <w:rPr>
          <w:rFonts w:cs="Arial"/>
          <w:szCs w:val="20"/>
        </w:rPr>
        <w:t>,</w:t>
      </w:r>
      <w:r w:rsidR="00352CE6" w:rsidRPr="00903099">
        <w:rPr>
          <w:rFonts w:cs="Arial"/>
        </w:rPr>
        <w:t xml:space="preserve"> </w:t>
      </w:r>
      <w:r w:rsidR="00002A10" w:rsidRPr="00903099">
        <w:rPr>
          <w:rFonts w:cs="Arial"/>
        </w:rPr>
        <w:t xml:space="preserve">was </w:t>
      </w:r>
      <w:r w:rsidR="00352CE6" w:rsidRPr="00903099">
        <w:rPr>
          <w:rFonts w:cs="Arial"/>
        </w:rPr>
        <w:t xml:space="preserve">finalised in </w:t>
      </w:r>
      <w:r w:rsidR="004B32F5" w:rsidRPr="00903099">
        <w:rPr>
          <w:rFonts w:cs="Arial"/>
        </w:rPr>
        <w:t>April</w:t>
      </w:r>
      <w:r w:rsidR="00352CE6" w:rsidRPr="00903099">
        <w:rPr>
          <w:rFonts w:cs="Arial"/>
        </w:rPr>
        <w:t xml:space="preserve"> 2017. </w:t>
      </w:r>
    </w:p>
    <w:p w14:paraId="4CF7C199" w14:textId="1E264680" w:rsidR="00125654" w:rsidRPr="00903099" w:rsidRDefault="00125654" w:rsidP="00125654">
      <w:pPr>
        <w:spacing w:after="80"/>
      </w:pPr>
      <w:r w:rsidRPr="00903099">
        <w:rPr>
          <w:rFonts w:cs="Arial"/>
        </w:rPr>
        <w:t xml:space="preserve">In summary, </w:t>
      </w:r>
      <w:r w:rsidRPr="00903099">
        <w:t xml:space="preserve">the </w:t>
      </w:r>
      <w:r w:rsidRPr="00903099">
        <w:rPr>
          <w:rFonts w:cs="Arial"/>
        </w:rPr>
        <w:t>guidance</w:t>
      </w:r>
      <w:r w:rsidRPr="00903099">
        <w:t xml:space="preserve"> document provides that the ACMA will consider requests for variations to LAPs to enable AM–FM conversion of existing AM commercial radio broadcasting services when the request is from licensees in:</w:t>
      </w:r>
    </w:p>
    <w:p w14:paraId="57CAEAA4" w14:textId="3D6B5AD7" w:rsidR="00125654" w:rsidRPr="00903099" w:rsidRDefault="00125654" w:rsidP="00D24383">
      <w:pPr>
        <w:pStyle w:val="ListBullet"/>
      </w:pPr>
      <w:proofErr w:type="spellStart"/>
      <w:r w:rsidRPr="00903099">
        <w:t>solus</w:t>
      </w:r>
      <w:proofErr w:type="spellEnd"/>
      <w:r w:rsidRPr="00903099">
        <w:t xml:space="preserve"> regional licence areas with less than 30</w:t>
      </w:r>
      <w:r w:rsidR="005104F2">
        <w:t xml:space="preserve"> per cent</w:t>
      </w:r>
      <w:r w:rsidRPr="00903099">
        <w:t xml:space="preserve"> overlap with any other commercial licence area</w:t>
      </w:r>
    </w:p>
    <w:p w14:paraId="1E986A2D" w14:textId="4A806E60" w:rsidR="00125654" w:rsidRPr="00903099" w:rsidRDefault="00125654" w:rsidP="00D24383">
      <w:pPr>
        <w:pStyle w:val="ListBulletLast"/>
      </w:pPr>
      <w:proofErr w:type="gramStart"/>
      <w:r w:rsidRPr="00903099">
        <w:t>other</w:t>
      </w:r>
      <w:proofErr w:type="gramEnd"/>
      <w:r w:rsidRPr="00903099">
        <w:t xml:space="preserve"> licence areas where the ACMA considers that the circumstances do not put existing FM commercial radio broadcasting licensees at a competitive disadvantage.</w:t>
      </w:r>
    </w:p>
    <w:p w14:paraId="582DF698" w14:textId="4C89E44F" w:rsidR="00125654" w:rsidRPr="00903099" w:rsidRDefault="005104F2" w:rsidP="00125654">
      <w:pPr>
        <w:spacing w:after="80"/>
      </w:pPr>
      <w:r>
        <w:t xml:space="preserve">In deciding </w:t>
      </w:r>
      <w:r w:rsidRPr="00903099">
        <w:t xml:space="preserve">whether to exercise </w:t>
      </w:r>
      <w:r>
        <w:t>our</w:t>
      </w:r>
      <w:r w:rsidRPr="00903099">
        <w:t xml:space="preserve"> powers to approve AM–FM conversions</w:t>
      </w:r>
      <w:r>
        <w:t xml:space="preserve">, we will consider </w:t>
      </w:r>
      <w:r w:rsidR="00125654" w:rsidRPr="00903099">
        <w:t>the following:</w:t>
      </w:r>
    </w:p>
    <w:p w14:paraId="765A1289" w14:textId="0C4CD4C4" w:rsidR="00125654" w:rsidRPr="00903099" w:rsidRDefault="00125654" w:rsidP="00D24383">
      <w:pPr>
        <w:pStyle w:val="ListBullet"/>
      </w:pPr>
      <w:r w:rsidRPr="00903099">
        <w:lastRenderedPageBreak/>
        <w:t xml:space="preserve">FM </w:t>
      </w:r>
      <w:r w:rsidRPr="00D24383">
        <w:t>conversion</w:t>
      </w:r>
      <w:r w:rsidRPr="00903099">
        <w:t xml:space="preserve"> should not result in any existing radio services being adversely </w:t>
      </w:r>
      <w:r w:rsidR="00595CBA">
        <w:t>affected</w:t>
      </w:r>
      <w:r w:rsidR="00595CBA" w:rsidRPr="00903099">
        <w:t xml:space="preserve"> </w:t>
      </w:r>
      <w:r w:rsidRPr="00903099">
        <w:t xml:space="preserve">in terms of their use of spectrum and the technical parameters of their radio transmissions. </w:t>
      </w:r>
      <w:r w:rsidR="00595CBA">
        <w:t>So</w:t>
      </w:r>
      <w:r w:rsidRPr="00903099">
        <w:t xml:space="preserve">, other existing radio services should not </w:t>
      </w:r>
      <w:r w:rsidR="00595CBA">
        <w:t>have</w:t>
      </w:r>
      <w:r w:rsidRPr="00903099">
        <w:t xml:space="preserve"> to be retuned, replanned or cancelled</w:t>
      </w:r>
      <w:r w:rsidR="00595CBA">
        <w:t>,</w:t>
      </w:r>
      <w:r w:rsidRPr="00903099">
        <w:t xml:space="preserve"> unless a solution can be found that mitigates these impacts without imposing any undue costs on the affected parties. </w:t>
      </w:r>
    </w:p>
    <w:p w14:paraId="7886127E" w14:textId="1BEF30A9" w:rsidR="00125654" w:rsidRPr="00903099" w:rsidRDefault="00125654" w:rsidP="00595CBA">
      <w:pPr>
        <w:pStyle w:val="ListBulletLast"/>
        <w:keepNext/>
        <w:keepLines/>
      </w:pPr>
      <w:r w:rsidRPr="00903099">
        <w:t>FM conversion should not result in any significant coverage differences for radio listeners wi</w:t>
      </w:r>
      <w:r w:rsidR="000D4BDD" w:rsidRPr="00903099">
        <w:t>thin the affected licence areas.</w:t>
      </w:r>
      <w:r w:rsidRPr="00903099">
        <w:t xml:space="preserve"> </w:t>
      </w:r>
      <w:r w:rsidR="000D4BDD" w:rsidRPr="00903099">
        <w:t>T</w:t>
      </w:r>
      <w:r w:rsidRPr="00903099">
        <w:t xml:space="preserve">he vast majority of radio listeners who were able to receive services in AM </w:t>
      </w:r>
      <w:r w:rsidR="00744F5A">
        <w:t xml:space="preserve">should be able to </w:t>
      </w:r>
      <w:r w:rsidRPr="00903099">
        <w:t xml:space="preserve">continue to do so following FM conversion. </w:t>
      </w:r>
    </w:p>
    <w:p w14:paraId="6B669563" w14:textId="7A8B2955" w:rsidR="00125654" w:rsidRPr="00903099" w:rsidRDefault="00125654" w:rsidP="00125654">
      <w:pPr>
        <w:spacing w:after="80"/>
      </w:pPr>
      <w:r w:rsidRPr="00903099">
        <w:t>When considering whether the ‘vast majority’ of listeners can still receive the service</w:t>
      </w:r>
      <w:r w:rsidR="00595CBA">
        <w:t>,</w:t>
      </w:r>
      <w:r w:rsidRPr="00903099">
        <w:t xml:space="preserve"> </w:t>
      </w:r>
      <w:r w:rsidR="00595CBA">
        <w:t>we</w:t>
      </w:r>
      <w:r w:rsidRPr="00903099">
        <w:t xml:space="preserve"> will have regard to the planning criteria at section 23 of the BSA, including:</w:t>
      </w:r>
    </w:p>
    <w:p w14:paraId="597DDAFE" w14:textId="7F79B985" w:rsidR="00125654" w:rsidRPr="00903099" w:rsidRDefault="00595CBA" w:rsidP="00D24383">
      <w:pPr>
        <w:pStyle w:val="ListBullet"/>
      </w:pPr>
      <w:r>
        <w:t>D</w:t>
      </w:r>
      <w:r w:rsidR="00125654" w:rsidRPr="00903099">
        <w:t xml:space="preserve">emographics—whether any proportion of the population within the licence area who receive the AM service are predicted to no longer receive the service, and the distribution of that population. </w:t>
      </w:r>
      <w:r>
        <w:t>There is an</w:t>
      </w:r>
      <w:r w:rsidR="00125654" w:rsidRPr="00903099">
        <w:t xml:space="preserve"> assumption in the </w:t>
      </w:r>
      <w:r>
        <w:t xml:space="preserve">AM–FM </w:t>
      </w:r>
      <w:r w:rsidR="00125654" w:rsidRPr="00903099">
        <w:t>guidance that communities with a population of 200 people or more are entitled to expect a service from a broadcaster that is licensed to provide one</w:t>
      </w:r>
      <w:r>
        <w:t>.</w:t>
      </w:r>
    </w:p>
    <w:p w14:paraId="4C472EFE" w14:textId="540E3D03" w:rsidR="00125654" w:rsidRPr="00903099" w:rsidRDefault="00595CBA" w:rsidP="00D24383">
      <w:pPr>
        <w:pStyle w:val="ListBullet"/>
      </w:pPr>
      <w:r>
        <w:t>T</w:t>
      </w:r>
      <w:r w:rsidR="00125654" w:rsidRPr="00903099">
        <w:t>he number of existing broadcasting services within the licence area—the extent of alternative services available to listeners may be a consideration, as will any available information on listening habits in the area</w:t>
      </w:r>
      <w:r>
        <w:t>.</w:t>
      </w:r>
    </w:p>
    <w:p w14:paraId="61E2B59D" w14:textId="6E2AB5A1" w:rsidR="00125654" w:rsidRPr="00903099" w:rsidRDefault="00595CBA" w:rsidP="00D24383">
      <w:pPr>
        <w:pStyle w:val="ListBullet"/>
      </w:pPr>
      <w:r>
        <w:t>T</w:t>
      </w:r>
      <w:r w:rsidR="00125654" w:rsidRPr="00903099">
        <w:t>he technical constraints relating to the delivery or reception of broadcasting services</w:t>
      </w:r>
      <w:r>
        <w:t>.</w:t>
      </w:r>
    </w:p>
    <w:p w14:paraId="515E4517" w14:textId="3152035A" w:rsidR="00125654" w:rsidRPr="00903099" w:rsidRDefault="00595CBA" w:rsidP="00595CBA">
      <w:pPr>
        <w:pStyle w:val="ListBulletLast"/>
      </w:pPr>
      <w:r>
        <w:t>O</w:t>
      </w:r>
      <w:r w:rsidR="00125654" w:rsidRPr="00903099">
        <w:t xml:space="preserve">ther matters </w:t>
      </w:r>
      <w:r>
        <w:t xml:space="preserve">we </w:t>
      </w:r>
      <w:r w:rsidR="00125654" w:rsidRPr="00903099">
        <w:t xml:space="preserve">consider relevant. </w:t>
      </w:r>
    </w:p>
    <w:p w14:paraId="288D6344" w14:textId="0DB04212" w:rsidR="00125654" w:rsidRPr="00903099" w:rsidRDefault="00125654" w:rsidP="00595CBA">
      <w:r w:rsidRPr="00903099">
        <w:t xml:space="preserve">Further background on the comparison of AM and FM coverage and population analysis is provided at </w:t>
      </w:r>
      <w:hyperlink w:anchor="Appendix_A" w:history="1">
        <w:r w:rsidRPr="00493D50">
          <w:rPr>
            <w:rStyle w:val="Hyperlink"/>
          </w:rPr>
          <w:t>Appendix A</w:t>
        </w:r>
      </w:hyperlink>
      <w:r w:rsidRPr="00903099">
        <w:t>.</w:t>
      </w:r>
    </w:p>
    <w:p w14:paraId="5325EE5C" w14:textId="62ABA10A" w:rsidR="00125654" w:rsidRPr="00903099" w:rsidRDefault="00125654" w:rsidP="00595CBA">
      <w:r w:rsidRPr="00903099">
        <w:t>The methodology for coverage planning for the AM–FM conversion is to first determine the specifications for the proposed FM transmission so that, as a starting point, it will match the coverage for the existing commercial radio broadcasting service being provided by the commercial licensee in the relevant licence area</w:t>
      </w:r>
      <w:r w:rsidR="007313A8" w:rsidRPr="007313A8">
        <w:t xml:space="preserve"> </w:t>
      </w:r>
      <w:r w:rsidR="007313A8">
        <w:t>(</w:t>
      </w:r>
      <w:r w:rsidR="007313A8" w:rsidRPr="00903099">
        <w:t>section 39 of the BSA)</w:t>
      </w:r>
      <w:r w:rsidRPr="00903099">
        <w:t>. The proposed FM transmission is then assessed to determine any loss of coverage compared to the current AM commercial radio broadcasting transmitter. If required, the technical specifications are revised from the section 39 specifications in order to mitigate the loss.</w:t>
      </w:r>
    </w:p>
    <w:p w14:paraId="71362446" w14:textId="63150B13" w:rsidR="00125654" w:rsidRPr="00903099" w:rsidRDefault="00125654" w:rsidP="00125654">
      <w:r w:rsidRPr="00903099">
        <w:t xml:space="preserve">In cases where an AM–FM conversion would still result in the FM signal providing significantly less coverage than the AM signal within the licence area, the ACMA will require the use of infill FM transmitters to mitigate the coverage loss, where practicable. </w:t>
      </w:r>
      <w:r w:rsidR="007313A8">
        <w:t>We</w:t>
      </w:r>
      <w:r w:rsidRPr="00903099">
        <w:t xml:space="preserve"> may not allow a service</w:t>
      </w:r>
      <w:r w:rsidR="007313A8">
        <w:t xml:space="preserve"> to start</w:t>
      </w:r>
      <w:r w:rsidRPr="00903099">
        <w:t xml:space="preserve"> using the main FM transmitter unless </w:t>
      </w:r>
      <w:r w:rsidR="007313A8">
        <w:t>it begins</w:t>
      </w:r>
      <w:r w:rsidRPr="00903099">
        <w:t xml:space="preserve"> on any required infill transmitters at the same time.</w:t>
      </w:r>
      <w:r w:rsidR="005A2F4A" w:rsidRPr="00903099">
        <w:rPr>
          <w:rStyle w:val="FootnoteReference"/>
        </w:rPr>
        <w:footnoteReference w:id="5"/>
      </w:r>
    </w:p>
    <w:p w14:paraId="451A7E00" w14:textId="77777777" w:rsidR="00125654" w:rsidRPr="00903099" w:rsidRDefault="00125654" w:rsidP="00125654">
      <w:r w:rsidRPr="00903099">
        <w:t xml:space="preserve">Licensees may seek a simulcasting period of the AM and FM transmitters to transition listeners to the new service. Licensees would generally be permitted a 28-day simulcast period. </w:t>
      </w:r>
    </w:p>
    <w:p w14:paraId="2460A77C" w14:textId="6470C8CA" w:rsidR="00125654" w:rsidRPr="00903099" w:rsidRDefault="00125654" w:rsidP="007313A8">
      <w:r w:rsidRPr="00903099">
        <w:lastRenderedPageBreak/>
        <w:t xml:space="preserve">There may be limited circumstances where additional FM infill transmitters are not a practical, economically feasible or effective </w:t>
      </w:r>
      <w:r w:rsidR="007313A8">
        <w:t xml:space="preserve">way to </w:t>
      </w:r>
      <w:r w:rsidRPr="00903099">
        <w:t>mitigat</w:t>
      </w:r>
      <w:r w:rsidR="007313A8">
        <w:t>e</w:t>
      </w:r>
      <w:r w:rsidRPr="00903099">
        <w:t xml:space="preserve"> coverage loss. Consequently, there may be grounds for permitting continued simulcasting of AM and FM radio services. For example, ongoing AM coverage may be the best solution in licence areas where higher density population centres are surrounded by large areas of low</w:t>
      </w:r>
      <w:r w:rsidR="007313A8">
        <w:t>-</w:t>
      </w:r>
      <w:r w:rsidRPr="00903099">
        <w:t xml:space="preserve">density and highly dispersed populations. In such circumstances, the ACMA may consider </w:t>
      </w:r>
      <w:r w:rsidR="005A2F4A" w:rsidRPr="00903099">
        <w:t>request</w:t>
      </w:r>
      <w:r w:rsidRPr="00903099">
        <w:t xml:space="preserve">s for dual coverage on a case-by-case basis. </w:t>
      </w:r>
    </w:p>
    <w:p w14:paraId="2B05FF96" w14:textId="77777777" w:rsidR="00125654" w:rsidRPr="00903099" w:rsidRDefault="00125654" w:rsidP="007313A8">
      <w:r w:rsidRPr="00903099">
        <w:t>If the ACMA does not permit dual coverage, transmission on the AM transmitter must cease at the end of the simulcast period.</w:t>
      </w:r>
    </w:p>
    <w:p w14:paraId="202AF888" w14:textId="55D3D515" w:rsidR="00125654" w:rsidRPr="00903099" w:rsidRDefault="00125654" w:rsidP="007313A8">
      <w:r w:rsidRPr="00903099">
        <w:t>An object of the BSA is to promote the availability to audiences throughout Australia of a diverse range of radio (and television) services</w:t>
      </w:r>
      <w:r w:rsidR="007313A8">
        <w:t xml:space="preserve"> (p</w:t>
      </w:r>
      <w:r w:rsidR="007313A8" w:rsidRPr="00B33DCE">
        <w:t>aragraph 3(1</w:t>
      </w:r>
      <w:proofErr w:type="gramStart"/>
      <w:r w:rsidR="007313A8" w:rsidRPr="00B33DCE">
        <w:t>)(</w:t>
      </w:r>
      <w:proofErr w:type="gramEnd"/>
      <w:r w:rsidR="007313A8" w:rsidRPr="00B33DCE">
        <w:t>a)</w:t>
      </w:r>
      <w:r w:rsidR="007313A8">
        <w:t>)</w:t>
      </w:r>
      <w:r w:rsidRPr="00903099">
        <w:t>. An AM–FM conversion that maintains coverage equivalence while providing improved audio quality and reception quality for listeners in regional areas is likely to improve the effective availability of existing services.</w:t>
      </w:r>
    </w:p>
    <w:p w14:paraId="2D1FCA04" w14:textId="2886623C" w:rsidR="008D7864" w:rsidRPr="00903099" w:rsidRDefault="00CA30A6" w:rsidP="00D24383">
      <w:pPr>
        <w:pStyle w:val="Heading2"/>
      </w:pPr>
      <w:bookmarkStart w:id="8" w:name="_Toc513195734"/>
      <w:r w:rsidRPr="00903099">
        <w:t xml:space="preserve">Bathurst </w:t>
      </w:r>
      <w:r w:rsidRPr="00D24383">
        <w:t>LAP</w:t>
      </w:r>
      <w:bookmarkEnd w:id="8"/>
    </w:p>
    <w:p w14:paraId="266B9BAD" w14:textId="02D9D071" w:rsidR="005C7140" w:rsidRPr="00903099" w:rsidRDefault="003C3906" w:rsidP="005C7140">
      <w:pPr>
        <w:spacing w:line="240" w:lineRule="auto"/>
        <w:rPr>
          <w:rFonts w:cs="Arial"/>
        </w:rPr>
      </w:pPr>
      <w:r w:rsidRPr="00903099">
        <w:rPr>
          <w:rFonts w:cs="Arial"/>
        </w:rPr>
        <w:t xml:space="preserve">The Australian Broadcasting Authority (ABA) determined the Bathurst LAP in May 1997. </w:t>
      </w:r>
      <w:r w:rsidR="00491977" w:rsidRPr="00903099">
        <w:rPr>
          <w:rFonts w:cs="Arial"/>
        </w:rPr>
        <w:t xml:space="preserve">Material </w:t>
      </w:r>
      <w:r w:rsidR="00490DDA" w:rsidRPr="00903099">
        <w:rPr>
          <w:rFonts w:cs="Arial"/>
        </w:rPr>
        <w:t>vari</w:t>
      </w:r>
      <w:r w:rsidR="00491977" w:rsidRPr="00903099">
        <w:rPr>
          <w:rFonts w:cs="Arial"/>
        </w:rPr>
        <w:t xml:space="preserve">ations to the LAP occurred </w:t>
      </w:r>
      <w:r w:rsidR="00490DDA" w:rsidRPr="00903099">
        <w:rPr>
          <w:rFonts w:cs="Arial"/>
        </w:rPr>
        <w:t>in December 2004</w:t>
      </w:r>
      <w:r w:rsidRPr="00903099">
        <w:rPr>
          <w:rFonts w:cs="Arial"/>
        </w:rPr>
        <w:t xml:space="preserve"> </w:t>
      </w:r>
      <w:r w:rsidR="00491977" w:rsidRPr="00903099">
        <w:rPr>
          <w:rFonts w:cs="Arial"/>
        </w:rPr>
        <w:t xml:space="preserve">and </w:t>
      </w:r>
      <w:r w:rsidRPr="00903099">
        <w:rPr>
          <w:rFonts w:cs="Arial"/>
        </w:rPr>
        <w:t>April 2012</w:t>
      </w:r>
      <w:r w:rsidR="00C15FB1" w:rsidRPr="00903099">
        <w:rPr>
          <w:rFonts w:cs="Arial"/>
        </w:rPr>
        <w:t xml:space="preserve">. </w:t>
      </w:r>
    </w:p>
    <w:p w14:paraId="534146CB" w14:textId="71014A54" w:rsidR="0045318B" w:rsidRPr="00903099" w:rsidRDefault="005C7140" w:rsidP="005C7140">
      <w:pPr>
        <w:spacing w:after="80" w:line="240" w:lineRule="auto"/>
        <w:rPr>
          <w:rFonts w:cs="Arial"/>
        </w:rPr>
      </w:pPr>
      <w:r w:rsidRPr="00903099">
        <w:rPr>
          <w:rFonts w:cs="Arial"/>
        </w:rPr>
        <w:t>In the licence area described in Attachment 1.1</w:t>
      </w:r>
      <w:r w:rsidR="00125654" w:rsidRPr="00903099">
        <w:rPr>
          <w:rFonts w:cs="Arial"/>
        </w:rPr>
        <w:t xml:space="preserve"> to the LAP</w:t>
      </w:r>
      <w:r w:rsidRPr="00903099">
        <w:rPr>
          <w:rFonts w:cs="Arial"/>
        </w:rPr>
        <w:t xml:space="preserve"> (also known as the Bathurst RA1 licence area), the LAP provides for:</w:t>
      </w:r>
    </w:p>
    <w:p w14:paraId="6B278C06" w14:textId="34F318BE" w:rsidR="0045318B" w:rsidRPr="00D24383" w:rsidRDefault="00C15FB1" w:rsidP="00D24383">
      <w:pPr>
        <w:pStyle w:val="ListBullet"/>
      </w:pPr>
      <w:r w:rsidRPr="00903099">
        <w:t xml:space="preserve">four </w:t>
      </w:r>
      <w:r w:rsidRPr="00D24383">
        <w:t xml:space="preserve">national radio broadcasting </w:t>
      </w:r>
      <w:r w:rsidR="00626807" w:rsidRPr="00D24383">
        <w:t>transmitters</w:t>
      </w:r>
      <w:r w:rsidR="005C7140" w:rsidRPr="00D24383">
        <w:t xml:space="preserve"> to serve the Bathurst (City) area</w:t>
      </w:r>
    </w:p>
    <w:p w14:paraId="2A7575F9" w14:textId="64A51642" w:rsidR="0045318B" w:rsidRPr="00903099" w:rsidRDefault="00C15FB1" w:rsidP="00D24383">
      <w:pPr>
        <w:pStyle w:val="ListBullet"/>
      </w:pPr>
      <w:r w:rsidRPr="00D24383">
        <w:t>two commer</w:t>
      </w:r>
      <w:r w:rsidRPr="00903099">
        <w:t>cial radio broadcasting services</w:t>
      </w:r>
    </w:p>
    <w:p w14:paraId="3578D6BC" w14:textId="77777777" w:rsidR="005C7140" w:rsidRPr="00903099" w:rsidRDefault="00C15FB1" w:rsidP="00D24383">
      <w:pPr>
        <w:pStyle w:val="ListBulletLast"/>
      </w:pPr>
      <w:proofErr w:type="gramStart"/>
      <w:r w:rsidRPr="00903099">
        <w:t>one</w:t>
      </w:r>
      <w:proofErr w:type="gramEnd"/>
      <w:r w:rsidRPr="00903099">
        <w:t xml:space="preserve"> open narrowcasting service.</w:t>
      </w:r>
    </w:p>
    <w:p w14:paraId="6AA750CD" w14:textId="598D68C2" w:rsidR="005C7140" w:rsidRPr="00903099" w:rsidRDefault="005C7140" w:rsidP="00490DDA">
      <w:r w:rsidRPr="00903099">
        <w:t>In the licence area described in Attachment 2.1</w:t>
      </w:r>
      <w:r w:rsidR="00125654" w:rsidRPr="00903099">
        <w:t xml:space="preserve"> to the LAP</w:t>
      </w:r>
      <w:r w:rsidRPr="00903099">
        <w:t xml:space="preserve"> (also known as the Bathurst RA2 licence area), the LAP provides for one community radio broadcasting service to serve the Bathurst (City) and Orange areas.</w:t>
      </w:r>
    </w:p>
    <w:p w14:paraId="6E744761" w14:textId="20F8B837" w:rsidR="005C7140" w:rsidRPr="00903099" w:rsidRDefault="005C7140" w:rsidP="005C7140">
      <w:r w:rsidRPr="00903099">
        <w:t>In the licence area described in Attachment 3.1</w:t>
      </w:r>
      <w:r w:rsidR="00125654" w:rsidRPr="00903099">
        <w:t xml:space="preserve"> to the LAP</w:t>
      </w:r>
      <w:r w:rsidRPr="00903099">
        <w:t xml:space="preserve"> (also known as the Bathurst RA3 licence area), the LAP provides for one community radio broadcasting service to serve the Bathurst area.</w:t>
      </w:r>
    </w:p>
    <w:p w14:paraId="07A90AFD" w14:textId="3AA26F74" w:rsidR="007D73FA" w:rsidRPr="00903099" w:rsidRDefault="007D73FA" w:rsidP="007D73FA">
      <w:pPr>
        <w:pStyle w:val="Heading1"/>
      </w:pPr>
      <w:bookmarkStart w:id="9" w:name="_Toc509315510"/>
      <w:bookmarkStart w:id="10" w:name="_Toc513195735"/>
      <w:r w:rsidRPr="00903099">
        <w:lastRenderedPageBreak/>
        <w:t>Preliminary view</w:t>
      </w:r>
      <w:r w:rsidR="009B3702">
        <w:t>—</w:t>
      </w:r>
      <w:r w:rsidR="00301553">
        <w:t>c</w:t>
      </w:r>
      <w:r w:rsidR="009B3702">
        <w:t xml:space="preserve">ommercial radio </w:t>
      </w:r>
      <w:r w:rsidRPr="00903099">
        <w:t>Bathurst LAP</w:t>
      </w:r>
      <w:bookmarkEnd w:id="9"/>
      <w:bookmarkEnd w:id="10"/>
    </w:p>
    <w:p w14:paraId="339BDA8B" w14:textId="77777777" w:rsidR="006F1612" w:rsidRPr="00D24383" w:rsidRDefault="006F1612" w:rsidP="00D24383">
      <w:pPr>
        <w:pStyle w:val="Heading2"/>
      </w:pPr>
      <w:bookmarkStart w:id="11" w:name="_Toc513195736"/>
      <w:r w:rsidRPr="00903099">
        <w:t>Summary</w:t>
      </w:r>
      <w:bookmarkEnd w:id="11"/>
    </w:p>
    <w:p w14:paraId="3975B933" w14:textId="7837B9A5" w:rsidR="00467060" w:rsidRPr="00903099" w:rsidRDefault="00467060" w:rsidP="00467060">
      <w:pPr>
        <w:spacing w:after="80"/>
      </w:pPr>
      <w:r w:rsidRPr="00903099">
        <w:t>In the B</w:t>
      </w:r>
      <w:r w:rsidR="00EE74F1" w:rsidRPr="00903099">
        <w:t>athurst</w:t>
      </w:r>
      <w:r w:rsidRPr="00903099">
        <w:t xml:space="preserve"> LAP, the ACMA proposes to: </w:t>
      </w:r>
    </w:p>
    <w:p w14:paraId="4B114376" w14:textId="7DFBA962" w:rsidR="006F1612" w:rsidRPr="00903099" w:rsidRDefault="00301553" w:rsidP="00D24383">
      <w:pPr>
        <w:pStyle w:val="ListBullet"/>
      </w:pPr>
      <w:r>
        <w:t>I</w:t>
      </w:r>
      <w:r w:rsidR="00467060" w:rsidRPr="00903099">
        <w:t xml:space="preserve">nsert a new technical specification for an FM transmitter for the </w:t>
      </w:r>
      <w:r w:rsidR="00EE74F1" w:rsidRPr="00903099">
        <w:t>2BS</w:t>
      </w:r>
      <w:r w:rsidR="00467060" w:rsidRPr="00903099">
        <w:t xml:space="preserve"> commercial radio broadcasting service that is currently planned on the frequency </w:t>
      </w:r>
      <w:r w:rsidR="00EE74F1" w:rsidRPr="00903099">
        <w:t>1503</w:t>
      </w:r>
      <w:r w:rsidR="00467060" w:rsidRPr="00903099">
        <w:t xml:space="preserve"> kHz within the </w:t>
      </w:r>
      <w:r w:rsidR="00EE74F1" w:rsidRPr="00903099">
        <w:t>Bathurst</w:t>
      </w:r>
      <w:r w:rsidR="00467060" w:rsidRPr="00903099">
        <w:t xml:space="preserve"> RA1</w:t>
      </w:r>
      <w:r w:rsidR="00467060" w:rsidRPr="00903099">
        <w:rPr>
          <w:b/>
        </w:rPr>
        <w:t xml:space="preserve"> </w:t>
      </w:r>
      <w:r w:rsidR="00467060" w:rsidRPr="00903099">
        <w:t xml:space="preserve">licence area. The proposed technical specification will permit the new FM transmitter to operate </w:t>
      </w:r>
      <w:r w:rsidR="00EE74F1" w:rsidRPr="00903099">
        <w:t>on the frequency of 95.1</w:t>
      </w:r>
      <w:r w:rsidR="00467060" w:rsidRPr="00903099">
        <w:t xml:space="preserve"> MHz at </w:t>
      </w:r>
      <w:r w:rsidR="00EE74F1" w:rsidRPr="00903099">
        <w:t>10</w:t>
      </w:r>
      <w:r w:rsidR="00467060" w:rsidRPr="00903099">
        <w:t xml:space="preserve"> kW maximum effective radiated power (ERP), with a directional radiation pattern and a maximum antenna height of </w:t>
      </w:r>
      <w:r w:rsidR="00EE74F1" w:rsidRPr="00903099">
        <w:t>45</w:t>
      </w:r>
      <w:r w:rsidR="00467060" w:rsidRPr="00903099">
        <w:t xml:space="preserve"> metres to serve the </w:t>
      </w:r>
      <w:r w:rsidR="00EE74F1" w:rsidRPr="00903099">
        <w:t>Bathurst</w:t>
      </w:r>
      <w:r w:rsidR="00467060" w:rsidRPr="00903099">
        <w:t xml:space="preserve"> area (see </w:t>
      </w:r>
      <w:hyperlink w:anchor="Appendix_B" w:history="1">
        <w:r w:rsidR="00467060" w:rsidRPr="00903099">
          <w:rPr>
            <w:rStyle w:val="Hyperlink"/>
          </w:rPr>
          <w:t>Appendix</w:t>
        </w:r>
        <w:r>
          <w:rPr>
            <w:rStyle w:val="Hyperlink"/>
          </w:rPr>
          <w:t> </w:t>
        </w:r>
        <w:r w:rsidR="00467060" w:rsidRPr="00903099">
          <w:rPr>
            <w:rStyle w:val="Hyperlink"/>
          </w:rPr>
          <w:t>B</w:t>
        </w:r>
      </w:hyperlink>
      <w:r w:rsidR="00EE74F1" w:rsidRPr="00903099">
        <w:t>)</w:t>
      </w:r>
      <w:r>
        <w:t>.</w:t>
      </w:r>
    </w:p>
    <w:p w14:paraId="6E1A60AB" w14:textId="0C5D9A78" w:rsidR="00EE74F1" w:rsidRPr="00903099" w:rsidRDefault="00301553" w:rsidP="00D24383">
      <w:pPr>
        <w:pStyle w:val="ListBulletLast"/>
      </w:pPr>
      <w:r>
        <w:t>V</w:t>
      </w:r>
      <w:r w:rsidR="005B2360" w:rsidRPr="00903099">
        <w:t xml:space="preserve">ary the existing 2BS AM technical specification </w:t>
      </w:r>
      <w:r>
        <w:t>so</w:t>
      </w:r>
      <w:r w:rsidRPr="00903099">
        <w:t xml:space="preserve"> </w:t>
      </w:r>
      <w:r w:rsidR="005B2360" w:rsidRPr="00903099">
        <w:t>that it ceases to have effect 28</w:t>
      </w:r>
      <w:r>
        <w:t> </w:t>
      </w:r>
      <w:r w:rsidR="005B2360" w:rsidRPr="00903099">
        <w:t>days after a service commences using the 2BS FM technical specification.</w:t>
      </w:r>
    </w:p>
    <w:p w14:paraId="539F0CEC" w14:textId="68FF6998" w:rsidR="00CD69AD" w:rsidRPr="00D24383" w:rsidRDefault="00C025CD" w:rsidP="00D24383">
      <w:pPr>
        <w:pStyle w:val="Heading2"/>
      </w:pPr>
      <w:bookmarkStart w:id="12" w:name="_Toc513195737"/>
      <w:r w:rsidRPr="00903099">
        <w:t>Background</w:t>
      </w:r>
      <w:bookmarkEnd w:id="12"/>
    </w:p>
    <w:p w14:paraId="2F3F09C9" w14:textId="70E25EC3" w:rsidR="00151EC7" w:rsidRPr="00903099" w:rsidRDefault="00151EC7" w:rsidP="00151EC7">
      <w:r w:rsidRPr="00903099">
        <w:t>Bathurst is located in the Central Tablelands of N</w:t>
      </w:r>
      <w:r w:rsidR="00337A7C" w:rsidRPr="00903099">
        <w:t xml:space="preserve">ew </w:t>
      </w:r>
      <w:r w:rsidRPr="00903099">
        <w:t>S</w:t>
      </w:r>
      <w:r w:rsidR="00337A7C" w:rsidRPr="00903099">
        <w:t xml:space="preserve">outh </w:t>
      </w:r>
      <w:r w:rsidRPr="00903099">
        <w:t>W</w:t>
      </w:r>
      <w:r w:rsidR="00337A7C" w:rsidRPr="00903099">
        <w:t>ales</w:t>
      </w:r>
      <w:r w:rsidRPr="00903099">
        <w:t>. It is approximately 200 km west of Sydney</w:t>
      </w:r>
      <w:r w:rsidR="005A2F4A" w:rsidRPr="00903099">
        <w:t xml:space="preserve"> and is</w:t>
      </w:r>
      <w:r w:rsidRPr="00903099">
        <w:t xml:space="preserve"> located within the Bathur</w:t>
      </w:r>
      <w:r w:rsidR="00CD706C" w:rsidRPr="00903099">
        <w:t>st RA1 licence area</w:t>
      </w:r>
      <w:r w:rsidR="00301553">
        <w:t>,</w:t>
      </w:r>
      <w:r w:rsidR="00CD706C" w:rsidRPr="00903099">
        <w:t xml:space="preserve"> which is adjacent to</w:t>
      </w:r>
      <w:r w:rsidR="003A532C" w:rsidRPr="00903099">
        <w:t>,</w:t>
      </w:r>
      <w:r w:rsidR="00CD706C" w:rsidRPr="00903099">
        <w:t xml:space="preserve"> </w:t>
      </w:r>
      <w:r w:rsidR="00D751C0" w:rsidRPr="00903099">
        <w:t>and overlaps with</w:t>
      </w:r>
      <w:r w:rsidR="00387260" w:rsidRPr="00903099">
        <w:t>,</w:t>
      </w:r>
      <w:r w:rsidR="00D751C0" w:rsidRPr="00903099">
        <w:t xml:space="preserve"> the Orange RA1</w:t>
      </w:r>
      <w:r w:rsidR="008B2428" w:rsidRPr="00903099">
        <w:t>, Mudgee RA1, Mudgee RA3, Remote North East Zone RA1</w:t>
      </w:r>
      <w:r w:rsidR="00D751C0" w:rsidRPr="00903099">
        <w:t xml:space="preserve"> </w:t>
      </w:r>
      <w:r w:rsidR="00387260" w:rsidRPr="00903099">
        <w:t xml:space="preserve">and Lithgow RA1 </w:t>
      </w:r>
      <w:r w:rsidR="00126763" w:rsidRPr="00903099">
        <w:t xml:space="preserve">commercial radio </w:t>
      </w:r>
      <w:r w:rsidR="00D751C0" w:rsidRPr="00903099">
        <w:t>lic</w:t>
      </w:r>
      <w:r w:rsidR="003A1688" w:rsidRPr="00903099">
        <w:t>ence area</w:t>
      </w:r>
      <w:r w:rsidR="00387260" w:rsidRPr="00903099">
        <w:t>s</w:t>
      </w:r>
      <w:r w:rsidR="003A1688" w:rsidRPr="00903099">
        <w:t xml:space="preserve">. </w:t>
      </w:r>
      <w:r w:rsidR="00A317A8" w:rsidRPr="00903099">
        <w:t>The Bathurst RA1 licence</w:t>
      </w:r>
      <w:r w:rsidR="00410018" w:rsidRPr="00903099">
        <w:t xml:space="preserve"> area population is</w:t>
      </w:r>
      <w:r w:rsidR="00116416" w:rsidRPr="00903099">
        <w:t xml:space="preserve"> 48,268.</w:t>
      </w:r>
      <w:r w:rsidR="00116416" w:rsidRPr="00903099">
        <w:rPr>
          <w:rStyle w:val="FootnoteReference"/>
        </w:rPr>
        <w:footnoteReference w:id="6"/>
      </w:r>
      <w:r w:rsidR="000E0DFD" w:rsidRPr="00903099">
        <w:t xml:space="preserve"> </w:t>
      </w:r>
    </w:p>
    <w:p w14:paraId="7A2EB4DF" w14:textId="79A53EF0" w:rsidR="000E0DFD" w:rsidRPr="00903099" w:rsidRDefault="00EB742A" w:rsidP="007C61C1">
      <w:r w:rsidRPr="00903099">
        <w:t>The</w:t>
      </w:r>
      <w:r w:rsidR="008B2809" w:rsidRPr="00903099">
        <w:t xml:space="preserve"> two commercial radio broadcasting services planned for the Bathurst region in the Bathurst RA1 licence area are licensed to Bathurst Broadcasters Pty Ltd (Bathurst Broadcasters).</w:t>
      </w:r>
      <w:r w:rsidR="003A532C" w:rsidRPr="00903099">
        <w:t xml:space="preserve"> The </w:t>
      </w:r>
      <w:r w:rsidR="00E91BB9" w:rsidRPr="00903099">
        <w:t xml:space="preserve">AM </w:t>
      </w:r>
      <w:r w:rsidR="003A532C" w:rsidRPr="00903099">
        <w:t>transmitter for the commercial radio broadcasting service</w:t>
      </w:r>
      <w:r w:rsidR="000E0DFD" w:rsidRPr="00903099">
        <w:t xml:space="preserve"> </w:t>
      </w:r>
      <w:r w:rsidR="008B2809" w:rsidRPr="00903099">
        <w:t xml:space="preserve">‘1503 </w:t>
      </w:r>
      <w:r w:rsidRPr="00903099">
        <w:t>2BS</w:t>
      </w:r>
      <w:r w:rsidR="008B2809" w:rsidRPr="00903099">
        <w:t xml:space="preserve"> Gold’ (2BS) is planned in the Bathurst LAP to operate on</w:t>
      </w:r>
      <w:r w:rsidR="00E91BB9" w:rsidRPr="00903099">
        <w:t xml:space="preserve"> the</w:t>
      </w:r>
      <w:r w:rsidR="008B2809" w:rsidRPr="00903099">
        <w:t xml:space="preserve"> frequency 1503 kHz</w:t>
      </w:r>
      <w:r w:rsidR="00E91BB9" w:rsidRPr="00903099">
        <w:t>,</w:t>
      </w:r>
      <w:r w:rsidR="008B2809" w:rsidRPr="00903099">
        <w:t xml:space="preserve"> with a maximum </w:t>
      </w:r>
      <w:proofErr w:type="spellStart"/>
      <w:r w:rsidR="008B2809" w:rsidRPr="00903099">
        <w:t>cymomotive</w:t>
      </w:r>
      <w:proofErr w:type="spellEnd"/>
      <w:r w:rsidR="008B2809" w:rsidRPr="00903099">
        <w:t xml:space="preserve"> force (CMF) of 1055 V </w:t>
      </w:r>
      <w:r w:rsidR="00A57A90" w:rsidRPr="00903099">
        <w:t>from</w:t>
      </w:r>
      <w:r w:rsidR="008B2809" w:rsidRPr="00903099">
        <w:t xml:space="preserve"> the transmitter site ‘Broa</w:t>
      </w:r>
      <w:r w:rsidR="000E0DFD" w:rsidRPr="00903099">
        <w:t>dcast Site Freemantle Rd, Eglin</w:t>
      </w:r>
      <w:r w:rsidR="008B2809" w:rsidRPr="00903099">
        <w:t xml:space="preserve">ton’ with a </w:t>
      </w:r>
      <w:r w:rsidR="00434F69" w:rsidRPr="00903099">
        <w:t>directional radiation pattern.</w:t>
      </w:r>
      <w:r w:rsidR="003A532C" w:rsidRPr="00903099">
        <w:t xml:space="preserve"> </w:t>
      </w:r>
    </w:p>
    <w:p w14:paraId="7AF4B328" w14:textId="57A0143F" w:rsidR="008B2809" w:rsidRPr="00903099" w:rsidRDefault="003A532C" w:rsidP="007C61C1">
      <w:r w:rsidRPr="00903099">
        <w:t xml:space="preserve">The transmitter for the </w:t>
      </w:r>
      <w:r w:rsidR="00E91BB9" w:rsidRPr="00903099">
        <w:t>section 39</w:t>
      </w:r>
      <w:r w:rsidRPr="00903099">
        <w:t xml:space="preserve"> commercial radio broadcasting service</w:t>
      </w:r>
      <w:r w:rsidR="000E0DFD" w:rsidRPr="00903099">
        <w:t xml:space="preserve"> ‘</w:t>
      </w:r>
      <w:r w:rsidR="00434F69" w:rsidRPr="00903099">
        <w:t xml:space="preserve">99.3 </w:t>
      </w:r>
      <w:proofErr w:type="spellStart"/>
      <w:r w:rsidR="00434F69" w:rsidRPr="00903099">
        <w:t>BRock</w:t>
      </w:r>
      <w:proofErr w:type="spellEnd"/>
      <w:r w:rsidR="00434F69" w:rsidRPr="00903099">
        <w:t>’ (2BXS) is planned in the Bathurst LAP to operate on frequency 99.3 MHz, with a maximum ERP of 10 kW from a nominal location ‘Bathurst Broadcasters Site Gulf Forest Rd 2 km North of Yetholme’</w:t>
      </w:r>
      <w:r w:rsidR="00E91BB9" w:rsidRPr="00903099">
        <w:t>,</w:t>
      </w:r>
      <w:r w:rsidR="00434F69" w:rsidRPr="00903099">
        <w:t xml:space="preserve"> with an </w:t>
      </w:r>
      <w:proofErr w:type="spellStart"/>
      <w:r w:rsidR="00434F69" w:rsidRPr="00903099">
        <w:t>omni</w:t>
      </w:r>
      <w:proofErr w:type="spellEnd"/>
      <w:r w:rsidR="00434F69" w:rsidRPr="00903099">
        <w:t>-directional radiation pattern</w:t>
      </w:r>
      <w:r w:rsidR="000E0DFD" w:rsidRPr="00903099">
        <w:t xml:space="preserve"> and a maximum antenna height of 45 metres</w:t>
      </w:r>
      <w:r w:rsidR="00434F69" w:rsidRPr="00903099">
        <w:t>.</w:t>
      </w:r>
    </w:p>
    <w:p w14:paraId="3CDB5999" w14:textId="68A2353D" w:rsidR="00D35491" w:rsidRPr="00D24383" w:rsidRDefault="00D35491" w:rsidP="00B455DB">
      <w:pPr>
        <w:pStyle w:val="Heading2"/>
        <w:keepLines/>
      </w:pPr>
      <w:bookmarkStart w:id="13" w:name="_Toc513195738"/>
      <w:r w:rsidRPr="00903099">
        <w:lastRenderedPageBreak/>
        <w:t>Engineering analysis</w:t>
      </w:r>
      <w:bookmarkEnd w:id="13"/>
      <w:r w:rsidRPr="00903099">
        <w:t xml:space="preserve"> </w:t>
      </w:r>
    </w:p>
    <w:p w14:paraId="6E28497C" w14:textId="6483D831" w:rsidR="00CD706C" w:rsidRPr="00903099" w:rsidRDefault="00CD706C" w:rsidP="00B455DB">
      <w:pPr>
        <w:pStyle w:val="Heading3"/>
        <w:keepLines/>
      </w:pPr>
      <w:bookmarkStart w:id="14" w:name="_Toc513195739"/>
      <w:r w:rsidRPr="00903099">
        <w:t xml:space="preserve">Proposed </w:t>
      </w:r>
      <w:r w:rsidR="00E81F1B" w:rsidRPr="00903099">
        <w:t xml:space="preserve">use </w:t>
      </w:r>
      <w:r w:rsidRPr="00903099">
        <w:t xml:space="preserve">of 95.1 MHz for </w:t>
      </w:r>
      <w:r w:rsidR="008C0ED2" w:rsidRPr="00D24383">
        <w:t>converted</w:t>
      </w:r>
      <w:r w:rsidR="008C0ED2" w:rsidRPr="00903099">
        <w:t xml:space="preserve"> 2BS</w:t>
      </w:r>
      <w:r w:rsidRPr="00903099">
        <w:t xml:space="preserve"> service</w:t>
      </w:r>
      <w:bookmarkEnd w:id="14"/>
    </w:p>
    <w:p w14:paraId="64BB9AE5" w14:textId="3DD97FEC" w:rsidR="006B3245" w:rsidRPr="00903099" w:rsidRDefault="008C5E78" w:rsidP="00B455DB">
      <w:pPr>
        <w:keepNext/>
        <w:keepLines/>
      </w:pPr>
      <w:r w:rsidRPr="00903099">
        <w:t>In considering an AM</w:t>
      </w:r>
      <w:r w:rsidR="00C90531">
        <w:t>–</w:t>
      </w:r>
      <w:r w:rsidRPr="00903099">
        <w:t xml:space="preserve">FM conversion, </w:t>
      </w:r>
      <w:r w:rsidR="00C90531">
        <w:t>we study</w:t>
      </w:r>
      <w:r w:rsidR="006B3245" w:rsidRPr="00903099">
        <w:t xml:space="preserve"> </w:t>
      </w:r>
      <w:r w:rsidRPr="00903099">
        <w:t>the</w:t>
      </w:r>
      <w:r w:rsidR="006B3245" w:rsidRPr="00903099">
        <w:t xml:space="preserve"> impact </w:t>
      </w:r>
      <w:r w:rsidR="00CE5ADF" w:rsidRPr="00903099">
        <w:t>the conversion</w:t>
      </w:r>
      <w:r w:rsidRPr="00903099">
        <w:t xml:space="preserve"> m</w:t>
      </w:r>
      <w:r w:rsidR="006B3245" w:rsidRPr="00903099">
        <w:t>ay have on future planning options for other radio services. This includes a concurrent request for a variation to a LAP for an AM–FM conversion in an adjacent licence area where competition for suitable spectrum may arise</w:t>
      </w:r>
      <w:r w:rsidR="00C90531">
        <w:t xml:space="preserve"> (</w:t>
      </w:r>
      <w:r w:rsidR="00C90531" w:rsidRPr="00903099">
        <w:rPr>
          <w:rFonts w:cs="Arial"/>
          <w:szCs w:val="20"/>
        </w:rPr>
        <w:t>the AM–FM guidance</w:t>
      </w:r>
      <w:r w:rsidR="00C90531">
        <w:rPr>
          <w:rFonts w:cs="Arial"/>
          <w:szCs w:val="20"/>
        </w:rPr>
        <w:t>, p.</w:t>
      </w:r>
      <w:r w:rsidR="00340FE3">
        <w:rPr>
          <w:rFonts w:cs="Arial"/>
          <w:szCs w:val="20"/>
        </w:rPr>
        <w:t> </w:t>
      </w:r>
      <w:r w:rsidR="00C90531">
        <w:rPr>
          <w:rFonts w:cs="Arial"/>
          <w:szCs w:val="20"/>
        </w:rPr>
        <w:t>4)</w:t>
      </w:r>
      <w:r w:rsidR="006B3245" w:rsidRPr="00903099">
        <w:t xml:space="preserve">. </w:t>
      </w:r>
      <w:r w:rsidR="00340FE3">
        <w:t>T</w:t>
      </w:r>
      <w:r w:rsidR="00340FE3" w:rsidRPr="00903099">
        <w:t>o achieve the optimal planning outcome in each circumstance</w:t>
      </w:r>
      <w:r w:rsidR="00340FE3">
        <w:t>, we</w:t>
      </w:r>
      <w:r w:rsidR="006B3245" w:rsidRPr="00903099">
        <w:t xml:space="preserve"> will give careful consideration to the competing use of broadcasting spectrum on a case-by-case basis. Such consideration of the most efficient use of spectrum will be undertaken with regard to the planning criteria in section 23 and the objects of the Act</w:t>
      </w:r>
      <w:r w:rsidR="00340FE3">
        <w:t xml:space="preserve"> (</w:t>
      </w:r>
      <w:r w:rsidR="00340FE3" w:rsidRPr="00903099">
        <w:rPr>
          <w:rFonts w:cs="Arial"/>
          <w:szCs w:val="20"/>
        </w:rPr>
        <w:t>the AM–FM guidance</w:t>
      </w:r>
      <w:r w:rsidR="00340FE3">
        <w:rPr>
          <w:rFonts w:cs="Arial"/>
          <w:szCs w:val="20"/>
        </w:rPr>
        <w:t>, p. 5)</w:t>
      </w:r>
      <w:r w:rsidR="006B3245" w:rsidRPr="00903099">
        <w:t>.</w:t>
      </w:r>
    </w:p>
    <w:p w14:paraId="30B39469" w14:textId="6BD7E748" w:rsidR="004D787E" w:rsidRPr="00D24383" w:rsidRDefault="004D787E" w:rsidP="00D24383">
      <w:pPr>
        <w:pStyle w:val="Bodysubheader0"/>
      </w:pPr>
      <w:r w:rsidRPr="00903099">
        <w:t>Potential</w:t>
      </w:r>
      <w:r w:rsidR="005C2CF0" w:rsidRPr="00903099">
        <w:t xml:space="preserve"> use </w:t>
      </w:r>
      <w:r w:rsidR="000B3E45" w:rsidRPr="00903099">
        <w:t xml:space="preserve">of 95.1 MHz </w:t>
      </w:r>
      <w:r w:rsidR="005C2CF0" w:rsidRPr="00903099">
        <w:t xml:space="preserve">for a Remote </w:t>
      </w:r>
      <w:r w:rsidR="00002A10" w:rsidRPr="00903099">
        <w:t xml:space="preserve">North East </w:t>
      </w:r>
      <w:r w:rsidR="005C2CF0" w:rsidRPr="00903099">
        <w:t>Zone s</w:t>
      </w:r>
      <w:r w:rsidR="00D24383">
        <w:t>ervice</w:t>
      </w:r>
    </w:p>
    <w:p w14:paraId="59538E48" w14:textId="4BD3D48E" w:rsidR="00CD706C" w:rsidRPr="00903099" w:rsidRDefault="00AE17B9" w:rsidP="00D24383">
      <w:r w:rsidRPr="00903099">
        <w:t xml:space="preserve">In July 2013, </w:t>
      </w:r>
      <w:r w:rsidR="00340FE3">
        <w:t>we</w:t>
      </w:r>
      <w:r w:rsidRPr="00903099">
        <w:t xml:space="preserve"> consulted on a </w:t>
      </w:r>
      <w:r w:rsidR="0080571C" w:rsidRPr="00903099">
        <w:t>preliminary view</w:t>
      </w:r>
      <w:r w:rsidRPr="00903099">
        <w:t xml:space="preserve"> to vary the </w:t>
      </w:r>
      <w:r w:rsidR="00F176FF" w:rsidRPr="00D02C41">
        <w:t>Remote Central and Eastern Australia Radio</w:t>
      </w:r>
      <w:r w:rsidR="00F176FF" w:rsidRPr="00903099">
        <w:t xml:space="preserve"> </w:t>
      </w:r>
      <w:r w:rsidR="00340FE3">
        <w:t xml:space="preserve">LAP </w:t>
      </w:r>
      <w:r w:rsidR="00F176FF" w:rsidRPr="00903099">
        <w:t xml:space="preserve">(remote LAP). </w:t>
      </w:r>
      <w:r w:rsidR="00D46C0E" w:rsidRPr="00903099">
        <w:t>The preliminary view</w:t>
      </w:r>
      <w:r w:rsidR="00F176FF" w:rsidRPr="00903099">
        <w:t xml:space="preserve"> </w:t>
      </w:r>
      <w:r w:rsidR="0080571C" w:rsidRPr="00903099">
        <w:t xml:space="preserve">proposed </w:t>
      </w:r>
      <w:r w:rsidR="00793B3B" w:rsidRPr="00903099">
        <w:t>making available new spectrum</w:t>
      </w:r>
      <w:r w:rsidR="0080571C" w:rsidRPr="00903099">
        <w:t xml:space="preserve"> </w:t>
      </w:r>
      <w:r w:rsidRPr="00903099">
        <w:t xml:space="preserve">for a broadcasting service in </w:t>
      </w:r>
      <w:proofErr w:type="spellStart"/>
      <w:r w:rsidRPr="00903099">
        <w:t>Bocoble</w:t>
      </w:r>
      <w:proofErr w:type="spellEnd"/>
      <w:r w:rsidRPr="00903099">
        <w:t>, New South Wales</w:t>
      </w:r>
      <w:r w:rsidR="00793B3B" w:rsidRPr="00903099">
        <w:t xml:space="preserve">, </w:t>
      </w:r>
      <w:r w:rsidR="00340FE3">
        <w:t>on</w:t>
      </w:r>
      <w:r w:rsidR="00793B3B" w:rsidRPr="00903099">
        <w:t xml:space="preserve"> the frequency 95.1 MHz</w:t>
      </w:r>
      <w:r w:rsidRPr="00903099">
        <w:t xml:space="preserve">. </w:t>
      </w:r>
      <w:r w:rsidR="0080571C" w:rsidRPr="00903099">
        <w:t xml:space="preserve">After </w:t>
      </w:r>
      <w:r w:rsidR="00340FE3">
        <w:t>reviewing</w:t>
      </w:r>
      <w:r w:rsidR="00340FE3" w:rsidRPr="00903099">
        <w:t xml:space="preserve"> </w:t>
      </w:r>
      <w:r w:rsidR="00E81F1B" w:rsidRPr="00903099">
        <w:t xml:space="preserve">the engineering assessment for the </w:t>
      </w:r>
      <w:r w:rsidR="004D787E" w:rsidRPr="00903099">
        <w:t>Bathurst AM</w:t>
      </w:r>
      <w:r w:rsidR="00E81F1B" w:rsidRPr="00903099">
        <w:t xml:space="preserve">–FM conversion request, </w:t>
      </w:r>
      <w:r w:rsidR="00340FE3">
        <w:t>we</w:t>
      </w:r>
      <w:r w:rsidR="00E81F1B" w:rsidRPr="00903099">
        <w:t xml:space="preserve"> </w:t>
      </w:r>
      <w:r w:rsidR="0080571C" w:rsidRPr="00903099">
        <w:t>considered</w:t>
      </w:r>
      <w:r w:rsidR="00E81F1B" w:rsidRPr="00903099">
        <w:t xml:space="preserve"> </w:t>
      </w:r>
      <w:r w:rsidR="00CD706C" w:rsidRPr="00903099">
        <w:t>the high</w:t>
      </w:r>
      <w:r w:rsidR="00340FE3">
        <w:t>-</w:t>
      </w:r>
      <w:r w:rsidR="00CD706C" w:rsidRPr="00903099">
        <w:t xml:space="preserve">powered frequency 95.1 MHz </w:t>
      </w:r>
      <w:r w:rsidR="0080571C" w:rsidRPr="00903099">
        <w:t>wa</w:t>
      </w:r>
      <w:r w:rsidR="00B66F81" w:rsidRPr="00903099">
        <w:t xml:space="preserve">s </w:t>
      </w:r>
      <w:r w:rsidR="00CD706C" w:rsidRPr="00903099">
        <w:t xml:space="preserve">more suitable for an </w:t>
      </w:r>
      <w:r w:rsidR="00893733" w:rsidRPr="00903099">
        <w:t>AM–FM</w:t>
      </w:r>
      <w:r w:rsidR="00CD706C" w:rsidRPr="00903099">
        <w:t xml:space="preserve"> conversion. Alternative frequencies </w:t>
      </w:r>
      <w:r w:rsidR="00231800" w:rsidRPr="00903099">
        <w:t xml:space="preserve">for </w:t>
      </w:r>
      <w:proofErr w:type="spellStart"/>
      <w:r w:rsidR="00231800" w:rsidRPr="00903099">
        <w:t>Bocoble</w:t>
      </w:r>
      <w:proofErr w:type="spellEnd"/>
      <w:r w:rsidR="00231800" w:rsidRPr="00903099">
        <w:t xml:space="preserve"> </w:t>
      </w:r>
      <w:r w:rsidR="00FE17C5" w:rsidRPr="00903099">
        <w:t xml:space="preserve">were </w:t>
      </w:r>
      <w:r w:rsidR="002A41AE" w:rsidRPr="00903099">
        <w:t xml:space="preserve">subsequently </w:t>
      </w:r>
      <w:r w:rsidR="00B07CF3" w:rsidRPr="00903099">
        <w:t>consulted on and approved by the ACMA</w:t>
      </w:r>
      <w:r w:rsidR="002A41AE" w:rsidRPr="00903099">
        <w:t xml:space="preserve"> in December 2017.</w:t>
      </w:r>
      <w:r w:rsidR="00FE17C5" w:rsidRPr="00903099">
        <w:rPr>
          <w:rStyle w:val="FootnoteReference"/>
        </w:rPr>
        <w:footnoteReference w:id="7"/>
      </w:r>
      <w:r w:rsidR="002A41AE" w:rsidRPr="00903099">
        <w:t xml:space="preserve"> </w:t>
      </w:r>
    </w:p>
    <w:p w14:paraId="1EE61EAC" w14:textId="0D77E6A1" w:rsidR="006B3245" w:rsidRPr="00903099" w:rsidRDefault="004D787E" w:rsidP="00D24383">
      <w:pPr>
        <w:pStyle w:val="Bodysubheader0"/>
      </w:pPr>
      <w:r w:rsidRPr="00903099">
        <w:t xml:space="preserve">Potential use for </w:t>
      </w:r>
      <w:r w:rsidR="006B3245" w:rsidRPr="00903099">
        <w:t xml:space="preserve">either Bathurst </w:t>
      </w:r>
      <w:r w:rsidR="003A154B" w:rsidRPr="00903099">
        <w:t xml:space="preserve">RA1 </w:t>
      </w:r>
      <w:r w:rsidR="006B3245" w:rsidRPr="00903099">
        <w:t>or</w:t>
      </w:r>
      <w:r w:rsidRPr="00903099">
        <w:t xml:space="preserve"> Lithgow RA1 AM–FM conversion</w:t>
      </w:r>
    </w:p>
    <w:p w14:paraId="5288764F" w14:textId="1EE887A9" w:rsidR="00725342" w:rsidRPr="00903099" w:rsidRDefault="004D787E" w:rsidP="00C514E2">
      <w:r w:rsidRPr="00903099">
        <w:t>T</w:t>
      </w:r>
      <w:r w:rsidR="00CD706C" w:rsidRPr="00903099">
        <w:t>he ACMA</w:t>
      </w:r>
      <w:r w:rsidRPr="00903099">
        <w:t xml:space="preserve"> </w:t>
      </w:r>
      <w:r w:rsidR="009C476C" w:rsidRPr="00903099">
        <w:t xml:space="preserve">has </w:t>
      </w:r>
      <w:r w:rsidRPr="00903099">
        <w:t>also</w:t>
      </w:r>
      <w:r w:rsidR="00793B3B" w:rsidRPr="00903099">
        <w:t xml:space="preserve"> received a</w:t>
      </w:r>
      <w:r w:rsidR="00CD706C" w:rsidRPr="00903099">
        <w:t xml:space="preserve"> </w:t>
      </w:r>
      <w:r w:rsidR="00793B3B" w:rsidRPr="00903099">
        <w:t>request</w:t>
      </w:r>
      <w:r w:rsidR="00CD706C" w:rsidRPr="00903099">
        <w:t xml:space="preserve"> for an </w:t>
      </w:r>
      <w:r w:rsidR="00893733" w:rsidRPr="00903099">
        <w:t>AM–FM</w:t>
      </w:r>
      <w:r w:rsidR="00CD706C" w:rsidRPr="00903099">
        <w:t xml:space="preserve"> conversion from Midwest Radio Pty Ltd (Midwest)</w:t>
      </w:r>
      <w:r w:rsidR="002501EE" w:rsidRPr="00903099">
        <w:t>,</w:t>
      </w:r>
      <w:r w:rsidR="00CD706C" w:rsidRPr="00903099">
        <w:t xml:space="preserve"> the</w:t>
      </w:r>
      <w:r w:rsidR="00B66F81" w:rsidRPr="00903099">
        <w:t xml:space="preserve"> commercial radio broadcasting</w:t>
      </w:r>
      <w:r w:rsidR="00CD706C" w:rsidRPr="00903099">
        <w:t xml:space="preserve"> licensee of the AM service 2LT</w:t>
      </w:r>
      <w:r w:rsidR="00AE4DE8" w:rsidRPr="00903099">
        <w:t>,</w:t>
      </w:r>
      <w:r w:rsidR="00CD706C" w:rsidRPr="00903099">
        <w:t xml:space="preserve"> in the adjacent licence area of Lithgow RA1.</w:t>
      </w:r>
      <w:r w:rsidR="00881267" w:rsidRPr="00903099">
        <w:t xml:space="preserve"> </w:t>
      </w:r>
      <w:r w:rsidR="009C476C" w:rsidRPr="00903099">
        <w:t xml:space="preserve">Given the proximity of the two markets, </w:t>
      </w:r>
      <w:r w:rsidR="00EE57A9">
        <w:t>we</w:t>
      </w:r>
      <w:r w:rsidRPr="00903099">
        <w:t xml:space="preserve"> </w:t>
      </w:r>
      <w:r w:rsidR="00825E42" w:rsidRPr="00903099">
        <w:t xml:space="preserve">compared </w:t>
      </w:r>
      <w:r w:rsidR="00BB64AA" w:rsidRPr="00903099">
        <w:t xml:space="preserve">the spectrum efficiency of allocating the 95.1 MHz frequency </w:t>
      </w:r>
      <w:r w:rsidR="00F1612F" w:rsidRPr="00903099">
        <w:t>to either</w:t>
      </w:r>
      <w:r w:rsidR="00DF7D36" w:rsidRPr="00903099">
        <w:t xml:space="preserve"> </w:t>
      </w:r>
      <w:r w:rsidR="00744F5A">
        <w:t xml:space="preserve">the </w:t>
      </w:r>
      <w:r w:rsidR="00BB64AA" w:rsidRPr="00903099">
        <w:t>Bathurst</w:t>
      </w:r>
      <w:r w:rsidR="00F3770A" w:rsidRPr="00903099">
        <w:t xml:space="preserve"> (2BS)</w:t>
      </w:r>
      <w:r w:rsidR="00BB64AA" w:rsidRPr="00903099">
        <w:t xml:space="preserve"> </w:t>
      </w:r>
      <w:r w:rsidR="00DF7D36" w:rsidRPr="00903099">
        <w:t xml:space="preserve">or </w:t>
      </w:r>
      <w:r w:rsidR="00BB64AA" w:rsidRPr="00903099">
        <w:t>Lithgo</w:t>
      </w:r>
      <w:r w:rsidR="00DF7D36" w:rsidRPr="00903099">
        <w:t>w</w:t>
      </w:r>
      <w:r w:rsidR="00F3770A" w:rsidRPr="00903099">
        <w:t xml:space="preserve"> (2LT)</w:t>
      </w:r>
      <w:r w:rsidR="00B94DA6" w:rsidRPr="00903099">
        <w:t xml:space="preserve"> services</w:t>
      </w:r>
      <w:r w:rsidR="00DF7D36" w:rsidRPr="00903099">
        <w:t>.</w:t>
      </w:r>
      <w:r w:rsidR="00BB64AA" w:rsidRPr="00903099">
        <w:t xml:space="preserve"> </w:t>
      </w:r>
    </w:p>
    <w:p w14:paraId="618DBC4C" w14:textId="59A92F77" w:rsidR="00BB64AA" w:rsidRPr="00903099" w:rsidRDefault="00793B3B" w:rsidP="00C514E2">
      <w:r w:rsidRPr="00903099">
        <w:t>Engineering p</w:t>
      </w:r>
      <w:r w:rsidR="00002A10" w:rsidRPr="00903099">
        <w:t>redictions indicated that, in general, a transmission on 95.1 MHz for a 10</w:t>
      </w:r>
      <w:r w:rsidR="00EE57A9">
        <w:t> </w:t>
      </w:r>
      <w:r w:rsidR="00002A10" w:rsidRPr="00903099">
        <w:t>kW ERP Bathurst FM service has lower potential for interference to (and from) other services</w:t>
      </w:r>
      <w:r w:rsidR="009C476C" w:rsidRPr="00903099">
        <w:t>,</w:t>
      </w:r>
      <w:r w:rsidR="00002A10" w:rsidRPr="00903099">
        <w:t xml:space="preserve"> while providing greater geographic and population coverage, when compared to a transmission on 95.1 MHz for a 10 kW ERP Lithgow FM service.</w:t>
      </w:r>
    </w:p>
    <w:p w14:paraId="082884E3" w14:textId="4A8ED699" w:rsidR="00C514E2" w:rsidRPr="00903099" w:rsidRDefault="00C514E2" w:rsidP="00041B3D">
      <w:r w:rsidRPr="00903099">
        <w:t xml:space="preserve">The ACMA </w:t>
      </w:r>
      <w:r w:rsidR="00793B3B" w:rsidRPr="00903099">
        <w:t xml:space="preserve">has formed the </w:t>
      </w:r>
      <w:r w:rsidR="00744F5A">
        <w:t xml:space="preserve">preliminary </w:t>
      </w:r>
      <w:r w:rsidR="00793B3B" w:rsidRPr="00903099">
        <w:t>view</w:t>
      </w:r>
      <w:r w:rsidRPr="00903099">
        <w:t xml:space="preserve"> that </w:t>
      </w:r>
      <w:r w:rsidR="00032A0A" w:rsidRPr="00903099">
        <w:t xml:space="preserve">use of 95.1 MHz for Bathurst AM–FM conversion </w:t>
      </w:r>
      <w:r w:rsidR="00EE57A9">
        <w:t>i</w:t>
      </w:r>
      <w:r w:rsidR="00032A0A" w:rsidRPr="00903099">
        <w:t xml:space="preserve">s a more economic and efficient use of spectrum than the alternative use for a Lithgow conversion. </w:t>
      </w:r>
    </w:p>
    <w:p w14:paraId="42A55DE3" w14:textId="71FD8D0C" w:rsidR="009C476C" w:rsidRPr="00903099" w:rsidRDefault="009C476C" w:rsidP="00BB64AA">
      <w:r w:rsidRPr="00903099">
        <w:t>Meanwhile</w:t>
      </w:r>
      <w:r w:rsidR="00744F5A">
        <w:t>,</w:t>
      </w:r>
      <w:r w:rsidRPr="00903099">
        <w:t xml:space="preserve"> a</w:t>
      </w:r>
      <w:r w:rsidR="00032A0A" w:rsidRPr="00903099">
        <w:t xml:space="preserve">n industry consultant </w:t>
      </w:r>
      <w:r w:rsidR="00041B3D" w:rsidRPr="00903099">
        <w:t xml:space="preserve">engaged by </w:t>
      </w:r>
      <w:r w:rsidR="00793B3B" w:rsidRPr="00903099">
        <w:t>Midwest</w:t>
      </w:r>
      <w:r w:rsidR="00041B3D" w:rsidRPr="00903099">
        <w:t xml:space="preserve"> </w:t>
      </w:r>
      <w:r w:rsidR="00032A0A" w:rsidRPr="00903099">
        <w:t xml:space="preserve">has identified an alternative </w:t>
      </w:r>
      <w:r w:rsidR="00041B3D" w:rsidRPr="00903099">
        <w:t>frequency</w:t>
      </w:r>
      <w:r w:rsidR="00032A0A" w:rsidRPr="00903099">
        <w:t xml:space="preserve"> suitable for the Lithgow </w:t>
      </w:r>
      <w:r w:rsidR="00041B3D" w:rsidRPr="00903099">
        <w:t>conversion</w:t>
      </w:r>
      <w:r w:rsidR="00032A0A" w:rsidRPr="00903099">
        <w:t xml:space="preserve">. </w:t>
      </w:r>
      <w:r w:rsidRPr="00903099">
        <w:t>Accordingly, the issue of competition for suitable spectrum between Bathurst and Lithgow</w:t>
      </w:r>
      <w:r w:rsidR="00744F5A">
        <w:t xml:space="preserve"> should</w:t>
      </w:r>
      <w:r w:rsidRPr="00903099">
        <w:t xml:space="preserve"> </w:t>
      </w:r>
      <w:r w:rsidR="00653C9D" w:rsidRPr="00903099">
        <w:t>no longer</w:t>
      </w:r>
      <w:r w:rsidRPr="00903099">
        <w:t xml:space="preserve"> arise. </w:t>
      </w:r>
      <w:r w:rsidR="00D7407B">
        <w:t>We</w:t>
      </w:r>
      <w:r w:rsidR="00041B3D" w:rsidRPr="00903099">
        <w:t xml:space="preserve"> will consult separately on </w:t>
      </w:r>
      <w:r w:rsidRPr="00903099">
        <w:t>AM</w:t>
      </w:r>
      <w:r w:rsidR="00D7407B">
        <w:t>–</w:t>
      </w:r>
      <w:r w:rsidRPr="00903099">
        <w:t xml:space="preserve">FM conversion in Lithgow </w:t>
      </w:r>
      <w:r w:rsidR="00653C9D" w:rsidRPr="00903099">
        <w:t xml:space="preserve">as a matter of </w:t>
      </w:r>
      <w:r w:rsidR="002B2A17">
        <w:t>priority</w:t>
      </w:r>
      <w:r w:rsidR="00653C9D" w:rsidRPr="00903099">
        <w:t xml:space="preserve">, </w:t>
      </w:r>
      <w:r w:rsidRPr="00903099">
        <w:t>following receipt of an acceptable engineering proposal from the consultant</w:t>
      </w:r>
      <w:r w:rsidR="00881267" w:rsidRPr="00903099">
        <w:t>.</w:t>
      </w:r>
      <w:r w:rsidR="00041B3D" w:rsidRPr="00903099">
        <w:t xml:space="preserve"> </w:t>
      </w:r>
    </w:p>
    <w:p w14:paraId="1B7688BC" w14:textId="2718ED83" w:rsidR="009C19B1" w:rsidRPr="00D24383" w:rsidRDefault="009C19B1" w:rsidP="00D24383">
      <w:pPr>
        <w:pStyle w:val="Heading3"/>
      </w:pPr>
      <w:bookmarkStart w:id="15" w:name="_Toc513195740"/>
      <w:r w:rsidRPr="00903099">
        <w:lastRenderedPageBreak/>
        <w:t>Coverage prediction—proposed 95.1 MHz service compared with AM service</w:t>
      </w:r>
      <w:r w:rsidR="00793B3B" w:rsidRPr="00903099">
        <w:t xml:space="preserve"> in Bathurst RA1 licence area</w:t>
      </w:r>
      <w:bookmarkEnd w:id="15"/>
    </w:p>
    <w:p w14:paraId="0F59591C" w14:textId="6FD223F9" w:rsidR="009C19B1" w:rsidRPr="00903099" w:rsidRDefault="009C19B1" w:rsidP="009C19B1">
      <w:r w:rsidRPr="00903099">
        <w:t xml:space="preserve">Currently, the 2BS </w:t>
      </w:r>
      <w:r w:rsidR="00DD2EFC" w:rsidRPr="00903099">
        <w:t xml:space="preserve">AM </w:t>
      </w:r>
      <w:r w:rsidRPr="00903099">
        <w:t xml:space="preserve">service has </w:t>
      </w:r>
      <w:r w:rsidR="00F02AED" w:rsidRPr="00903099">
        <w:t>four</w:t>
      </w:r>
      <w:r w:rsidRPr="00903099">
        <w:t xml:space="preserve"> FM infill transmitter</w:t>
      </w:r>
      <w:r w:rsidR="00F02AED" w:rsidRPr="00903099">
        <w:t>s</w:t>
      </w:r>
      <w:r w:rsidRPr="00903099">
        <w:t xml:space="preserve"> planned and operating at </w:t>
      </w:r>
      <w:r w:rsidR="00F02AED" w:rsidRPr="00903099">
        <w:t>Blayney, Burraga, Oberon and Sofala</w:t>
      </w:r>
      <w:r w:rsidRPr="00903099">
        <w:t xml:space="preserve">. </w:t>
      </w:r>
      <w:r w:rsidR="00D7407B">
        <w:t>T</w:t>
      </w:r>
      <w:r w:rsidR="00D7407B" w:rsidRPr="00903099">
        <w:t>o minimise any potential coverage loss</w:t>
      </w:r>
      <w:r w:rsidR="00D7407B">
        <w:t>, t</w:t>
      </w:r>
      <w:r w:rsidR="00F02AED" w:rsidRPr="00903099">
        <w:t xml:space="preserve">he licensee proposes to retain these four FM infill transmitters </w:t>
      </w:r>
      <w:r w:rsidR="00744F5A">
        <w:t xml:space="preserve">if </w:t>
      </w:r>
      <w:r w:rsidR="00F02AED" w:rsidRPr="00903099">
        <w:t>the service converts to FM</w:t>
      </w:r>
      <w:r w:rsidRPr="00903099">
        <w:t xml:space="preserve">. Coverage loss </w:t>
      </w:r>
      <w:r w:rsidR="00F02AED" w:rsidRPr="00903099">
        <w:t>predictions take account of these</w:t>
      </w:r>
      <w:r w:rsidRPr="00903099">
        <w:t xml:space="preserve"> transmitter</w:t>
      </w:r>
      <w:r w:rsidR="00F02AED" w:rsidRPr="00903099">
        <w:t xml:space="preserve">s when comparing the current 2BS AM </w:t>
      </w:r>
      <w:r w:rsidR="007D5732" w:rsidRPr="00903099">
        <w:t xml:space="preserve">coverage </w:t>
      </w:r>
      <w:r w:rsidR="00F02AED" w:rsidRPr="00903099">
        <w:t xml:space="preserve">with the predicted coverage of the </w:t>
      </w:r>
      <w:r w:rsidR="00156948" w:rsidRPr="00903099">
        <w:t xml:space="preserve">proposed </w:t>
      </w:r>
      <w:r w:rsidR="00F02AED" w:rsidRPr="00903099">
        <w:t xml:space="preserve">2BS FM </w:t>
      </w:r>
      <w:r w:rsidR="007D5732" w:rsidRPr="00903099">
        <w:t>transmission</w:t>
      </w:r>
      <w:r w:rsidR="00F02AED" w:rsidRPr="00903099">
        <w:t>.</w:t>
      </w:r>
    </w:p>
    <w:p w14:paraId="71652CD1" w14:textId="43E9C20D" w:rsidR="00DD2EFC" w:rsidRPr="00903099" w:rsidRDefault="00DD2EFC" w:rsidP="00DD2EFC">
      <w:r w:rsidRPr="00903099">
        <w:t>When the coverage from these existing FM transmitters is taken into account, an assessment of the coverage of the proposed FM transmitter at the Yetholme site indicates there would be at</w:t>
      </w:r>
      <w:r w:rsidR="001B16AC">
        <w:t>-</w:t>
      </w:r>
      <w:r w:rsidRPr="00903099">
        <w:t>or</w:t>
      </w:r>
      <w:r w:rsidR="001B16AC">
        <w:t>-</w:t>
      </w:r>
      <w:r w:rsidRPr="00903099">
        <w:t>above rural</w:t>
      </w:r>
      <w:r w:rsidR="001B16AC">
        <w:t>-</w:t>
      </w:r>
      <w:r w:rsidRPr="00903099">
        <w:t>grade stereo coverage in much of</w:t>
      </w:r>
      <w:r w:rsidR="001B16AC">
        <w:t xml:space="preserve"> the Bathurst RA1 licence area.</w:t>
      </w:r>
      <w:r w:rsidR="001B16AC" w:rsidRPr="00903099">
        <w:rPr>
          <w:rStyle w:val="FootnoteReference"/>
        </w:rPr>
        <w:footnoteReference w:id="8"/>
      </w:r>
    </w:p>
    <w:p w14:paraId="33DCD0FD" w14:textId="428DD0DD" w:rsidR="00F02AED" w:rsidRPr="00903099" w:rsidRDefault="005A0865" w:rsidP="005A0865">
      <w:r w:rsidRPr="00903099">
        <w:t xml:space="preserve">The 2BS AM </w:t>
      </w:r>
      <w:r w:rsidR="003273FB" w:rsidRPr="00903099">
        <w:t>transmission</w:t>
      </w:r>
      <w:r w:rsidRPr="00903099">
        <w:t xml:space="preserve">, in conjunction with the FM </w:t>
      </w:r>
      <w:proofErr w:type="spellStart"/>
      <w:r w:rsidRPr="00903099">
        <w:t>infills</w:t>
      </w:r>
      <w:proofErr w:type="spellEnd"/>
      <w:r w:rsidRPr="00903099">
        <w:t xml:space="preserve">, </w:t>
      </w:r>
      <w:r w:rsidR="003273FB" w:rsidRPr="00903099">
        <w:t xml:space="preserve">is predicted to </w:t>
      </w:r>
      <w:r w:rsidR="00F176FF" w:rsidRPr="00903099">
        <w:t xml:space="preserve">provide a daytime </w:t>
      </w:r>
      <w:r w:rsidRPr="00903099">
        <w:t>cover</w:t>
      </w:r>
      <w:r w:rsidR="00F176FF" w:rsidRPr="00903099">
        <w:t>age of</w:t>
      </w:r>
      <w:r w:rsidRPr="00903099">
        <w:t xml:space="preserve"> approximately </w:t>
      </w:r>
      <w:r w:rsidR="00793B3B" w:rsidRPr="00903099">
        <w:t>47,700–47,900</w:t>
      </w:r>
      <w:r w:rsidRPr="00903099">
        <w:t xml:space="preserve"> </w:t>
      </w:r>
      <w:r w:rsidR="001B16AC">
        <w:t xml:space="preserve">people, </w:t>
      </w:r>
      <w:r w:rsidRPr="00903099">
        <w:t xml:space="preserve">or </w:t>
      </w:r>
      <w:r w:rsidR="00793B3B" w:rsidRPr="00903099">
        <w:t>98.9</w:t>
      </w:r>
      <w:r w:rsidR="009B6958" w:rsidRPr="00903099">
        <w:t xml:space="preserve">–99.3 per cent </w:t>
      </w:r>
      <w:r w:rsidR="00F02AED" w:rsidRPr="00903099">
        <w:t>of the Bathurst RA1 population.</w:t>
      </w:r>
      <w:r w:rsidR="009B6958" w:rsidRPr="00903099">
        <w:rPr>
          <w:rStyle w:val="FootnoteReference"/>
        </w:rPr>
        <w:footnoteReference w:id="9"/>
      </w:r>
      <w:r w:rsidR="00F02AED" w:rsidRPr="00903099">
        <w:t xml:space="preserve"> When </w:t>
      </w:r>
      <w:r w:rsidR="001B16AC">
        <w:t xml:space="preserve">compared with </w:t>
      </w:r>
      <w:r w:rsidR="00F02AED" w:rsidRPr="00903099">
        <w:t>the</w:t>
      </w:r>
      <w:r w:rsidR="00EE1442" w:rsidRPr="00903099">
        <w:t xml:space="preserve"> </w:t>
      </w:r>
      <w:r w:rsidR="00156948" w:rsidRPr="00903099">
        <w:t xml:space="preserve">proposed </w:t>
      </w:r>
      <w:r w:rsidR="00F02AED" w:rsidRPr="00903099">
        <w:t xml:space="preserve">2BS FM </w:t>
      </w:r>
      <w:r w:rsidR="00156948" w:rsidRPr="00903099">
        <w:t>transmission</w:t>
      </w:r>
      <w:r w:rsidR="00F02AED" w:rsidRPr="00903099">
        <w:t>, coverage loss within the entire Bathurst RA1 licence area is predicted</w:t>
      </w:r>
      <w:r w:rsidR="00EE1442" w:rsidRPr="00903099">
        <w:rPr>
          <w:rStyle w:val="FootnoteReference"/>
        </w:rPr>
        <w:footnoteReference w:id="10"/>
      </w:r>
      <w:r w:rsidR="00F02AED" w:rsidRPr="00903099">
        <w:t xml:space="preserve"> to affect between 340 and 2,940 people</w:t>
      </w:r>
      <w:r w:rsidR="001B16AC">
        <w:t>,</w:t>
      </w:r>
      <w:r w:rsidR="002A0B07" w:rsidRPr="00903099">
        <w:t xml:space="preserve"> </w:t>
      </w:r>
      <w:r w:rsidR="00656992" w:rsidRPr="00903099">
        <w:t xml:space="preserve">or 0.7–6.1 per cent of the population in </w:t>
      </w:r>
      <w:r w:rsidR="0057191E" w:rsidRPr="00903099">
        <w:t xml:space="preserve">the </w:t>
      </w:r>
      <w:r w:rsidR="00656992" w:rsidRPr="00903099">
        <w:t>Bathurst RA1</w:t>
      </w:r>
      <w:r w:rsidR="0057191E" w:rsidRPr="00903099">
        <w:t xml:space="preserve"> licence area</w:t>
      </w:r>
      <w:r w:rsidR="00F02AED" w:rsidRPr="00903099">
        <w:t>.</w:t>
      </w:r>
      <w:r w:rsidR="00EE1442" w:rsidRPr="00903099">
        <w:rPr>
          <w:rStyle w:val="FootnoteReference"/>
        </w:rPr>
        <w:footnoteReference w:id="11"/>
      </w:r>
    </w:p>
    <w:p w14:paraId="7E283866" w14:textId="6D3AA6F4" w:rsidR="00973EA5" w:rsidRPr="00903099" w:rsidRDefault="00C23539" w:rsidP="00973EA5">
      <w:r w:rsidRPr="00903099">
        <w:t>C</w:t>
      </w:r>
      <w:r w:rsidR="00973EA5" w:rsidRPr="00903099">
        <w:t>overage predictions compari</w:t>
      </w:r>
      <w:r w:rsidRPr="00903099">
        <w:t>ng</w:t>
      </w:r>
      <w:r w:rsidR="00973EA5" w:rsidRPr="00903099">
        <w:t xml:space="preserve"> the current </w:t>
      </w:r>
      <w:r w:rsidR="00DD2EFC" w:rsidRPr="00903099">
        <w:t xml:space="preserve">hybrid </w:t>
      </w:r>
      <w:r w:rsidR="00973EA5" w:rsidRPr="00903099">
        <w:t>AM</w:t>
      </w:r>
      <w:r w:rsidR="00DD2EFC" w:rsidRPr="00903099">
        <w:t>/FM</w:t>
      </w:r>
      <w:r w:rsidR="00973EA5" w:rsidRPr="00903099">
        <w:t xml:space="preserve"> </w:t>
      </w:r>
      <w:r w:rsidRPr="00903099">
        <w:t xml:space="preserve">coverage </w:t>
      </w:r>
      <w:r w:rsidR="00DD2EFC" w:rsidRPr="00903099">
        <w:t>with</w:t>
      </w:r>
      <w:r w:rsidR="00973EA5" w:rsidRPr="00903099">
        <w:t xml:space="preserve"> the </w:t>
      </w:r>
      <w:r w:rsidR="003E2082" w:rsidRPr="00903099">
        <w:t xml:space="preserve">proposed </w:t>
      </w:r>
      <w:r w:rsidR="00973EA5" w:rsidRPr="00903099">
        <w:t>FM</w:t>
      </w:r>
      <w:r w:rsidR="00DD2EFC" w:rsidRPr="00903099">
        <w:t>-only</w:t>
      </w:r>
      <w:r w:rsidR="00973EA5" w:rsidRPr="00903099">
        <w:t xml:space="preserve"> </w:t>
      </w:r>
      <w:r w:rsidRPr="00903099">
        <w:t>coverage</w:t>
      </w:r>
      <w:r w:rsidR="00973EA5" w:rsidRPr="00903099">
        <w:t xml:space="preserve"> are illustrated on the map at </w:t>
      </w:r>
      <w:hyperlink w:anchor="Appendix_C" w:history="1">
        <w:r w:rsidR="00973EA5" w:rsidRPr="00903099">
          <w:rPr>
            <w:rStyle w:val="Hyperlink"/>
          </w:rPr>
          <w:t>Appendix C</w:t>
        </w:r>
      </w:hyperlink>
      <w:r w:rsidR="00973EA5" w:rsidRPr="00903099">
        <w:t xml:space="preserve">. </w:t>
      </w:r>
      <w:r w:rsidR="002766D5">
        <w:t>We</w:t>
      </w:r>
      <w:r w:rsidR="00973EA5" w:rsidRPr="00903099">
        <w:t xml:space="preserve"> consider that conversion (when taken with the existing FM </w:t>
      </w:r>
      <w:proofErr w:type="spellStart"/>
      <w:r w:rsidR="00973EA5" w:rsidRPr="00903099">
        <w:t>infills</w:t>
      </w:r>
      <w:proofErr w:type="spellEnd"/>
      <w:r w:rsidR="00973EA5" w:rsidRPr="00903099">
        <w:t>) does not result in any significant coverage differences.</w:t>
      </w:r>
    </w:p>
    <w:p w14:paraId="1FC6B980" w14:textId="7C4119DE" w:rsidR="003A0148" w:rsidRPr="00903099" w:rsidRDefault="003A0148" w:rsidP="00D24383">
      <w:pPr>
        <w:pStyle w:val="Bodysubheader0"/>
      </w:pPr>
      <w:r w:rsidRPr="00903099">
        <w:t xml:space="preserve">Coverage loss on the western </w:t>
      </w:r>
      <w:r w:rsidRPr="00D24383">
        <w:t>licence</w:t>
      </w:r>
      <w:r w:rsidRPr="00903099">
        <w:t xml:space="preserve"> area boundary</w:t>
      </w:r>
    </w:p>
    <w:p w14:paraId="02C463E5" w14:textId="3E3CCADE" w:rsidR="002A0B07" w:rsidRPr="00903099" w:rsidRDefault="002A0B07" w:rsidP="00DA1BCB">
      <w:r w:rsidRPr="00903099">
        <w:t>The main coverage loss within the Bathurst RA1 licence area is predicted to occur</w:t>
      </w:r>
      <w:r w:rsidR="003A0148" w:rsidRPr="00903099">
        <w:t xml:space="preserve"> </w:t>
      </w:r>
      <w:r w:rsidR="00656992" w:rsidRPr="00903099">
        <w:t>a</w:t>
      </w:r>
      <w:r w:rsidRPr="00903099">
        <w:t>long the western boundary of Bathurst RA1</w:t>
      </w:r>
      <w:r w:rsidR="003A0148" w:rsidRPr="00903099">
        <w:t xml:space="preserve">. </w:t>
      </w:r>
    </w:p>
    <w:p w14:paraId="2FF8B25F" w14:textId="01F74856" w:rsidR="002A0B07" w:rsidRPr="00903099" w:rsidRDefault="00656992" w:rsidP="005A0865">
      <w:r w:rsidRPr="00903099">
        <w:t>Th</w:t>
      </w:r>
      <w:r w:rsidR="002766D5">
        <w:t>at</w:t>
      </w:r>
      <w:r w:rsidRPr="00903099">
        <w:t xml:space="preserve"> area overlap</w:t>
      </w:r>
      <w:r w:rsidR="002766D5">
        <w:t>s</w:t>
      </w:r>
      <w:r w:rsidRPr="00903099">
        <w:t xml:space="preserve"> with the Orange RA1 licence area</w:t>
      </w:r>
      <w:r w:rsidR="002766D5">
        <w:t xml:space="preserve"> and</w:t>
      </w:r>
      <w:r w:rsidRPr="00903099">
        <w:t xml:space="preserve"> includes the locality of Millthorpe. The overlap includes approximately 7,240 people</w:t>
      </w:r>
      <w:r w:rsidR="002766D5">
        <w:t>,</w:t>
      </w:r>
      <w:r w:rsidRPr="00903099">
        <w:t xml:space="preserve"> and the predicted coverage loss </w:t>
      </w:r>
      <w:r w:rsidR="002766D5">
        <w:t>here</w:t>
      </w:r>
      <w:r w:rsidRPr="00903099">
        <w:t xml:space="preserve"> is between 320 and 1,660 people or 0.7–3.4 per cent of the population in the Bathurst RA1 licence area.</w:t>
      </w:r>
      <w:r w:rsidRPr="00903099">
        <w:rPr>
          <w:rStyle w:val="FootnoteReference"/>
        </w:rPr>
        <w:footnoteReference w:id="12"/>
      </w:r>
      <w:r w:rsidR="0057191E" w:rsidRPr="00903099">
        <w:t xml:space="preserve"> However</w:t>
      </w:r>
      <w:r w:rsidR="002766D5">
        <w:t>,</w:t>
      </w:r>
      <w:r w:rsidR="0057191E" w:rsidRPr="00903099">
        <w:t xml:space="preserve"> much of the overlap is predicted to receive </w:t>
      </w:r>
      <w:r w:rsidR="00881267" w:rsidRPr="00903099">
        <w:t>adequate</w:t>
      </w:r>
      <w:r w:rsidR="0057191E" w:rsidRPr="00903099">
        <w:t xml:space="preserve"> coverage from Orange commercial radio broadcasting services (2EL, 2OAG and 2GZF).</w:t>
      </w:r>
      <w:r w:rsidR="006B3681" w:rsidRPr="00903099">
        <w:t xml:space="preserve"> </w:t>
      </w:r>
      <w:r w:rsidR="00744F5A">
        <w:t xml:space="preserve">Excluding </w:t>
      </w:r>
      <w:r w:rsidR="006B3681" w:rsidRPr="00903099">
        <w:t>th</w:t>
      </w:r>
      <w:r w:rsidR="002766D5">
        <w:t>ose</w:t>
      </w:r>
      <w:r w:rsidR="006B3681" w:rsidRPr="00903099">
        <w:t xml:space="preserve"> people with access to </w:t>
      </w:r>
      <w:r w:rsidR="006B3681" w:rsidRPr="00903099">
        <w:lastRenderedPageBreak/>
        <w:t xml:space="preserve">the Orange commercial services, the predicted 2BS FM coverage loss </w:t>
      </w:r>
      <w:r w:rsidR="0057191E" w:rsidRPr="00903099">
        <w:t>in the overlap is reduced to approximately 450 people, or 0.9 per cent of the population in the Bathurst RA1 licence area.</w:t>
      </w:r>
    </w:p>
    <w:p w14:paraId="2A7969C1" w14:textId="77777777" w:rsidR="00B8120A" w:rsidRPr="00D24383" w:rsidRDefault="00B8120A" w:rsidP="00D24383">
      <w:pPr>
        <w:pStyle w:val="Bodysubheader0"/>
      </w:pPr>
      <w:r w:rsidRPr="00903099">
        <w:t>Other coverage loss</w:t>
      </w:r>
    </w:p>
    <w:p w14:paraId="0E211545" w14:textId="6C647B02" w:rsidR="00973EA5" w:rsidRPr="00903099" w:rsidRDefault="00B8120A" w:rsidP="00AE303D">
      <w:r w:rsidRPr="00903099">
        <w:t>Fur</w:t>
      </w:r>
      <w:r w:rsidR="00DA1BCB" w:rsidRPr="00903099">
        <w:t>t</w:t>
      </w:r>
      <w:r w:rsidRPr="00903099">
        <w:t xml:space="preserve">her </w:t>
      </w:r>
      <w:r w:rsidR="00E13E16" w:rsidRPr="00903099">
        <w:t xml:space="preserve">coverage loss is predicted in sparsely populated areas spread throughout the Bathurst RA1 licence area, particularly in the north-west and south-east parts in valleys shielded by terrain from the </w:t>
      </w:r>
      <w:r w:rsidR="004444D8" w:rsidRPr="00903099">
        <w:t xml:space="preserve">Yetholme </w:t>
      </w:r>
      <w:r w:rsidR="00E13E16" w:rsidRPr="00903099">
        <w:t xml:space="preserve">FM transmission site. </w:t>
      </w:r>
      <w:r w:rsidR="00973EA5" w:rsidRPr="00903099">
        <w:t>Area</w:t>
      </w:r>
      <w:r w:rsidR="00DA1BCB" w:rsidRPr="00903099">
        <w:t>s</w:t>
      </w:r>
      <w:r w:rsidR="00973EA5" w:rsidRPr="00903099">
        <w:t xml:space="preserve"> include </w:t>
      </w:r>
      <w:r w:rsidR="003E2082" w:rsidRPr="00903099">
        <w:t xml:space="preserve">the localities of </w:t>
      </w:r>
      <w:r w:rsidR="00973EA5" w:rsidRPr="00903099">
        <w:t>Hillside, Wattle Flat, Peel, Rockley and Newbridge</w:t>
      </w:r>
      <w:r w:rsidR="00DA1BCB" w:rsidRPr="00903099">
        <w:t>.</w:t>
      </w:r>
      <w:r w:rsidR="00973EA5" w:rsidRPr="00903099">
        <w:t xml:space="preserve"> </w:t>
      </w:r>
      <w:r w:rsidR="00E13E16" w:rsidRPr="00903099">
        <w:t xml:space="preserve">The coverage loss comprises between 20 and 1,280 </w:t>
      </w:r>
      <w:r w:rsidR="002766D5">
        <w:t>people,</w:t>
      </w:r>
      <w:r w:rsidR="002766D5" w:rsidRPr="00903099">
        <w:t xml:space="preserve"> </w:t>
      </w:r>
      <w:r w:rsidR="00E13E16" w:rsidRPr="00903099">
        <w:t xml:space="preserve">or </w:t>
      </w:r>
      <w:r w:rsidR="00123368">
        <w:t>approximately</w:t>
      </w:r>
      <w:r w:rsidR="00744F5A">
        <w:t xml:space="preserve"> </w:t>
      </w:r>
      <w:r w:rsidR="00E13E16" w:rsidRPr="00903099">
        <w:t>0–2.7 per cent of the population in the Bathurst RA1 licence area.</w:t>
      </w:r>
      <w:r w:rsidR="00E13E16" w:rsidRPr="00903099">
        <w:rPr>
          <w:rStyle w:val="FootnoteReference"/>
        </w:rPr>
        <w:footnoteReference w:id="13"/>
      </w:r>
      <w:r w:rsidR="00E13E16" w:rsidRPr="00903099">
        <w:rPr>
          <w:rStyle w:val="FootnoteReference"/>
        </w:rPr>
        <w:t xml:space="preserve"> </w:t>
      </w:r>
      <w:r w:rsidR="00E13E16" w:rsidRPr="00903099">
        <w:t xml:space="preserve">As this coverage loss is in regions with no significant population centres over 200 </w:t>
      </w:r>
      <w:r w:rsidR="00BF440A">
        <w:t>people</w:t>
      </w:r>
      <w:r w:rsidR="00E13E16" w:rsidRPr="00903099">
        <w:t>, plan</w:t>
      </w:r>
      <w:r w:rsidR="00BF440A">
        <w:t>ning</w:t>
      </w:r>
      <w:r w:rsidR="00E13E16" w:rsidRPr="00903099">
        <w:t xml:space="preserve"> additional repeaters would not be a feasible solution.</w:t>
      </w:r>
      <w:r w:rsidR="00973EA5" w:rsidRPr="00903099">
        <w:t xml:space="preserve"> </w:t>
      </w:r>
    </w:p>
    <w:p w14:paraId="124C52CD" w14:textId="77777777" w:rsidR="00D24383" w:rsidRPr="00D24383" w:rsidRDefault="00BA5D24" w:rsidP="00D24383">
      <w:pPr>
        <w:pStyle w:val="Bodysubheader0"/>
      </w:pPr>
      <w:r w:rsidRPr="00903099">
        <w:t>Fortuitous reception</w:t>
      </w:r>
    </w:p>
    <w:p w14:paraId="5F4C05F1" w14:textId="767F5119" w:rsidR="0052477E" w:rsidRPr="00903099" w:rsidRDefault="00427D75" w:rsidP="00D24383">
      <w:r w:rsidRPr="00903099">
        <w:t>It is predicted that</w:t>
      </w:r>
      <w:r w:rsidR="00BF440A">
        <w:t>,</w:t>
      </w:r>
      <w:r w:rsidRPr="00903099">
        <w:t xml:space="preserve"> on conversion to FM transmission</w:t>
      </w:r>
      <w:r w:rsidR="00DB6785" w:rsidRPr="00903099">
        <w:t xml:space="preserve">, </w:t>
      </w:r>
      <w:r w:rsidR="00BA5D24" w:rsidRPr="00903099">
        <w:t>a population of</w:t>
      </w:r>
      <w:r w:rsidR="00C056F3" w:rsidRPr="00903099">
        <w:t xml:space="preserve"> </w:t>
      </w:r>
      <w:r w:rsidR="00DB6785" w:rsidRPr="00903099">
        <w:t xml:space="preserve">between </w:t>
      </w:r>
      <w:r w:rsidR="00C056F3" w:rsidRPr="00903099">
        <w:t>1,</w:t>
      </w:r>
      <w:r w:rsidR="0052477E" w:rsidRPr="00903099">
        <w:t xml:space="preserve">320 </w:t>
      </w:r>
      <w:r w:rsidR="00DB6785" w:rsidRPr="00903099">
        <w:t>and</w:t>
      </w:r>
      <w:r w:rsidR="00C056F3" w:rsidRPr="00903099">
        <w:t xml:space="preserve"> 3</w:t>
      </w:r>
      <w:r w:rsidR="0052477E" w:rsidRPr="00903099">
        <w:t>0</w:t>
      </w:r>
      <w:r w:rsidR="00C056F3" w:rsidRPr="00903099">
        <w:t>,4</w:t>
      </w:r>
      <w:r w:rsidR="0052477E" w:rsidRPr="00903099">
        <w:t>6</w:t>
      </w:r>
      <w:r w:rsidR="00C056F3" w:rsidRPr="00903099">
        <w:t>0</w:t>
      </w:r>
      <w:r w:rsidR="00BA5D24" w:rsidRPr="00903099">
        <w:t xml:space="preserve"> </w:t>
      </w:r>
      <w:r w:rsidR="00BF440A">
        <w:t xml:space="preserve">people </w:t>
      </w:r>
      <w:r w:rsidR="0052477E" w:rsidRPr="00903099">
        <w:t xml:space="preserve">outside of the Bathurst RA1 licence area </w:t>
      </w:r>
      <w:r w:rsidR="003E2082" w:rsidRPr="00903099">
        <w:t xml:space="preserve">may </w:t>
      </w:r>
      <w:r w:rsidR="00BA5D24" w:rsidRPr="00903099">
        <w:t>experience coverage loss</w:t>
      </w:r>
      <w:r w:rsidR="00C056F3" w:rsidRPr="00903099">
        <w:t>.</w:t>
      </w:r>
      <w:r w:rsidRPr="00903099">
        <w:rPr>
          <w:rStyle w:val="FootnoteReference"/>
        </w:rPr>
        <w:footnoteReference w:id="14"/>
      </w:r>
      <w:r w:rsidR="00DB6785" w:rsidRPr="00903099">
        <w:t xml:space="preserve"> </w:t>
      </w:r>
      <w:r w:rsidR="0052477E" w:rsidRPr="00903099">
        <w:t>Reception outside the licence area is fortuitous; the ACMA does not afford planning protection to fortuitous reception. In any case</w:t>
      </w:r>
      <w:r w:rsidR="00BF440A">
        <w:t>,</w:t>
      </w:r>
      <w:r w:rsidR="0052477E" w:rsidRPr="00903099">
        <w:t xml:space="preserve"> this population is adequately served </w:t>
      </w:r>
      <w:r w:rsidR="00E03BC4" w:rsidRPr="00903099">
        <w:t xml:space="preserve">by the local </w:t>
      </w:r>
      <w:r w:rsidR="0052477E" w:rsidRPr="00903099">
        <w:t>commercial services in the Orange RA1 and Lithgow RA1 licence areas.</w:t>
      </w:r>
    </w:p>
    <w:p w14:paraId="68F54105" w14:textId="77AA675B" w:rsidR="00973EA5" w:rsidRPr="00D24383" w:rsidRDefault="00973EA5" w:rsidP="00D24383">
      <w:pPr>
        <w:pStyle w:val="Bodysubheader0"/>
      </w:pPr>
      <w:r w:rsidRPr="00903099">
        <w:t>Interference predictions</w:t>
      </w:r>
    </w:p>
    <w:p w14:paraId="1DBA3E75" w14:textId="655BD20E" w:rsidR="00553112" w:rsidRPr="00903099" w:rsidRDefault="00B07CF3" w:rsidP="00D24383">
      <w:r w:rsidRPr="00903099">
        <w:t>While the 95.1 MHz frequency is a relatively clear frequency in the Bathurst</w:t>
      </w:r>
      <w:r w:rsidR="00553112" w:rsidRPr="00903099">
        <w:t xml:space="preserve"> region</w:t>
      </w:r>
      <w:r w:rsidR="00BF440A">
        <w:t>,</w:t>
      </w:r>
      <w:r w:rsidRPr="00903099">
        <w:t xml:space="preserve"> there is still some potential for mutual interference with </w:t>
      </w:r>
      <w:r w:rsidR="00945576" w:rsidRPr="00903099">
        <w:t xml:space="preserve">the following services on </w:t>
      </w:r>
      <w:r w:rsidRPr="00903099">
        <w:t>nearby frequenc</w:t>
      </w:r>
      <w:r w:rsidR="00945576" w:rsidRPr="00903099">
        <w:t>ies</w:t>
      </w:r>
      <w:r w:rsidR="00BF440A">
        <w:t>—</w:t>
      </w:r>
      <w:r w:rsidRPr="00903099">
        <w:t xml:space="preserve">2PTV Sydney (95.3 MHz), 2GCB Gosford (94.9 MHz) and 2WSK Nowra (94.9 MHz). </w:t>
      </w:r>
    </w:p>
    <w:p w14:paraId="3D9D0BFB" w14:textId="1C9647D3" w:rsidR="00202724" w:rsidRPr="00903099" w:rsidRDefault="00202724" w:rsidP="00D24383">
      <w:r w:rsidRPr="00903099">
        <w:t xml:space="preserve">With the proposed 2BS Bathurst technical specification limiting </w:t>
      </w:r>
      <w:r w:rsidR="00945576" w:rsidRPr="00903099">
        <w:t xml:space="preserve">the </w:t>
      </w:r>
      <w:r w:rsidRPr="00903099">
        <w:t xml:space="preserve">power </w:t>
      </w:r>
      <w:r w:rsidR="00945576" w:rsidRPr="00903099">
        <w:t xml:space="preserve">of the </w:t>
      </w:r>
      <w:r w:rsidRPr="00903099">
        <w:t>transmitter toward the</w:t>
      </w:r>
      <w:r w:rsidR="00B1332E" w:rsidRPr="00903099">
        <w:t>se services</w:t>
      </w:r>
      <w:r w:rsidRPr="00903099">
        <w:t xml:space="preserve">, the potential </w:t>
      </w:r>
      <w:r w:rsidR="00FD6D55" w:rsidRPr="00903099">
        <w:t xml:space="preserve">for </w:t>
      </w:r>
      <w:r w:rsidRPr="00903099">
        <w:t>interference is predicted to be minor.</w:t>
      </w:r>
    </w:p>
    <w:p w14:paraId="4AA95FDA" w14:textId="6A8EB8EF" w:rsidR="004C5C86" w:rsidRPr="00903099" w:rsidRDefault="004C5C86" w:rsidP="00AE303D">
      <w:pPr>
        <w:pStyle w:val="Heading3"/>
      </w:pPr>
      <w:bookmarkStart w:id="16" w:name="_Toc513195741"/>
      <w:r w:rsidRPr="00903099">
        <w:t>C</w:t>
      </w:r>
      <w:r w:rsidR="00202724" w:rsidRPr="00903099">
        <w:t>overage o</w:t>
      </w:r>
      <w:r w:rsidRPr="00903099">
        <w:t xml:space="preserve">verspill </w:t>
      </w:r>
      <w:r w:rsidR="003042BD" w:rsidRPr="00D24383">
        <w:t>by</w:t>
      </w:r>
      <w:r w:rsidR="003042BD" w:rsidRPr="00903099">
        <w:t xml:space="preserve"> </w:t>
      </w:r>
      <w:r w:rsidR="003042BD" w:rsidRPr="00AE303D">
        <w:t>Bathurst</w:t>
      </w:r>
      <w:r w:rsidR="003042BD" w:rsidRPr="00903099">
        <w:t xml:space="preserve"> 95.1 MHz service</w:t>
      </w:r>
      <w:bookmarkEnd w:id="16"/>
      <w:r w:rsidR="003042BD" w:rsidRPr="00903099">
        <w:t xml:space="preserve"> </w:t>
      </w:r>
    </w:p>
    <w:p w14:paraId="045FA121" w14:textId="0E96428C" w:rsidR="00D80802" w:rsidRPr="00D24383" w:rsidRDefault="00202724" w:rsidP="00AE303D">
      <w:r w:rsidRPr="00903099">
        <w:t xml:space="preserve">An engineering analysis of the predicted overspill of coverage from the proposed 95.1 MHz service indicates a </w:t>
      </w:r>
      <w:r w:rsidRPr="00D24383">
        <w:t xml:space="preserve">significant increase in overspill into </w:t>
      </w:r>
      <w:r w:rsidR="003615CF" w:rsidRPr="00D24383">
        <w:t xml:space="preserve">the </w:t>
      </w:r>
      <w:r w:rsidR="00D43754" w:rsidRPr="00D24383">
        <w:t xml:space="preserve">nearby </w:t>
      </w:r>
      <w:r w:rsidR="003615CF" w:rsidRPr="00D24383">
        <w:t>Orange</w:t>
      </w:r>
      <w:r w:rsidR="00BF440A">
        <w:t> </w:t>
      </w:r>
      <w:r w:rsidR="003615CF" w:rsidRPr="00D24383">
        <w:t xml:space="preserve">RA1, Lithgow RA1 and Katoomba RA1 </w:t>
      </w:r>
      <w:r w:rsidR="00D43754" w:rsidRPr="00D24383">
        <w:t xml:space="preserve">commercial radio </w:t>
      </w:r>
      <w:r w:rsidR="003615CF" w:rsidRPr="00D24383">
        <w:t>licence areas</w:t>
      </w:r>
      <w:r w:rsidR="00D43754" w:rsidRPr="00D24383">
        <w:t>,</w:t>
      </w:r>
      <w:r w:rsidR="003615CF" w:rsidRPr="00D24383">
        <w:t xml:space="preserve"> </w:t>
      </w:r>
      <w:r w:rsidRPr="00D24383">
        <w:t xml:space="preserve">when compared with the </w:t>
      </w:r>
      <w:r w:rsidR="003615CF" w:rsidRPr="00D24383">
        <w:t xml:space="preserve">current </w:t>
      </w:r>
      <w:r w:rsidR="00026F83" w:rsidRPr="00D24383">
        <w:t xml:space="preserve">omnidirectional </w:t>
      </w:r>
      <w:r w:rsidRPr="00D24383">
        <w:t xml:space="preserve">2BS AM </w:t>
      </w:r>
      <w:r w:rsidR="003615CF" w:rsidRPr="00D24383">
        <w:t>transmission</w:t>
      </w:r>
      <w:r w:rsidR="00026F83" w:rsidRPr="00D24383">
        <w:t xml:space="preserve"> and FM </w:t>
      </w:r>
      <w:proofErr w:type="spellStart"/>
      <w:r w:rsidR="00026F83" w:rsidRPr="00D24383">
        <w:t>infills</w:t>
      </w:r>
      <w:proofErr w:type="spellEnd"/>
      <w:r w:rsidR="00D80802" w:rsidRPr="00D24383">
        <w:t xml:space="preserve">. </w:t>
      </w:r>
      <w:r w:rsidR="0054732D" w:rsidRPr="00D24383">
        <w:t>There is no difference in overspill to the Goulburn RA1 licence area</w:t>
      </w:r>
      <w:r w:rsidR="00BF440A">
        <w:t>.</w:t>
      </w:r>
    </w:p>
    <w:p w14:paraId="082ED902" w14:textId="5227F914" w:rsidR="00D80802" w:rsidRDefault="00D80802" w:rsidP="00AE303D">
      <w:r w:rsidRPr="00D24383">
        <w:t>The increase is, to a degree, due</w:t>
      </w:r>
      <w:r>
        <w:t xml:space="preserve"> to the difference between what constitutes overspill in AM and FM. For AM</w:t>
      </w:r>
      <w:r w:rsidR="00D43754">
        <w:t>,</w:t>
      </w:r>
      <w:r>
        <w:t xml:space="preserve"> the ACMA regards suburban</w:t>
      </w:r>
      <w:r w:rsidR="00BF440A">
        <w:t>-</w:t>
      </w:r>
      <w:r>
        <w:t>grade field strength as overspill; for FM</w:t>
      </w:r>
      <w:r w:rsidR="00BF440A">
        <w:t>,</w:t>
      </w:r>
      <w:r>
        <w:t xml:space="preserve"> fields strengths down </w:t>
      </w:r>
      <w:r w:rsidR="00744F5A">
        <w:t xml:space="preserve">to </w:t>
      </w:r>
      <w:r>
        <w:t>rural stereo</w:t>
      </w:r>
      <w:r w:rsidR="00BF440A">
        <w:t>-</w:t>
      </w:r>
      <w:r>
        <w:t xml:space="preserve">grade are </w:t>
      </w:r>
      <w:r w:rsidR="00BF440A">
        <w:t xml:space="preserve">seen </w:t>
      </w:r>
      <w:r>
        <w:t>a</w:t>
      </w:r>
      <w:r w:rsidR="00D43754">
        <w:t xml:space="preserve">s overspill. Additionally, the AM transmitter is in </w:t>
      </w:r>
      <w:r w:rsidR="00D43754">
        <w:lastRenderedPageBreak/>
        <w:t>the centre of the licence area—close to Bathurst city</w:t>
      </w:r>
      <w:r w:rsidR="0054732D">
        <w:t>—meaning weaker AM signals at the boundary.</w:t>
      </w:r>
      <w:r w:rsidR="00D43754">
        <w:t xml:space="preserve"> </w:t>
      </w:r>
      <w:r w:rsidR="0054732D">
        <w:t>T</w:t>
      </w:r>
      <w:r w:rsidR="00D43754">
        <w:t xml:space="preserve">he FM transmitter site is near the eastern boundary of the licence </w:t>
      </w:r>
      <w:r w:rsidR="0054732D">
        <w:t xml:space="preserve">area; </w:t>
      </w:r>
      <w:r w:rsidR="00BF440A">
        <w:t>there will inevitably be overspill,</w:t>
      </w:r>
      <w:r w:rsidR="00D43754">
        <w:t xml:space="preserve"> given</w:t>
      </w:r>
      <w:r w:rsidR="0054732D">
        <w:t xml:space="preserve"> t</w:t>
      </w:r>
      <w:r w:rsidR="00D43754">
        <w:t>he</w:t>
      </w:r>
      <w:r w:rsidR="0054732D">
        <w:t xml:space="preserve"> </w:t>
      </w:r>
      <w:r w:rsidR="00D43754">
        <w:t xml:space="preserve">power </w:t>
      </w:r>
      <w:r w:rsidR="0054732D">
        <w:t>need</w:t>
      </w:r>
      <w:r w:rsidR="00744F5A">
        <w:t>ed</w:t>
      </w:r>
      <w:r w:rsidR="0054732D">
        <w:t xml:space="preserve"> to provide suburban</w:t>
      </w:r>
      <w:r w:rsidR="00BF440A">
        <w:t>-</w:t>
      </w:r>
      <w:r w:rsidR="0054732D">
        <w:t>grade FM signal into Bathurst City.</w:t>
      </w:r>
    </w:p>
    <w:p w14:paraId="1868E1E4" w14:textId="6211A8CD" w:rsidR="00026F83" w:rsidRPr="00903099" w:rsidRDefault="00945576" w:rsidP="00AE303D">
      <w:r w:rsidRPr="00903099">
        <w:t>H</w:t>
      </w:r>
      <w:r w:rsidR="00026F83" w:rsidRPr="00903099">
        <w:t xml:space="preserve">owever, the </w:t>
      </w:r>
      <w:r w:rsidR="003615CF" w:rsidRPr="00903099">
        <w:t xml:space="preserve">overspill </w:t>
      </w:r>
      <w:r w:rsidR="00026F83" w:rsidRPr="00903099">
        <w:t xml:space="preserve">will be less than </w:t>
      </w:r>
      <w:r w:rsidRPr="00903099">
        <w:t>that from</w:t>
      </w:r>
      <w:r w:rsidR="00026F83" w:rsidRPr="00903099">
        <w:t xml:space="preserve"> the </w:t>
      </w:r>
      <w:r w:rsidR="00020CE8" w:rsidRPr="00903099">
        <w:t xml:space="preserve">existing </w:t>
      </w:r>
      <w:r w:rsidRPr="00903099">
        <w:t xml:space="preserve">Bathurst </w:t>
      </w:r>
      <w:r w:rsidR="006B3681" w:rsidRPr="00903099">
        <w:t xml:space="preserve">2BXS </w:t>
      </w:r>
      <w:r w:rsidRPr="00903099">
        <w:t>FM commercial radio</w:t>
      </w:r>
      <w:r w:rsidR="00026F83" w:rsidRPr="00903099">
        <w:t xml:space="preserve"> </w:t>
      </w:r>
      <w:r w:rsidR="003615CF" w:rsidRPr="00903099">
        <w:t>transmitter</w:t>
      </w:r>
      <w:r w:rsidRPr="00903099">
        <w:t xml:space="preserve">. This is because the </w:t>
      </w:r>
      <w:r w:rsidR="003615CF" w:rsidRPr="00903099">
        <w:t xml:space="preserve">licensee has </w:t>
      </w:r>
      <w:r w:rsidR="00026F83" w:rsidRPr="00903099">
        <w:t xml:space="preserve">proposed </w:t>
      </w:r>
      <w:r w:rsidR="003615CF" w:rsidRPr="00903099">
        <w:t xml:space="preserve">operating the </w:t>
      </w:r>
      <w:r w:rsidR="00026F83" w:rsidRPr="00903099">
        <w:t xml:space="preserve">2BS Bathurst FM </w:t>
      </w:r>
      <w:r w:rsidR="003615CF" w:rsidRPr="00903099">
        <w:t xml:space="preserve">transmitter using the same </w:t>
      </w:r>
      <w:r w:rsidR="00026F83" w:rsidRPr="00903099">
        <w:t xml:space="preserve">antenna </w:t>
      </w:r>
      <w:r w:rsidR="003615CF" w:rsidRPr="00903099">
        <w:t xml:space="preserve">as </w:t>
      </w:r>
      <w:r w:rsidR="00026F83" w:rsidRPr="00903099">
        <w:t xml:space="preserve">the </w:t>
      </w:r>
      <w:r w:rsidRPr="00903099">
        <w:t>existing</w:t>
      </w:r>
      <w:r w:rsidR="00026F83" w:rsidRPr="00903099">
        <w:t xml:space="preserve"> </w:t>
      </w:r>
      <w:r w:rsidR="006B3681" w:rsidRPr="00903099">
        <w:t xml:space="preserve">2BXS </w:t>
      </w:r>
      <w:r w:rsidR="00026F83" w:rsidRPr="00903099">
        <w:t>service but with reduced power.</w:t>
      </w:r>
    </w:p>
    <w:p w14:paraId="7B19CF0E" w14:textId="16DAA24A" w:rsidR="00202724" w:rsidRPr="00903099" w:rsidRDefault="00202724" w:rsidP="00B455DB">
      <w:pPr>
        <w:keepNext/>
        <w:keepLines/>
        <w:spacing w:after="80"/>
      </w:pPr>
      <w:r w:rsidRPr="00903099">
        <w:t>An evaluation of the overspill of the proposed 2BS FM (95.1 MHz) service indicates that a field strength higher than rural stereo</w:t>
      </w:r>
      <w:r w:rsidR="003E6E1B">
        <w:t>-</w:t>
      </w:r>
      <w:r w:rsidRPr="00903099">
        <w:t>grade is expected to be provided to</w:t>
      </w:r>
      <w:r w:rsidR="0025733D">
        <w:t xml:space="preserve"> the following licence area populations (excluding licence area overlaps</w:t>
      </w:r>
      <w:r w:rsidR="003E6E1B">
        <w:t>,</w:t>
      </w:r>
      <w:r w:rsidR="0025733D">
        <w:t xml:space="preserve"> unless stated)</w:t>
      </w:r>
      <w:r w:rsidRPr="00903099">
        <w:t>:</w:t>
      </w:r>
    </w:p>
    <w:p w14:paraId="2EF795D4" w14:textId="5C90B810" w:rsidR="00202724" w:rsidRPr="00AE303D" w:rsidRDefault="00202724" w:rsidP="00B455DB">
      <w:pPr>
        <w:pStyle w:val="ListBullet"/>
        <w:keepNext/>
        <w:keepLines/>
      </w:pPr>
      <w:r w:rsidRPr="00903099">
        <w:t>10,</w:t>
      </w:r>
      <w:r w:rsidRPr="00AE303D">
        <w:t>400 people with</w:t>
      </w:r>
      <w:r w:rsidR="00945576" w:rsidRPr="00AE303D">
        <w:t>in</w:t>
      </w:r>
      <w:r w:rsidRPr="00AE303D">
        <w:t xml:space="preserve"> the Orange RA1 licence area</w:t>
      </w:r>
      <w:r w:rsidR="003E6E1B">
        <w:t>,</w:t>
      </w:r>
      <w:r w:rsidRPr="00AE303D">
        <w:t xml:space="preserve"> of whom 8,680 are in urban centres</w:t>
      </w:r>
    </w:p>
    <w:p w14:paraId="6B3BB0DE" w14:textId="36F22D15" w:rsidR="00202724" w:rsidRPr="00AE303D" w:rsidRDefault="00202724" w:rsidP="00AE303D">
      <w:pPr>
        <w:pStyle w:val="ListBullet"/>
      </w:pPr>
      <w:r w:rsidRPr="00AE303D">
        <w:t>5,000 people with</w:t>
      </w:r>
      <w:r w:rsidR="00945576" w:rsidRPr="00AE303D">
        <w:t>in</w:t>
      </w:r>
      <w:r w:rsidRPr="00AE303D">
        <w:t xml:space="preserve"> the Lithgow RA1 licence area</w:t>
      </w:r>
      <w:r w:rsidR="003E6E1B">
        <w:t>,</w:t>
      </w:r>
      <w:r w:rsidRPr="00AE303D">
        <w:t xml:space="preserve"> of whom 3,100 are in urban centres</w:t>
      </w:r>
    </w:p>
    <w:p w14:paraId="6BFD2018" w14:textId="50A2B6B9" w:rsidR="00202724" w:rsidRPr="00AE303D" w:rsidRDefault="00202724" w:rsidP="00AE303D">
      <w:pPr>
        <w:pStyle w:val="ListBullet"/>
      </w:pPr>
      <w:r w:rsidRPr="00AE303D">
        <w:t>4,200 people with</w:t>
      </w:r>
      <w:r w:rsidR="00945576" w:rsidRPr="00AE303D">
        <w:t>in</w:t>
      </w:r>
      <w:r w:rsidRPr="00AE303D">
        <w:t xml:space="preserve"> the Lithgow RA1</w:t>
      </w:r>
      <w:r w:rsidR="00944D19">
        <w:t xml:space="preserve"> and </w:t>
      </w:r>
      <w:r w:rsidRPr="00AE303D">
        <w:t>Katoomba RA1 licence area overlap</w:t>
      </w:r>
      <w:r w:rsidR="003E6E1B">
        <w:t>,</w:t>
      </w:r>
      <w:r w:rsidRPr="00AE303D">
        <w:t xml:space="preserve"> of whom 3,000 are in urban centres</w:t>
      </w:r>
    </w:p>
    <w:p w14:paraId="68C524D7" w14:textId="3B8E6A92" w:rsidR="00202724" w:rsidRPr="00903099" w:rsidRDefault="00202724" w:rsidP="00AE303D">
      <w:pPr>
        <w:pStyle w:val="ListBullet"/>
      </w:pPr>
      <w:r w:rsidRPr="00AE303D">
        <w:t>170</w:t>
      </w:r>
      <w:r w:rsidRPr="00903099">
        <w:t xml:space="preserve"> people with</w:t>
      </w:r>
      <w:r w:rsidR="00945576" w:rsidRPr="00903099">
        <w:t>in</w:t>
      </w:r>
      <w:r w:rsidRPr="00903099">
        <w:t xml:space="preserve"> the Goulburn RA1 licence area</w:t>
      </w:r>
      <w:r w:rsidR="00E43072">
        <w:t>,</w:t>
      </w:r>
      <w:r w:rsidR="00123368">
        <w:t xml:space="preserve"> </w:t>
      </w:r>
      <w:r w:rsidRPr="00903099">
        <w:t>none of whom are in urban centres</w:t>
      </w:r>
    </w:p>
    <w:p w14:paraId="6E232A23" w14:textId="6DFE5565" w:rsidR="00202724" w:rsidRPr="00903099" w:rsidRDefault="00202724" w:rsidP="00AE303D">
      <w:pPr>
        <w:pStyle w:val="ListBulletLast"/>
      </w:pPr>
      <w:r w:rsidRPr="00903099">
        <w:t>160 people in other or no commercial licence areas</w:t>
      </w:r>
      <w:r w:rsidR="00E43072">
        <w:t>,</w:t>
      </w:r>
      <w:r w:rsidRPr="00903099">
        <w:t xml:space="preserve"> none of whom are in urban centres.</w:t>
      </w:r>
    </w:p>
    <w:p w14:paraId="56147F58" w14:textId="02C733EC" w:rsidR="00202724" w:rsidRPr="00903099" w:rsidRDefault="00202724" w:rsidP="00AE303D">
      <w:pPr>
        <w:spacing w:after="80"/>
      </w:pPr>
      <w:r w:rsidRPr="00903099">
        <w:t xml:space="preserve">This compares with the estimated overspill of the current omnidirectional 2BS AM service (field strengths higher than 2.5 mV/m as per the Technical Planning Guidelines) and 2BS FM </w:t>
      </w:r>
      <w:proofErr w:type="spellStart"/>
      <w:r w:rsidRPr="00903099">
        <w:t>infills</w:t>
      </w:r>
      <w:proofErr w:type="spellEnd"/>
      <w:r w:rsidRPr="00903099">
        <w:t xml:space="preserve"> of</w:t>
      </w:r>
      <w:r w:rsidR="0025733D">
        <w:t xml:space="preserve"> (excluding licence area overlaps)</w:t>
      </w:r>
      <w:r w:rsidRPr="00903099">
        <w:t>:</w:t>
      </w:r>
    </w:p>
    <w:p w14:paraId="6B662BE8" w14:textId="619B3DDA" w:rsidR="00202724" w:rsidRPr="00AE303D" w:rsidRDefault="00202724" w:rsidP="00AE303D">
      <w:pPr>
        <w:pStyle w:val="ListBullet"/>
      </w:pPr>
      <w:r w:rsidRPr="00903099">
        <w:t>1,</w:t>
      </w:r>
      <w:r w:rsidRPr="00AE303D">
        <w:t>097 people within the Orange RA1 licence area</w:t>
      </w:r>
      <w:r w:rsidR="00E43072" w:rsidRPr="00AE303D">
        <w:t>,</w:t>
      </w:r>
      <w:r w:rsidRPr="00AE303D">
        <w:t xml:space="preserve"> none of whom are in urban centres</w:t>
      </w:r>
    </w:p>
    <w:p w14:paraId="49AF546C" w14:textId="1BA0B3BB" w:rsidR="00202724" w:rsidRPr="00AE303D" w:rsidRDefault="00202724" w:rsidP="00AE303D">
      <w:pPr>
        <w:pStyle w:val="ListBullet"/>
      </w:pPr>
      <w:r w:rsidRPr="00AE303D">
        <w:t>200 people with</w:t>
      </w:r>
      <w:r w:rsidR="00945576" w:rsidRPr="00AE303D">
        <w:t>in</w:t>
      </w:r>
      <w:r w:rsidRPr="00AE303D">
        <w:t xml:space="preserve"> the Lithgow RA1 licence area</w:t>
      </w:r>
      <w:r w:rsidR="00E43072" w:rsidRPr="00AE303D">
        <w:t>,</w:t>
      </w:r>
      <w:r w:rsidRPr="00AE303D">
        <w:t xml:space="preserve"> none of whom are in urban centres</w:t>
      </w:r>
    </w:p>
    <w:p w14:paraId="664697DC" w14:textId="7F1BD71C" w:rsidR="00202724" w:rsidRPr="00903099" w:rsidRDefault="00202724" w:rsidP="00AE303D">
      <w:pPr>
        <w:pStyle w:val="ListBullet"/>
      </w:pPr>
      <w:r w:rsidRPr="00AE303D">
        <w:t>170 people with</w:t>
      </w:r>
      <w:r w:rsidR="00945576" w:rsidRPr="00AE303D">
        <w:t>in</w:t>
      </w:r>
      <w:r w:rsidRPr="00AE303D">
        <w:t xml:space="preserve"> the Goulburn RA1 licence area</w:t>
      </w:r>
      <w:r w:rsidR="00E43072" w:rsidRPr="00AE303D">
        <w:t>,</w:t>
      </w:r>
      <w:r w:rsidRPr="00AE303D">
        <w:t xml:space="preserve"> none of whom are in urban centres</w:t>
      </w:r>
    </w:p>
    <w:p w14:paraId="3D3CD0F4" w14:textId="5B1B8F71" w:rsidR="00202724" w:rsidRPr="00903099" w:rsidRDefault="00202724" w:rsidP="00AE303D">
      <w:pPr>
        <w:pStyle w:val="ListBulletLast"/>
      </w:pPr>
      <w:r w:rsidRPr="00903099">
        <w:t>170 people in other or no commercial licence areas</w:t>
      </w:r>
      <w:r w:rsidR="00E43072">
        <w:t>,</w:t>
      </w:r>
      <w:r w:rsidRPr="00903099">
        <w:t xml:space="preserve"> none of whom are in urban centres.</w:t>
      </w:r>
    </w:p>
    <w:p w14:paraId="74FED36B" w14:textId="405A7943" w:rsidR="00163621" w:rsidRPr="00903099" w:rsidRDefault="00DA70ED" w:rsidP="00AE303D">
      <w:pPr>
        <w:spacing w:after="80"/>
      </w:pPr>
      <w:r w:rsidRPr="00903099">
        <w:t xml:space="preserve">Consistent with the </w:t>
      </w:r>
      <w:r w:rsidR="00893733" w:rsidRPr="00903099">
        <w:t>AM–FM</w:t>
      </w:r>
      <w:r w:rsidRPr="00903099">
        <w:t xml:space="preserve"> </w:t>
      </w:r>
      <w:r w:rsidR="00944D19">
        <w:t>guidance</w:t>
      </w:r>
      <w:r w:rsidRPr="00903099">
        <w:t>, the proposed technical specifications for the fre</w:t>
      </w:r>
      <w:r w:rsidR="00D95799" w:rsidRPr="00903099">
        <w:t>quency 95.1 MHz in Bathurst RA1</w:t>
      </w:r>
      <w:r w:rsidRPr="00903099">
        <w:t xml:space="preserve"> largely mirror the technical specifications of the </w:t>
      </w:r>
      <w:r w:rsidR="00597642" w:rsidRPr="00903099">
        <w:t xml:space="preserve">existing </w:t>
      </w:r>
      <w:r w:rsidRPr="00903099">
        <w:t>section 39 Bathurst FM (2BX</w:t>
      </w:r>
      <w:r w:rsidR="005257E3" w:rsidRPr="00903099">
        <w:t>S</w:t>
      </w:r>
      <w:r w:rsidRPr="00903099">
        <w:t xml:space="preserve">) </w:t>
      </w:r>
      <w:r w:rsidR="00623145" w:rsidRPr="00903099">
        <w:t xml:space="preserve">service. </w:t>
      </w:r>
      <w:r w:rsidR="00437D16" w:rsidRPr="00903099">
        <w:t>T</w:t>
      </w:r>
      <w:r w:rsidR="004C5C86" w:rsidRPr="00903099">
        <w:t xml:space="preserve">he </w:t>
      </w:r>
      <w:r w:rsidR="00437D16" w:rsidRPr="00903099">
        <w:t xml:space="preserve">signal overspill from the </w:t>
      </w:r>
      <w:r w:rsidR="004C5C86" w:rsidRPr="00903099">
        <w:t>Bathurst s</w:t>
      </w:r>
      <w:r w:rsidR="00AE4DE8" w:rsidRPr="00903099">
        <w:t xml:space="preserve">ection </w:t>
      </w:r>
      <w:r w:rsidR="004C5C86" w:rsidRPr="00903099">
        <w:t xml:space="preserve">39 FM service 2BXS </w:t>
      </w:r>
      <w:r w:rsidR="00437D16" w:rsidRPr="00903099">
        <w:t>into the Orange RA1 and Lithgow RA1 licence areas (e</w:t>
      </w:r>
      <w:r w:rsidR="004C5C86" w:rsidRPr="00903099">
        <w:t>xcluding the licence area overlaps</w:t>
      </w:r>
      <w:r w:rsidR="00437D16" w:rsidRPr="00903099">
        <w:t>)</w:t>
      </w:r>
      <w:r w:rsidR="004C5C86" w:rsidRPr="00903099">
        <w:t xml:space="preserve"> is estimated </w:t>
      </w:r>
      <w:r w:rsidR="00CC14C0" w:rsidRPr="00903099">
        <w:t>to be</w:t>
      </w:r>
      <w:r w:rsidR="00944D19">
        <w:t>,</w:t>
      </w:r>
      <w:r w:rsidR="00944D19" w:rsidRPr="00944D19">
        <w:t xml:space="preserve"> </w:t>
      </w:r>
      <w:r w:rsidR="00944D19" w:rsidRPr="00903099">
        <w:t>at a rural or above grade</w:t>
      </w:r>
      <w:r w:rsidR="00163621" w:rsidRPr="00903099">
        <w:t>:</w:t>
      </w:r>
    </w:p>
    <w:p w14:paraId="2E9BB045" w14:textId="69EAD2F5" w:rsidR="00163621" w:rsidRPr="00AE303D" w:rsidRDefault="00F43B44" w:rsidP="00AE303D">
      <w:pPr>
        <w:pStyle w:val="ListBullet"/>
      </w:pPr>
      <w:r w:rsidRPr="00AE303D">
        <w:t>15,400</w:t>
      </w:r>
      <w:r w:rsidR="004C5C86" w:rsidRPr="00AE303D">
        <w:t xml:space="preserve"> people within the Orange RA1 licence area</w:t>
      </w:r>
    </w:p>
    <w:p w14:paraId="41C1D72C" w14:textId="70ABF61D" w:rsidR="00163621" w:rsidRPr="00AE303D" w:rsidRDefault="00F43B44" w:rsidP="00AE303D">
      <w:pPr>
        <w:pStyle w:val="ListBullet"/>
      </w:pPr>
      <w:r w:rsidRPr="00AE303D">
        <w:t>6,40</w:t>
      </w:r>
      <w:r w:rsidR="004C5C86" w:rsidRPr="00AE303D">
        <w:t xml:space="preserve">0 people within the Lithgow RA1 licence </w:t>
      </w:r>
      <w:r w:rsidR="005257E3" w:rsidRPr="00AE303D">
        <w:t>area</w:t>
      </w:r>
    </w:p>
    <w:p w14:paraId="263537F7" w14:textId="789B68D1" w:rsidR="00163621" w:rsidRPr="00903099" w:rsidRDefault="00F43B44" w:rsidP="00AE303D">
      <w:pPr>
        <w:pStyle w:val="ListBullet"/>
      </w:pPr>
      <w:r w:rsidRPr="00AE303D">
        <w:t>4</w:t>
      </w:r>
      <w:r w:rsidRPr="00903099">
        <w:t>,800 people in the Lithgow RA1 and Katoomba RA1 licence area overlap</w:t>
      </w:r>
    </w:p>
    <w:p w14:paraId="7633A0AF" w14:textId="11EDEF4A" w:rsidR="003042BD" w:rsidRPr="00903099" w:rsidRDefault="00F43B44" w:rsidP="00B455DB">
      <w:pPr>
        <w:pStyle w:val="ListBulletLast"/>
      </w:pPr>
      <w:r w:rsidRPr="00903099">
        <w:t>150 people in other areas</w:t>
      </w:r>
      <w:r w:rsidR="005257E3" w:rsidRPr="00903099">
        <w:t>.</w:t>
      </w:r>
    </w:p>
    <w:p w14:paraId="30B0B68E" w14:textId="7001B123" w:rsidR="00597642" w:rsidRPr="00903099" w:rsidRDefault="00DA70ED" w:rsidP="00AE303D">
      <w:r w:rsidRPr="00903099">
        <w:t xml:space="preserve">The ACMA proposes </w:t>
      </w:r>
      <w:r w:rsidR="009D5735" w:rsidRPr="00903099">
        <w:t xml:space="preserve">to specify a directional radiation pattern for </w:t>
      </w:r>
      <w:r w:rsidRPr="00903099">
        <w:t xml:space="preserve">the </w:t>
      </w:r>
      <w:r w:rsidR="003615CF" w:rsidRPr="00903099">
        <w:t xml:space="preserve">FM </w:t>
      </w:r>
      <w:r w:rsidRPr="00903099">
        <w:t>transmitter for the 2BS</w:t>
      </w:r>
      <w:r w:rsidR="00944D19">
        <w:t>-</w:t>
      </w:r>
      <w:r w:rsidRPr="00903099">
        <w:t xml:space="preserve">converted service </w:t>
      </w:r>
      <w:r w:rsidR="006A1B82" w:rsidRPr="00903099">
        <w:t>in contrast to the</w:t>
      </w:r>
      <w:r w:rsidR="008B22EB" w:rsidRPr="00903099">
        <w:t xml:space="preserve"> </w:t>
      </w:r>
      <w:proofErr w:type="spellStart"/>
      <w:r w:rsidR="008B22EB" w:rsidRPr="00903099">
        <w:t>omni</w:t>
      </w:r>
      <w:proofErr w:type="spellEnd"/>
      <w:r w:rsidR="008B22EB" w:rsidRPr="00903099">
        <w:t>-directional radiation pattern</w:t>
      </w:r>
      <w:r w:rsidR="009D5735" w:rsidRPr="00903099">
        <w:t xml:space="preserve"> specified for</w:t>
      </w:r>
      <w:r w:rsidR="006A1B82" w:rsidRPr="00903099">
        <w:t xml:space="preserve"> the section 39</w:t>
      </w:r>
      <w:r w:rsidR="00597642" w:rsidRPr="00903099">
        <w:t xml:space="preserve"> 2BX</w:t>
      </w:r>
      <w:r w:rsidR="005257E3" w:rsidRPr="00903099">
        <w:t>S</w:t>
      </w:r>
      <w:r w:rsidR="00597642" w:rsidRPr="00903099">
        <w:t xml:space="preserve"> transmitter</w:t>
      </w:r>
      <w:r w:rsidR="008B22EB" w:rsidRPr="00903099">
        <w:t>.</w:t>
      </w:r>
      <w:r w:rsidRPr="00903099">
        <w:t xml:space="preserve"> </w:t>
      </w:r>
      <w:r w:rsidR="00F347E8" w:rsidRPr="00903099">
        <w:t xml:space="preserve">This difference in antenna pattern is to mitigate the potential for interference with </w:t>
      </w:r>
      <w:r w:rsidR="009D5735" w:rsidRPr="00903099">
        <w:t>other</w:t>
      </w:r>
      <w:r w:rsidR="00B943F1" w:rsidRPr="00903099">
        <w:t xml:space="preserve"> </w:t>
      </w:r>
      <w:r w:rsidR="00F347E8" w:rsidRPr="00903099">
        <w:t>broadcasting services in Sydney, Gosford and Nowra licence areas</w:t>
      </w:r>
      <w:r w:rsidR="00623145" w:rsidRPr="00903099">
        <w:t xml:space="preserve">. </w:t>
      </w:r>
    </w:p>
    <w:p w14:paraId="239EDAC3" w14:textId="77777777" w:rsidR="00A1403D" w:rsidRPr="00AE303D" w:rsidRDefault="00A1403D" w:rsidP="00B455DB">
      <w:pPr>
        <w:pStyle w:val="Heading2"/>
        <w:keepLines/>
      </w:pPr>
      <w:bookmarkStart w:id="17" w:name="_Toc510710742"/>
      <w:bookmarkStart w:id="18" w:name="_Toc513195742"/>
      <w:r w:rsidRPr="00903099">
        <w:lastRenderedPageBreak/>
        <w:t>Execution of AM–FM conversion</w:t>
      </w:r>
      <w:bookmarkEnd w:id="17"/>
      <w:bookmarkEnd w:id="18"/>
    </w:p>
    <w:p w14:paraId="203B3758" w14:textId="77777777" w:rsidR="00A1403D" w:rsidRPr="00903099" w:rsidRDefault="00A1403D" w:rsidP="00B455DB">
      <w:pPr>
        <w:pStyle w:val="Heading3"/>
        <w:keepLines/>
      </w:pPr>
      <w:bookmarkStart w:id="19" w:name="_Toc513195743"/>
      <w:r w:rsidRPr="00903099">
        <w:t>Simulcast period of AM and FM services</w:t>
      </w:r>
      <w:bookmarkEnd w:id="19"/>
    </w:p>
    <w:p w14:paraId="1AC6EFE8" w14:textId="64873964" w:rsidR="00A1403D" w:rsidRPr="00903099" w:rsidRDefault="00A1403D" w:rsidP="00B455DB">
      <w:pPr>
        <w:keepNext/>
        <w:keepLines/>
      </w:pPr>
      <w:r w:rsidRPr="00903099">
        <w:t>The ACMA is proposing a 28-day simulcast period, where both the 2BS AM (on 1503</w:t>
      </w:r>
      <w:r w:rsidR="00944D19">
        <w:t> </w:t>
      </w:r>
      <w:proofErr w:type="gramStart"/>
      <w:r w:rsidRPr="00903099">
        <w:t>kHz</w:t>
      </w:r>
      <w:proofErr w:type="gramEnd"/>
      <w:r w:rsidRPr="00903099">
        <w:t xml:space="preserve">) and the converted 2BS FM service (on 95.1 MHz) may operate. This period </w:t>
      </w:r>
      <w:r w:rsidR="00E43072">
        <w:t xml:space="preserve">would </w:t>
      </w:r>
      <w:r w:rsidRPr="00903099">
        <w:t xml:space="preserve">allow the licensee to undertake a communications strategy on both services to inform listeners of the change to its radio service. It is expected the AM service </w:t>
      </w:r>
      <w:r w:rsidR="00E43072">
        <w:t xml:space="preserve">would </w:t>
      </w:r>
      <w:r w:rsidRPr="00903099">
        <w:t xml:space="preserve">shut down at the end of the simulcast period. </w:t>
      </w:r>
    </w:p>
    <w:p w14:paraId="5CEE4EF4" w14:textId="71594441" w:rsidR="00A1403D" w:rsidRPr="00903099" w:rsidRDefault="00A1403D" w:rsidP="00A1403D">
      <w:pPr>
        <w:pStyle w:val="Heading3"/>
      </w:pPr>
      <w:bookmarkStart w:id="20" w:name="_Toc513195744"/>
      <w:r w:rsidRPr="00903099">
        <w:t xml:space="preserve">Special conditions in the LAP </w:t>
      </w:r>
      <w:r w:rsidR="00E43072">
        <w:t xml:space="preserve">would </w:t>
      </w:r>
      <w:r w:rsidRPr="00903099">
        <w:t>execute the conversion</w:t>
      </w:r>
      <w:bookmarkEnd w:id="20"/>
    </w:p>
    <w:p w14:paraId="3D57BEE8" w14:textId="7749FDBE" w:rsidR="00A1403D" w:rsidRPr="00903099" w:rsidRDefault="00A1403D" w:rsidP="00A1403D">
      <w:r w:rsidRPr="00903099">
        <w:t>The ACMA is proposing to attach special conditions to the relevant AM and FM technical specifications. The</w:t>
      </w:r>
      <w:r w:rsidR="00426E40">
        <w:t>se</w:t>
      </w:r>
      <w:r w:rsidRPr="00903099">
        <w:t xml:space="preserve"> </w:t>
      </w:r>
      <w:r w:rsidR="00E43072">
        <w:t xml:space="preserve">would </w:t>
      </w:r>
      <w:r w:rsidRPr="00903099">
        <w:t xml:space="preserve">provide for the simulcast period and require that the AM transmitter cease operation at the </w:t>
      </w:r>
      <w:r w:rsidR="002B4EF5" w:rsidRPr="00903099">
        <w:t xml:space="preserve">end </w:t>
      </w:r>
      <w:r w:rsidRPr="00903099">
        <w:t>of that period.</w:t>
      </w:r>
    </w:p>
    <w:p w14:paraId="497D5DC5" w14:textId="524F7E20" w:rsidR="00654F4F" w:rsidRPr="00AE303D" w:rsidRDefault="00A1403D" w:rsidP="00AE303D">
      <w:pPr>
        <w:pStyle w:val="Heading2"/>
      </w:pPr>
      <w:bookmarkStart w:id="21" w:name="_Toc513195745"/>
      <w:r w:rsidRPr="00903099">
        <w:t>Preliminary v</w:t>
      </w:r>
      <w:r w:rsidR="00654F4F" w:rsidRPr="00903099">
        <w:t>iew</w:t>
      </w:r>
      <w:bookmarkEnd w:id="21"/>
      <w:r w:rsidR="00654F4F" w:rsidRPr="00903099">
        <w:t xml:space="preserve"> </w:t>
      </w:r>
    </w:p>
    <w:p w14:paraId="07871806" w14:textId="1BDC937F" w:rsidR="002323F1" w:rsidRPr="00903099" w:rsidRDefault="00A1403D" w:rsidP="00AE303D">
      <w:pPr>
        <w:keepNext/>
        <w:keepLines/>
        <w:spacing w:after="80"/>
      </w:pPr>
      <w:r w:rsidRPr="00903099">
        <w:t>The ACMA, in considering whether to make spectrum available for a new transmitter to facilitate the AM–FM conversion requested by the commercial radio broadcasting licensee in the Bathurst LAP, seeks to promote the objects of the BSA</w:t>
      </w:r>
      <w:r w:rsidRPr="00903099">
        <w:rPr>
          <w:rStyle w:val="FootnoteReference"/>
        </w:rPr>
        <w:footnoteReference w:id="15"/>
      </w:r>
      <w:r w:rsidRPr="00903099">
        <w:t xml:space="preserve"> and has regard to the matters listed in section 23 of the BSA, including:</w:t>
      </w:r>
    </w:p>
    <w:p w14:paraId="0FAF3B0B" w14:textId="77777777" w:rsidR="00A1403D" w:rsidRPr="00AE303D" w:rsidRDefault="00A1403D" w:rsidP="00AE303D">
      <w:pPr>
        <w:pStyle w:val="ListBullet"/>
      </w:pPr>
      <w:r w:rsidRPr="00AE303D">
        <w:t>relevant demographics and social and economic characteristics (paragraphs 23(a) and (b))</w:t>
      </w:r>
    </w:p>
    <w:p w14:paraId="5078CF71" w14:textId="77777777" w:rsidR="00A1403D" w:rsidRPr="00AE303D" w:rsidRDefault="00A1403D" w:rsidP="00AE303D">
      <w:pPr>
        <w:pStyle w:val="ListBullet"/>
      </w:pPr>
      <w:r w:rsidRPr="00AE303D">
        <w:t>the number of existing broadcasting services (paragraph 23(c))</w:t>
      </w:r>
    </w:p>
    <w:p w14:paraId="45BB069B" w14:textId="77777777" w:rsidR="00A1403D" w:rsidRPr="00903099" w:rsidRDefault="00A1403D" w:rsidP="00AE303D">
      <w:pPr>
        <w:pStyle w:val="ListBullet"/>
      </w:pPr>
      <w:r w:rsidRPr="00AE303D">
        <w:t>the</w:t>
      </w:r>
      <w:r w:rsidRPr="00903099">
        <w:t xml:space="preserve"> demand for new services (paragraph 23(c))</w:t>
      </w:r>
    </w:p>
    <w:p w14:paraId="32F93902" w14:textId="6C985376" w:rsidR="00A1403D" w:rsidRPr="00903099" w:rsidRDefault="00A1403D" w:rsidP="00AE303D">
      <w:pPr>
        <w:pStyle w:val="ListBulletLast"/>
      </w:pPr>
      <w:proofErr w:type="gramStart"/>
      <w:r w:rsidRPr="00903099">
        <w:t>the</w:t>
      </w:r>
      <w:proofErr w:type="gramEnd"/>
      <w:r w:rsidRPr="00903099">
        <w:t xml:space="preserve"> technical restraints relating to the delivery or reception of broadcasting services in the licence area (paragraph 23(e))</w:t>
      </w:r>
      <w:r w:rsidR="00426E40">
        <w:t>.</w:t>
      </w:r>
    </w:p>
    <w:p w14:paraId="1E0CCD42" w14:textId="02887272" w:rsidR="00A1403D" w:rsidRPr="00903099" w:rsidRDefault="00426E40" w:rsidP="00A1403D">
      <w:r>
        <w:t>We also consider</w:t>
      </w:r>
      <w:r w:rsidR="00A1403D" w:rsidRPr="00903099">
        <w:t xml:space="preserve"> all relevant </w:t>
      </w:r>
      <w:r w:rsidRPr="00903099">
        <w:t xml:space="preserve">available </w:t>
      </w:r>
      <w:r w:rsidR="00A1403D" w:rsidRPr="00903099">
        <w:t>evidence.</w:t>
      </w:r>
    </w:p>
    <w:p w14:paraId="13D02F3F" w14:textId="0913BB2B" w:rsidR="00163621" w:rsidRPr="00903099" w:rsidRDefault="00A1403D" w:rsidP="00AE303D">
      <w:r w:rsidRPr="00903099">
        <w:t xml:space="preserve">The ACMA has formed the preliminary view that the proposal to </w:t>
      </w:r>
      <w:r w:rsidR="00491977" w:rsidRPr="00903099">
        <w:t xml:space="preserve">add new </w:t>
      </w:r>
      <w:r w:rsidRPr="00903099">
        <w:t>tech</w:t>
      </w:r>
      <w:r w:rsidR="0013570F" w:rsidRPr="00903099">
        <w:t xml:space="preserve">nical specifications </w:t>
      </w:r>
      <w:r w:rsidRPr="00903099">
        <w:t>to allow for an AM–FM conversion of 2BS Bathurst, in accordance with the AM–FM guidance</w:t>
      </w:r>
      <w:r w:rsidR="002B4EF5" w:rsidRPr="00903099">
        <w:t>,</w:t>
      </w:r>
      <w:r w:rsidR="0013570F" w:rsidRPr="00903099">
        <w:t xml:space="preserve"> </w:t>
      </w:r>
      <w:r w:rsidRPr="00903099">
        <w:t>is likely to promote the objects of the BSA. Further, the proposal is consistent with the planning criteria of the BSA</w:t>
      </w:r>
      <w:r w:rsidR="00426E40">
        <w:t>;</w:t>
      </w:r>
      <w:r w:rsidRPr="00903099">
        <w:t xml:space="preserve"> in particular</w:t>
      </w:r>
      <w:r w:rsidR="00426E40">
        <w:t>,</w:t>
      </w:r>
      <w:r w:rsidRPr="00903099">
        <w:t xml:space="preserve"> the demographic characteristics (paragraph 23(a)), the demand for new services (paragraph 23(c)) and the restraints relating to the delivery or reception of broadcasting services in those licence areas (paragraph 23(e)) for the reasons set out above. </w:t>
      </w:r>
    </w:p>
    <w:p w14:paraId="6D86131E" w14:textId="2EB24BD3" w:rsidR="00BB64AA" w:rsidRPr="00903099" w:rsidRDefault="00426E40" w:rsidP="00AE303D">
      <w:r>
        <w:t>We have</w:t>
      </w:r>
      <w:r w:rsidR="00A1403D" w:rsidRPr="00903099">
        <w:t xml:space="preserve"> considered the predicted coverage and interference potential of the </w:t>
      </w:r>
      <w:r w:rsidR="001A5128" w:rsidRPr="00903099">
        <w:t xml:space="preserve">proposed </w:t>
      </w:r>
      <w:r w:rsidR="0013570F" w:rsidRPr="00903099">
        <w:t>2BS</w:t>
      </w:r>
      <w:r w:rsidR="00A1403D" w:rsidRPr="00903099">
        <w:t xml:space="preserve"> </w:t>
      </w:r>
      <w:r w:rsidR="001A5128" w:rsidRPr="00903099">
        <w:t xml:space="preserve">FM </w:t>
      </w:r>
      <w:r w:rsidR="00A1403D" w:rsidRPr="00903099">
        <w:t xml:space="preserve">transmitter in the </w:t>
      </w:r>
      <w:r w:rsidR="0013570F" w:rsidRPr="00903099">
        <w:t>Bathurst</w:t>
      </w:r>
      <w:r w:rsidR="00A1403D" w:rsidRPr="00903099">
        <w:t xml:space="preserve"> RA1 licence area when assessing the proposed AM–FM conversion of the </w:t>
      </w:r>
      <w:r w:rsidR="0013570F" w:rsidRPr="00903099">
        <w:t>2BS Bathurst</w:t>
      </w:r>
      <w:r w:rsidR="00A1403D" w:rsidRPr="00903099">
        <w:t xml:space="preserve"> commercial radio broadcasting service. </w:t>
      </w:r>
      <w:r>
        <w:t>We</w:t>
      </w:r>
      <w:r w:rsidR="00A1403D" w:rsidRPr="00903099">
        <w:t xml:space="preserve"> consider the proposal for the variation of the </w:t>
      </w:r>
      <w:r w:rsidR="0013570F" w:rsidRPr="00903099">
        <w:t>Bathurst</w:t>
      </w:r>
      <w:r w:rsidR="00A1403D" w:rsidRPr="00903099">
        <w:t xml:space="preserve"> LAP is an economic and efficient use of spectrum.</w:t>
      </w:r>
    </w:p>
    <w:p w14:paraId="43060E99" w14:textId="22B6CCD0" w:rsidR="002A0F54" w:rsidRPr="00903099" w:rsidRDefault="00C548E1" w:rsidP="00FF3C69">
      <w:pPr>
        <w:pStyle w:val="Heading1"/>
      </w:pPr>
      <w:bookmarkStart w:id="22" w:name="_Toc513195746"/>
      <w:bookmarkStart w:id="23" w:name="_Toc298924672"/>
      <w:bookmarkStart w:id="24" w:name="_Toc300909555"/>
      <w:bookmarkStart w:id="25" w:name="_Toc348105636"/>
      <w:r w:rsidRPr="00903099">
        <w:lastRenderedPageBreak/>
        <w:t>Proposed m</w:t>
      </w:r>
      <w:r w:rsidR="002A0F54" w:rsidRPr="00903099">
        <w:t>inor amendments</w:t>
      </w:r>
      <w:bookmarkEnd w:id="22"/>
    </w:p>
    <w:p w14:paraId="44684B61" w14:textId="7D04A158" w:rsidR="00BF12A9" w:rsidRPr="00903099" w:rsidRDefault="00BF12A9" w:rsidP="00AE303D">
      <w:pPr>
        <w:spacing w:after="80"/>
      </w:pPr>
      <w:r w:rsidRPr="00903099">
        <w:t>The ACMA proposes making minor amendments to the text, the schedules and attachments of the Bathurst LAP as follows:</w:t>
      </w:r>
      <w:r w:rsidR="002A0F54" w:rsidRPr="00903099">
        <w:t xml:space="preserve"> </w:t>
      </w:r>
    </w:p>
    <w:p w14:paraId="62952E74" w14:textId="7B44CE01" w:rsidR="007A759E" w:rsidRPr="00903099" w:rsidRDefault="006A3F78" w:rsidP="00AE303D">
      <w:pPr>
        <w:pStyle w:val="ListBullet"/>
      </w:pPr>
      <w:r w:rsidRPr="00903099">
        <w:t>updat</w:t>
      </w:r>
      <w:r w:rsidR="00E43072">
        <w:t>ing</w:t>
      </w:r>
      <w:r w:rsidRPr="00903099">
        <w:t xml:space="preserve"> various transmitter site nominal locations to reflect the current naming of these transmitter sites</w:t>
      </w:r>
    </w:p>
    <w:p w14:paraId="4029A64E" w14:textId="199FEF62" w:rsidR="006A3F78" w:rsidRPr="00903099" w:rsidRDefault="006A3F78" w:rsidP="00AE303D">
      <w:pPr>
        <w:pStyle w:val="ListBullet"/>
      </w:pPr>
      <w:r w:rsidRPr="00903099">
        <w:t>updat</w:t>
      </w:r>
      <w:r w:rsidR="00E43072">
        <w:t>ing</w:t>
      </w:r>
      <w:r w:rsidRPr="00903099">
        <w:t xml:space="preserve"> the technical specifications to reflect correct output radiation patterns and coordinates</w:t>
      </w:r>
    </w:p>
    <w:p w14:paraId="182A82AA" w14:textId="0A17EF50" w:rsidR="007A759E" w:rsidRPr="00903099" w:rsidRDefault="006A3F78" w:rsidP="005D6C30">
      <w:pPr>
        <w:pStyle w:val="ListBulletLast"/>
      </w:pPr>
      <w:proofErr w:type="gramStart"/>
      <w:r w:rsidRPr="00903099">
        <w:t>amend</w:t>
      </w:r>
      <w:r w:rsidR="00E43072">
        <w:t>ing</w:t>
      </w:r>
      <w:proofErr w:type="gramEnd"/>
      <w:r w:rsidRPr="00903099">
        <w:t xml:space="preserve"> advisory notes to </w:t>
      </w:r>
      <w:r w:rsidR="00491977" w:rsidRPr="00903099">
        <w:t xml:space="preserve">technical </w:t>
      </w:r>
      <w:r w:rsidRPr="00903099">
        <w:t>specification TS1133740</w:t>
      </w:r>
      <w:r w:rsidR="00491977" w:rsidRPr="00903099">
        <w:t xml:space="preserve"> </w:t>
      </w:r>
      <w:r w:rsidR="00E43072">
        <w:t xml:space="preserve">to provide </w:t>
      </w:r>
      <w:r w:rsidRPr="00903099">
        <w:t xml:space="preserve">more detailed information about </w:t>
      </w:r>
      <w:r w:rsidR="00906584">
        <w:t xml:space="preserve">the </w:t>
      </w:r>
      <w:r w:rsidRPr="00903099">
        <w:t>minimum median field strength level</w:t>
      </w:r>
      <w:r w:rsidR="00906584">
        <w:t xml:space="preserve"> to which a transmission will be</w:t>
      </w:r>
      <w:r w:rsidRPr="00903099">
        <w:t xml:space="preserve"> protected against </w:t>
      </w:r>
      <w:r w:rsidRPr="00AE303D">
        <w:t>interference</w:t>
      </w:r>
      <w:r w:rsidRPr="00903099">
        <w:t>.</w:t>
      </w:r>
    </w:p>
    <w:p w14:paraId="6A09DE89" w14:textId="3BA5C975" w:rsidR="00FF3C69" w:rsidRPr="00903099" w:rsidRDefault="00FF3C69" w:rsidP="00FF3C69">
      <w:pPr>
        <w:pStyle w:val="Heading1"/>
      </w:pPr>
      <w:bookmarkStart w:id="26" w:name="_Toc513195747"/>
      <w:r w:rsidRPr="00903099">
        <w:lastRenderedPageBreak/>
        <w:t>Invitation to comment</w:t>
      </w:r>
      <w:bookmarkEnd w:id="23"/>
      <w:bookmarkEnd w:id="24"/>
      <w:bookmarkEnd w:id="25"/>
      <w:bookmarkEnd w:id="26"/>
    </w:p>
    <w:p w14:paraId="21D0120F" w14:textId="77777777" w:rsidR="00B92864" w:rsidRPr="00903099" w:rsidRDefault="00B92864" w:rsidP="00B92864">
      <w:pPr>
        <w:pStyle w:val="Heading2"/>
      </w:pPr>
      <w:bookmarkStart w:id="27" w:name="_Toc298924673"/>
      <w:bookmarkStart w:id="28" w:name="_Toc300909556"/>
      <w:bookmarkStart w:id="29" w:name="_Toc348105637"/>
      <w:bookmarkStart w:id="30" w:name="_Toc383418731"/>
      <w:bookmarkStart w:id="31" w:name="_Toc390418203"/>
      <w:bookmarkStart w:id="32" w:name="_Toc392152684"/>
      <w:bookmarkStart w:id="33" w:name="_Toc392154622"/>
      <w:bookmarkStart w:id="34" w:name="_Toc513195748"/>
      <w:r w:rsidRPr="00903099">
        <w:t>Making a submission</w:t>
      </w:r>
      <w:bookmarkEnd w:id="27"/>
      <w:bookmarkEnd w:id="28"/>
      <w:bookmarkEnd w:id="29"/>
      <w:bookmarkEnd w:id="30"/>
      <w:bookmarkEnd w:id="31"/>
      <w:bookmarkEnd w:id="32"/>
      <w:bookmarkEnd w:id="33"/>
      <w:bookmarkEnd w:id="34"/>
    </w:p>
    <w:p w14:paraId="600F6902" w14:textId="77777777" w:rsidR="002B1B32" w:rsidRPr="00903099" w:rsidRDefault="00B92864" w:rsidP="00B92864">
      <w:pPr>
        <w:autoSpaceDE w:val="0"/>
        <w:autoSpaceDN w:val="0"/>
        <w:adjustRightInd w:val="0"/>
        <w:spacing w:after="80" w:line="240" w:lineRule="auto"/>
        <w:rPr>
          <w:rFonts w:cs="Arial"/>
          <w:szCs w:val="20"/>
        </w:rPr>
      </w:pPr>
      <w:r w:rsidRPr="00903099">
        <w:rPr>
          <w:rFonts w:cs="Arial"/>
          <w:szCs w:val="20"/>
        </w:rPr>
        <w:t xml:space="preserve">The ACMA invites </w:t>
      </w:r>
      <w:r w:rsidR="002B1B32" w:rsidRPr="00903099">
        <w:rPr>
          <w:rFonts w:cs="Arial"/>
          <w:szCs w:val="20"/>
        </w:rPr>
        <w:t>comments</w:t>
      </w:r>
      <w:r w:rsidRPr="00903099">
        <w:rPr>
          <w:rFonts w:cs="Arial"/>
          <w:szCs w:val="20"/>
        </w:rPr>
        <w:t xml:space="preserve"> on the </w:t>
      </w:r>
      <w:r w:rsidR="002B1B32" w:rsidRPr="00903099">
        <w:rPr>
          <w:rFonts w:cs="Arial"/>
          <w:szCs w:val="20"/>
        </w:rPr>
        <w:t xml:space="preserve">issues set out in this consultation </w:t>
      </w:r>
      <w:r w:rsidRPr="00903099">
        <w:rPr>
          <w:rFonts w:cs="Arial"/>
          <w:szCs w:val="20"/>
        </w:rPr>
        <w:t>paper.</w:t>
      </w:r>
    </w:p>
    <w:p w14:paraId="0A78B9D2" w14:textId="5500081B" w:rsidR="002B1B32" w:rsidRPr="00903099" w:rsidRDefault="001E02E2" w:rsidP="00B455DB">
      <w:pPr>
        <w:pStyle w:val="ListBullet"/>
      </w:pPr>
      <w:hyperlink r:id="rId31" w:history="1">
        <w:r w:rsidR="002B1B32" w:rsidRPr="00B455DB">
          <w:rPr>
            <w:rStyle w:val="Hyperlink"/>
            <w:b/>
          </w:rPr>
          <w:t>Online submissions</w:t>
        </w:r>
      </w:hyperlink>
      <w:r w:rsidR="00426E40">
        <w:t>—</w:t>
      </w:r>
      <w:r w:rsidR="002B1B32" w:rsidRPr="00903099">
        <w:t xml:space="preserve">submissions can be made via the comment function or by uploading a document. The online consultation page provides details. </w:t>
      </w:r>
    </w:p>
    <w:p w14:paraId="7C0BD6A4" w14:textId="7D43E971" w:rsidR="002B1B32" w:rsidRPr="00903099" w:rsidRDefault="002B1B32" w:rsidP="00B455DB">
      <w:pPr>
        <w:pStyle w:val="ListBullet"/>
      </w:pPr>
      <w:r w:rsidRPr="00B455DB">
        <w:rPr>
          <w:b/>
        </w:rPr>
        <w:t>Submissions by post</w:t>
      </w:r>
      <w:r w:rsidR="00426E40">
        <w:t>—</w:t>
      </w:r>
      <w:r w:rsidRPr="00903099">
        <w:t>can be sent to:</w:t>
      </w:r>
    </w:p>
    <w:p w14:paraId="1B76331D" w14:textId="737D8E3D" w:rsidR="002B1B32" w:rsidRPr="00903099" w:rsidRDefault="002B1B32" w:rsidP="00426E40">
      <w:pPr>
        <w:autoSpaceDE w:val="0"/>
        <w:autoSpaceDN w:val="0"/>
        <w:adjustRightInd w:val="0"/>
        <w:spacing w:after="0" w:line="240" w:lineRule="auto"/>
        <w:ind w:left="284"/>
        <w:rPr>
          <w:rFonts w:cs="Arial"/>
          <w:szCs w:val="20"/>
        </w:rPr>
      </w:pPr>
      <w:r w:rsidRPr="00903099">
        <w:rPr>
          <w:rFonts w:cs="Arial"/>
          <w:szCs w:val="20"/>
        </w:rPr>
        <w:t xml:space="preserve">Broadcasting Carriage Policy Section </w:t>
      </w:r>
    </w:p>
    <w:p w14:paraId="5C138260" w14:textId="0BE2BF3B" w:rsidR="002B1B32" w:rsidRPr="00903099" w:rsidRDefault="002B1B32" w:rsidP="00426E40">
      <w:pPr>
        <w:autoSpaceDE w:val="0"/>
        <w:autoSpaceDN w:val="0"/>
        <w:adjustRightInd w:val="0"/>
        <w:spacing w:after="0" w:line="240" w:lineRule="auto"/>
        <w:ind w:left="284"/>
        <w:rPr>
          <w:rFonts w:cs="Arial"/>
          <w:szCs w:val="20"/>
        </w:rPr>
      </w:pPr>
      <w:r w:rsidRPr="00903099">
        <w:rPr>
          <w:rFonts w:cs="Arial"/>
          <w:szCs w:val="20"/>
        </w:rPr>
        <w:t xml:space="preserve">Australian Communications and Media Authority </w:t>
      </w:r>
    </w:p>
    <w:p w14:paraId="32C6B38C" w14:textId="5C1D7986" w:rsidR="002B1B32" w:rsidRPr="00903099" w:rsidRDefault="002B1B32" w:rsidP="00426E40">
      <w:pPr>
        <w:autoSpaceDE w:val="0"/>
        <w:autoSpaceDN w:val="0"/>
        <w:adjustRightInd w:val="0"/>
        <w:spacing w:after="0" w:line="240" w:lineRule="auto"/>
        <w:ind w:left="284"/>
        <w:rPr>
          <w:rFonts w:cs="Arial"/>
          <w:szCs w:val="20"/>
        </w:rPr>
      </w:pPr>
      <w:r w:rsidRPr="00903099">
        <w:rPr>
          <w:rFonts w:cs="Arial"/>
          <w:szCs w:val="20"/>
        </w:rPr>
        <w:t xml:space="preserve">PO Box </w:t>
      </w:r>
      <w:r w:rsidR="00CF3719" w:rsidRPr="00903099">
        <w:rPr>
          <w:rFonts w:cs="Arial"/>
          <w:szCs w:val="20"/>
        </w:rPr>
        <w:t>Q500</w:t>
      </w:r>
    </w:p>
    <w:p w14:paraId="5B86C416" w14:textId="71CBFB58" w:rsidR="00CF3719" w:rsidRPr="00903099" w:rsidRDefault="00CF3719" w:rsidP="00426E40">
      <w:pPr>
        <w:autoSpaceDE w:val="0"/>
        <w:autoSpaceDN w:val="0"/>
        <w:adjustRightInd w:val="0"/>
        <w:spacing w:after="0" w:line="240" w:lineRule="auto"/>
        <w:ind w:left="284"/>
        <w:rPr>
          <w:rFonts w:cs="Arial"/>
          <w:szCs w:val="20"/>
        </w:rPr>
      </w:pPr>
      <w:r w:rsidRPr="00903099">
        <w:rPr>
          <w:rFonts w:cs="Arial"/>
          <w:szCs w:val="20"/>
        </w:rPr>
        <w:t>Queen Victoria Building</w:t>
      </w:r>
    </w:p>
    <w:p w14:paraId="756F22CE" w14:textId="2EEBD18F" w:rsidR="00B92864" w:rsidRPr="00903099" w:rsidRDefault="00CF3719" w:rsidP="00426E40">
      <w:pPr>
        <w:autoSpaceDE w:val="0"/>
        <w:autoSpaceDN w:val="0"/>
        <w:adjustRightInd w:val="0"/>
        <w:spacing w:line="240" w:lineRule="auto"/>
        <w:ind w:left="284"/>
        <w:rPr>
          <w:rFonts w:cs="Arial"/>
          <w:szCs w:val="20"/>
        </w:rPr>
      </w:pPr>
      <w:r w:rsidRPr="00903099">
        <w:rPr>
          <w:rFonts w:cs="Arial"/>
          <w:szCs w:val="20"/>
        </w:rPr>
        <w:t>NSW</w:t>
      </w:r>
      <w:r w:rsidR="002B1B32" w:rsidRPr="00903099">
        <w:rPr>
          <w:rFonts w:cs="Arial"/>
          <w:szCs w:val="20"/>
        </w:rPr>
        <w:t xml:space="preserve"> </w:t>
      </w:r>
      <w:r w:rsidRPr="00903099">
        <w:rPr>
          <w:rFonts w:cs="Arial"/>
          <w:szCs w:val="20"/>
        </w:rPr>
        <w:t>1230</w:t>
      </w:r>
      <w:r w:rsidR="00B92864" w:rsidRPr="00903099">
        <w:rPr>
          <w:rFonts w:cs="Arial"/>
          <w:szCs w:val="20"/>
        </w:rPr>
        <w:t xml:space="preserve"> </w:t>
      </w:r>
    </w:p>
    <w:p w14:paraId="17EA8F0C" w14:textId="4DA1D0D7" w:rsidR="00B92864" w:rsidRPr="00903099" w:rsidRDefault="00B92864" w:rsidP="00B92864">
      <w:pPr>
        <w:autoSpaceDE w:val="0"/>
        <w:autoSpaceDN w:val="0"/>
        <w:adjustRightInd w:val="0"/>
        <w:spacing w:line="240" w:lineRule="auto"/>
        <w:rPr>
          <w:rFonts w:cs="Arial"/>
          <w:szCs w:val="20"/>
        </w:rPr>
      </w:pPr>
      <w:r w:rsidRPr="00903099">
        <w:rPr>
          <w:rFonts w:cs="Arial"/>
          <w:b/>
          <w:szCs w:val="20"/>
        </w:rPr>
        <w:t>The closing date for submissions is</w:t>
      </w:r>
      <w:r w:rsidR="002B1B32" w:rsidRPr="00903099">
        <w:rPr>
          <w:rFonts w:cs="Arial"/>
          <w:b/>
          <w:szCs w:val="20"/>
        </w:rPr>
        <w:t xml:space="preserve"> COB, </w:t>
      </w:r>
      <w:r w:rsidR="00493D50">
        <w:rPr>
          <w:rFonts w:cs="Arial"/>
          <w:b/>
          <w:szCs w:val="20"/>
        </w:rPr>
        <w:t>Friday</w:t>
      </w:r>
      <w:r w:rsidR="00CF3719" w:rsidRPr="00903099">
        <w:rPr>
          <w:rFonts w:cs="Arial"/>
          <w:b/>
          <w:szCs w:val="20"/>
        </w:rPr>
        <w:t xml:space="preserve"> </w:t>
      </w:r>
      <w:r w:rsidR="00493D50">
        <w:rPr>
          <w:rFonts w:cs="Arial"/>
          <w:b/>
          <w:szCs w:val="20"/>
        </w:rPr>
        <w:t>8</w:t>
      </w:r>
      <w:r w:rsidR="00493D50" w:rsidRPr="00903099">
        <w:rPr>
          <w:rFonts w:cs="Arial"/>
          <w:b/>
          <w:szCs w:val="20"/>
        </w:rPr>
        <w:t xml:space="preserve"> </w:t>
      </w:r>
      <w:r w:rsidR="00CF3719" w:rsidRPr="00903099">
        <w:rPr>
          <w:rFonts w:cs="Arial"/>
          <w:b/>
          <w:szCs w:val="20"/>
        </w:rPr>
        <w:t>June 2018</w:t>
      </w:r>
      <w:r w:rsidR="002B1B32" w:rsidRPr="00903099">
        <w:rPr>
          <w:rFonts w:cs="Arial"/>
          <w:b/>
          <w:szCs w:val="20"/>
        </w:rPr>
        <w:t xml:space="preserve">. </w:t>
      </w:r>
      <w:r w:rsidR="002B1B32" w:rsidRPr="00903099">
        <w:rPr>
          <w:rFonts w:cs="Arial"/>
          <w:szCs w:val="20"/>
        </w:rPr>
        <w:t xml:space="preserve">Please quote file reference </w:t>
      </w:r>
      <w:r w:rsidR="002B2998" w:rsidRPr="00903099">
        <w:rPr>
          <w:rFonts w:cs="Arial"/>
          <w:b/>
          <w:szCs w:val="20"/>
        </w:rPr>
        <w:t>ACMA2018/29</w:t>
      </w:r>
      <w:r w:rsidR="002B1B32" w:rsidRPr="00903099">
        <w:rPr>
          <w:rFonts w:cs="Arial"/>
          <w:szCs w:val="20"/>
        </w:rPr>
        <w:t xml:space="preserve"> in your reply.</w:t>
      </w:r>
    </w:p>
    <w:p w14:paraId="390878ED" w14:textId="77777777" w:rsidR="00B92864" w:rsidRPr="00903099" w:rsidRDefault="00B92864" w:rsidP="00B92864">
      <w:pPr>
        <w:rPr>
          <w:rFonts w:cs="Arial"/>
          <w:szCs w:val="20"/>
        </w:rPr>
      </w:pPr>
      <w:r w:rsidRPr="00903099">
        <w:rPr>
          <w:rFonts w:cs="Arial"/>
          <w:szCs w:val="20"/>
        </w:rPr>
        <w:t xml:space="preserve">Electronic submissions in Microsoft Word or Rich Text Format are preferred. </w:t>
      </w:r>
    </w:p>
    <w:p w14:paraId="18715166" w14:textId="091D579E" w:rsidR="00B92864" w:rsidRPr="00903099" w:rsidRDefault="002B1B32" w:rsidP="00CF3719">
      <w:pPr>
        <w:pStyle w:val="Heading3"/>
      </w:pPr>
      <w:bookmarkStart w:id="35" w:name="_Toc513195749"/>
      <w:r w:rsidRPr="00903099">
        <w:t>Enquiries</w:t>
      </w:r>
      <w:bookmarkEnd w:id="35"/>
    </w:p>
    <w:p w14:paraId="28286FE3" w14:textId="764819B8" w:rsidR="001E3DCC" w:rsidRPr="00903099" w:rsidRDefault="001E3DCC" w:rsidP="00EB09B9">
      <w:pPr>
        <w:pStyle w:val="ListBullet"/>
      </w:pPr>
      <w:r w:rsidRPr="00903099">
        <w:t xml:space="preserve">Consultation enquiries can be emailed to </w:t>
      </w:r>
      <w:hyperlink r:id="rId32" w:history="1"/>
      <w:r w:rsidR="00CF3719" w:rsidRPr="00903099">
        <w:t xml:space="preserve">Rebecca </w:t>
      </w:r>
      <w:r w:rsidR="00CF3719" w:rsidRPr="00EB09B9">
        <w:t>Fung</w:t>
      </w:r>
      <w:r w:rsidRPr="00903099">
        <w:t xml:space="preserve"> at </w:t>
      </w:r>
      <w:hyperlink r:id="rId33" w:history="1">
        <w:r w:rsidRPr="00903099">
          <w:rPr>
            <w:rStyle w:val="Hyperlink"/>
          </w:rPr>
          <w:t>LAPRequests@acma.gov.au</w:t>
        </w:r>
      </w:hyperlink>
      <w:r w:rsidRPr="00903099">
        <w:t>.</w:t>
      </w:r>
    </w:p>
    <w:p w14:paraId="4E4C84CE" w14:textId="48088AC5" w:rsidR="00B92864" w:rsidRPr="00903099" w:rsidRDefault="001E3DCC" w:rsidP="00EB09B9">
      <w:pPr>
        <w:pStyle w:val="ListBulletLast"/>
      </w:pPr>
      <w:r w:rsidRPr="00903099">
        <w:t xml:space="preserve">Media enquiries can be directed to Emma Rossi on 02 9334 7719 or by email to </w:t>
      </w:r>
      <w:hyperlink r:id="rId34" w:history="1">
        <w:r w:rsidRPr="00903099">
          <w:rPr>
            <w:rStyle w:val="Hyperlink"/>
          </w:rPr>
          <w:t>media@acma.gov.au</w:t>
        </w:r>
      </w:hyperlink>
      <w:r w:rsidRPr="00903099">
        <w:t>.</w:t>
      </w:r>
    </w:p>
    <w:p w14:paraId="3A194CCB" w14:textId="77777777" w:rsidR="00CF3719" w:rsidRPr="00903099" w:rsidRDefault="00CF3719" w:rsidP="00CF3719">
      <w:pPr>
        <w:pStyle w:val="Heading3"/>
      </w:pPr>
      <w:bookmarkStart w:id="36" w:name="_Toc300909557"/>
      <w:bookmarkStart w:id="37" w:name="_Toc348105638"/>
      <w:bookmarkStart w:id="38" w:name="_Toc513195750"/>
      <w:r w:rsidRPr="00903099">
        <w:t>Effective consultation</w:t>
      </w:r>
      <w:bookmarkEnd w:id="36"/>
      <w:bookmarkEnd w:id="37"/>
      <w:bookmarkEnd w:id="38"/>
    </w:p>
    <w:p w14:paraId="77A3EA20" w14:textId="0AC091BE" w:rsidR="00CF3719" w:rsidRPr="00903099" w:rsidRDefault="00CF3719" w:rsidP="00CF3719">
      <w:pPr>
        <w:rPr>
          <w:rFonts w:cs="Arial"/>
        </w:rPr>
      </w:pPr>
      <w:r w:rsidRPr="00903099">
        <w:t xml:space="preserve">The ACMA is working to enhance the effectiveness of its stakeholder consultation processes, which are an important source of evidence for its regulatory development activities. To assist stakeholders in formulating submissions to its formal, written consultation processes, it has developed </w:t>
      </w:r>
      <w:hyperlink r:id="rId35" w:history="1">
        <w:r w:rsidRPr="00903099">
          <w:rPr>
            <w:rStyle w:val="Hyperlink"/>
            <w:i/>
          </w:rPr>
          <w:t>Effective consultation—a guide to making a submission</w:t>
        </w:r>
      </w:hyperlink>
      <w:r w:rsidRPr="00903099">
        <w:t>. This guide provides information about the ACMA’s formal written public consultation processes and practical guidance on how to make a submission</w:t>
      </w:r>
      <w:r w:rsidRPr="00903099">
        <w:rPr>
          <w:rFonts w:cs="Arial"/>
        </w:rPr>
        <w:t>.</w:t>
      </w:r>
    </w:p>
    <w:p w14:paraId="6659BA6B" w14:textId="77777777" w:rsidR="00CF3719" w:rsidRPr="00903099" w:rsidRDefault="00CF3719" w:rsidP="004723FD">
      <w:pPr>
        <w:pStyle w:val="Heading3"/>
        <w:rPr>
          <w:i/>
        </w:rPr>
      </w:pPr>
      <w:bookmarkStart w:id="39" w:name="_Toc513195751"/>
      <w:r w:rsidRPr="00903099">
        <w:t>Publication of submissions</w:t>
      </w:r>
      <w:bookmarkEnd w:id="39"/>
    </w:p>
    <w:p w14:paraId="1B51912F" w14:textId="77777777" w:rsidR="00CF3719" w:rsidRPr="00903099" w:rsidRDefault="00CF3719" w:rsidP="00CF3719">
      <w:r w:rsidRPr="00903099">
        <w:t>In general, the ACMA publishes all submissions it receives, including any personal information. The ACMA prefers to receive submissions that are not claimed to be confidential. However, the ACMA accepts that a submitter may sometimes wish to provide information in confidence. In these circumstances, submitters are asked to identify the material over which confidentiality is claimed and provide a written explanation for the claim.</w:t>
      </w:r>
    </w:p>
    <w:p w14:paraId="233B8AA6" w14:textId="77777777" w:rsidR="00CF3719" w:rsidRPr="00903099" w:rsidRDefault="00CF3719" w:rsidP="00CF3719">
      <w:r w:rsidRPr="00903099">
        <w:t xml:space="preserve">The ACMA will consider each confidentiality claim on a case-by-case basis. If the ACMA accepts a claim, it will not publish the confidential information unless authorised or required by law to do so. </w:t>
      </w:r>
    </w:p>
    <w:p w14:paraId="3E42BC3A" w14:textId="77777777" w:rsidR="00CF3719" w:rsidRPr="00903099" w:rsidRDefault="00CF3719" w:rsidP="004723FD">
      <w:pPr>
        <w:pStyle w:val="Heading3"/>
        <w:rPr>
          <w:i/>
        </w:rPr>
      </w:pPr>
      <w:bookmarkStart w:id="40" w:name="_Toc513195752"/>
      <w:r w:rsidRPr="00903099">
        <w:lastRenderedPageBreak/>
        <w:t>Release of submissions where authorised or required by law</w:t>
      </w:r>
      <w:bookmarkEnd w:id="40"/>
    </w:p>
    <w:p w14:paraId="213BC035" w14:textId="607F5863" w:rsidR="00CF3719" w:rsidRPr="00903099" w:rsidRDefault="00CF3719" w:rsidP="00CF3719">
      <w:r w:rsidRPr="00903099">
        <w:t xml:space="preserve">Any submissions provided to the ACMA may be released under the </w:t>
      </w:r>
      <w:hyperlink r:id="rId36" w:history="1">
        <w:r w:rsidRPr="00903099">
          <w:rPr>
            <w:rStyle w:val="Hyperlink"/>
            <w:i/>
          </w:rPr>
          <w:t>Freedom of Information Act 1982</w:t>
        </w:r>
      </w:hyperlink>
      <w:r w:rsidRPr="00903099">
        <w:t xml:space="preserve"> (unless an exemption applies) or shared with various other government agencies and certain other parties under Part 7A of the </w:t>
      </w:r>
      <w:hyperlink r:id="rId37" w:history="1">
        <w:r w:rsidRPr="00903099">
          <w:rPr>
            <w:rStyle w:val="Hyperlink"/>
            <w:i/>
          </w:rPr>
          <w:t>Australian Communications and Media Authority Act 2005</w:t>
        </w:r>
      </w:hyperlink>
      <w:r w:rsidRPr="00903099">
        <w:t xml:space="preserve">. The ACMA may also be required to release submissions for other reasons including for the purpose of parliamentary processes or where otherwise required by law (for example, under a court subpoena). While the ACMA seeks to consult submitters of confidential information before that information is provided to another party, the ACMA cannot guarantee that confidential information will not be released through these or other legal means. </w:t>
      </w:r>
    </w:p>
    <w:p w14:paraId="0C498181" w14:textId="77777777" w:rsidR="00CF3719" w:rsidRPr="00903099" w:rsidRDefault="00CF3719" w:rsidP="004723FD">
      <w:pPr>
        <w:pStyle w:val="Heading3"/>
        <w:rPr>
          <w:i/>
        </w:rPr>
      </w:pPr>
      <w:bookmarkStart w:id="41" w:name="_Toc513195753"/>
      <w:r w:rsidRPr="00903099">
        <w:t>Privacy</w:t>
      </w:r>
      <w:bookmarkEnd w:id="41"/>
    </w:p>
    <w:p w14:paraId="7AF9F9F1" w14:textId="2186330C" w:rsidR="00CF3719" w:rsidRPr="00903099" w:rsidRDefault="00CF3719" w:rsidP="00CF3719">
      <w:pPr>
        <w:keepLines/>
      </w:pPr>
      <w:r w:rsidRPr="00903099">
        <w:t xml:space="preserve">The </w:t>
      </w:r>
      <w:hyperlink r:id="rId38" w:history="1">
        <w:r w:rsidRPr="00903099">
          <w:rPr>
            <w:rStyle w:val="Hyperlink"/>
            <w:rFonts w:cs="Arial"/>
            <w:i/>
            <w:szCs w:val="20"/>
          </w:rPr>
          <w:t>Privacy Act 1988</w:t>
        </w:r>
      </w:hyperlink>
      <w:r w:rsidRPr="00903099">
        <w:t xml:space="preserve"> imposes obligations on the ACMA in relation to the collection, security, quality, access, use and disclosure of personal information. These obligations are detailed in the </w:t>
      </w:r>
      <w:hyperlink r:id="rId39" w:history="1">
        <w:r w:rsidRPr="00903099">
          <w:rPr>
            <w:rStyle w:val="Hyperlink"/>
            <w:rFonts w:cs="Arial"/>
            <w:i/>
            <w:szCs w:val="20"/>
          </w:rPr>
          <w:t>Australian Privacy Principles</w:t>
        </w:r>
      </w:hyperlink>
      <w:r w:rsidRPr="00903099">
        <w:t>.</w:t>
      </w:r>
    </w:p>
    <w:p w14:paraId="62F688B6" w14:textId="77777777" w:rsidR="00CF3719" w:rsidRPr="00903099" w:rsidRDefault="00CF3719" w:rsidP="00CF3719">
      <w:r w:rsidRPr="00903099">
        <w:t xml:space="preserve">The ACMA may only collect personal information if it is reasonably necessary for, or directly related to, one or more of its functions or activities. </w:t>
      </w:r>
    </w:p>
    <w:p w14:paraId="26E79931" w14:textId="77777777" w:rsidR="00CF3719" w:rsidRPr="00903099" w:rsidRDefault="00CF3719" w:rsidP="00CF3719">
      <w:pPr>
        <w:spacing w:after="80"/>
      </w:pPr>
      <w:r w:rsidRPr="00903099">
        <w:t>The purposes for which personal information is being collected (such as the names and contact details of submitters) are to:</w:t>
      </w:r>
    </w:p>
    <w:p w14:paraId="1DECB5EF" w14:textId="77777777" w:rsidR="00CF3719" w:rsidRPr="00903099" w:rsidRDefault="00CF3719" w:rsidP="00CF3719">
      <w:pPr>
        <w:pStyle w:val="ListBullet"/>
        <w:numPr>
          <w:ilvl w:val="0"/>
          <w:numId w:val="31"/>
        </w:numPr>
        <w:ind w:left="357" w:hanging="357"/>
        <w:rPr>
          <w:rFonts w:cs="Arial"/>
          <w:szCs w:val="20"/>
        </w:rPr>
      </w:pPr>
      <w:r w:rsidRPr="00903099">
        <w:rPr>
          <w:rFonts w:cs="Arial"/>
          <w:szCs w:val="20"/>
        </w:rPr>
        <w:t xml:space="preserve">contribute to the transparency of the consultation process by clarifying, where appropriate, whose views are represented by a submission </w:t>
      </w:r>
    </w:p>
    <w:p w14:paraId="1D0C5018" w14:textId="77777777" w:rsidR="00CF3719" w:rsidRPr="00903099" w:rsidRDefault="00CF3719" w:rsidP="00CF3719">
      <w:pPr>
        <w:pStyle w:val="ListBullet"/>
        <w:numPr>
          <w:ilvl w:val="0"/>
          <w:numId w:val="31"/>
        </w:numPr>
        <w:spacing w:after="240"/>
        <w:ind w:left="357" w:hanging="357"/>
      </w:pPr>
      <w:proofErr w:type="gramStart"/>
      <w:r w:rsidRPr="00903099">
        <w:rPr>
          <w:rFonts w:cs="Arial"/>
          <w:szCs w:val="20"/>
        </w:rPr>
        <w:t>enable</w:t>
      </w:r>
      <w:proofErr w:type="gramEnd"/>
      <w:r w:rsidRPr="00903099">
        <w:rPr>
          <w:rFonts w:cs="Arial"/>
          <w:szCs w:val="20"/>
        </w:rPr>
        <w:t xml:space="preserve"> the ACMA to contact submitters where follow-up is required or to notify them of related matters (</w:t>
      </w:r>
      <w:r w:rsidRPr="00903099">
        <w:t>except where submitters indicate they do not wish to be notified of such matters).</w:t>
      </w:r>
    </w:p>
    <w:p w14:paraId="7C695A05" w14:textId="77777777" w:rsidR="00CF3719" w:rsidRPr="00903099" w:rsidRDefault="00CF3719" w:rsidP="00CF3719">
      <w:r w:rsidRPr="00903099">
        <w:t xml:space="preserve">The ACMA will not use the personal information collected for any other purpose, unless the submitter has provided their consent or the ACMA is otherwise permitted to do so under the </w:t>
      </w:r>
      <w:r w:rsidRPr="00903099">
        <w:rPr>
          <w:i/>
        </w:rPr>
        <w:t>Privacy Act</w:t>
      </w:r>
      <w:r w:rsidRPr="00903099">
        <w:t xml:space="preserve">. </w:t>
      </w:r>
    </w:p>
    <w:p w14:paraId="70AF5F95" w14:textId="77777777" w:rsidR="00CF3719" w:rsidRPr="00903099" w:rsidRDefault="00CF3719" w:rsidP="00CF3719">
      <w:r w:rsidRPr="00903099">
        <w:t xml:space="preserve">Submissions in response to this paper are voluntary. As mentioned above, the ACMA generally publishes all submissions it receives, including any personal information in the submissions. If a submitter has made a confidentiality claim over personal information that the ACMA has accepted, the submission will be published without that information. The ACMA will not release the personal information unless authorised or required by law to do so. </w:t>
      </w:r>
    </w:p>
    <w:p w14:paraId="12F2DB61" w14:textId="77777777" w:rsidR="00CF3719" w:rsidRPr="00903099" w:rsidRDefault="00CF3719" w:rsidP="00CF3719">
      <w:r w:rsidRPr="00903099">
        <w:t xml:space="preserve">If a submitter wishes to make a submission anonymously or use a pseudonym, they are asked to contact the ACMA to see whether it is practicable to do so in light of the subject matter of the consultation. If it is practicable, the ACMA will notify the submitter of any procedures that need to be followed and whether there are any other consequences of making a submission in that way. </w:t>
      </w:r>
    </w:p>
    <w:p w14:paraId="08447937" w14:textId="34611BE4" w:rsidR="00CF3719" w:rsidRPr="00903099" w:rsidRDefault="00CF3719" w:rsidP="00CF3719">
      <w:r w:rsidRPr="00903099">
        <w:t xml:space="preserve">Further information on the </w:t>
      </w:r>
      <w:r w:rsidRPr="00903099">
        <w:rPr>
          <w:i/>
        </w:rPr>
        <w:t>Privacy Act</w:t>
      </w:r>
      <w:r w:rsidRPr="00903099">
        <w:t xml:space="preserve"> and the ACMA’s privacy policy is available at </w:t>
      </w:r>
      <w:hyperlink r:id="rId40" w:tooltip="ACMA Privacy Policy" w:history="1">
        <w:r w:rsidRPr="00903099">
          <w:rPr>
            <w:rStyle w:val="Hyperlink"/>
          </w:rPr>
          <w:t>www.acma.gov.au/privacypolicy</w:t>
        </w:r>
      </w:hyperlink>
      <w:r w:rsidRPr="00903099">
        <w:t xml:space="preserve">. The privacy policy contains details about how an individual may access personal information about them that is held by the ACMA, and seek the correction of such information. It also explains how an individual may complain about a breach of the </w:t>
      </w:r>
      <w:r w:rsidRPr="00903099">
        <w:rPr>
          <w:i/>
        </w:rPr>
        <w:t>Privacy Act</w:t>
      </w:r>
      <w:r w:rsidRPr="00903099">
        <w:t xml:space="preserve"> and how the ACMA will deal with such a complaint.</w:t>
      </w:r>
    </w:p>
    <w:p w14:paraId="2229DD58" w14:textId="536288D5" w:rsidR="00CF3719" w:rsidRPr="00903099" w:rsidRDefault="00CF3719" w:rsidP="00D02C41">
      <w:pPr>
        <w:pStyle w:val="Heading1"/>
      </w:pPr>
      <w:bookmarkStart w:id="42" w:name="_Toc509315560"/>
      <w:bookmarkStart w:id="43" w:name="Appendix_A"/>
      <w:bookmarkStart w:id="44" w:name="_Toc513195754"/>
      <w:r w:rsidRPr="00903099">
        <w:lastRenderedPageBreak/>
        <w:t xml:space="preserve">Appendix </w:t>
      </w:r>
      <w:proofErr w:type="gramStart"/>
      <w:r w:rsidRPr="00903099">
        <w:t>A</w:t>
      </w:r>
      <w:bookmarkEnd w:id="42"/>
      <w:bookmarkEnd w:id="43"/>
      <w:r w:rsidR="006856EB">
        <w:t>—</w:t>
      </w:r>
      <w:bookmarkStart w:id="45" w:name="_Toc509315561"/>
      <w:proofErr w:type="gramEnd"/>
      <w:r w:rsidRPr="00903099">
        <w:t>Consideration of AM–FM coverage loss</w:t>
      </w:r>
      <w:bookmarkEnd w:id="44"/>
      <w:bookmarkEnd w:id="45"/>
    </w:p>
    <w:p w14:paraId="3B1D3C41" w14:textId="45DDF5DC" w:rsidR="00CF3719" w:rsidRPr="00903099" w:rsidRDefault="00CF3719" w:rsidP="00EB09B9">
      <w:pPr>
        <w:spacing w:after="80"/>
        <w:rPr>
          <w:rFonts w:cs="Arial"/>
        </w:rPr>
      </w:pPr>
      <w:r w:rsidRPr="00903099">
        <w:rPr>
          <w:rFonts w:cs="Arial"/>
        </w:rPr>
        <w:t xml:space="preserve">The </w:t>
      </w:r>
      <w:hyperlink r:id="rId41" w:history="1">
        <w:r w:rsidRPr="00903099">
          <w:rPr>
            <w:rStyle w:val="Hyperlink"/>
            <w:rFonts w:cs="Arial"/>
            <w:i/>
          </w:rPr>
          <w:t>Approach to AM–FM conversion</w:t>
        </w:r>
      </w:hyperlink>
      <w:r w:rsidRPr="00903099">
        <w:t xml:space="preserve"> </w:t>
      </w:r>
      <w:r w:rsidRPr="00903099">
        <w:rPr>
          <w:rFonts w:cs="Arial"/>
        </w:rPr>
        <w:t xml:space="preserve">states that the ACMA will consider coverage difference with the intent that: </w:t>
      </w:r>
    </w:p>
    <w:p w14:paraId="6B9D67CC" w14:textId="77777777" w:rsidR="00CF3719" w:rsidRPr="00903099" w:rsidRDefault="00CF3719" w:rsidP="00CF3719">
      <w:pPr>
        <w:ind w:left="720"/>
        <w:rPr>
          <w:rFonts w:cs="Arial"/>
          <w:sz w:val="18"/>
          <w:szCs w:val="18"/>
        </w:rPr>
      </w:pPr>
      <w:r w:rsidRPr="00903099">
        <w:rPr>
          <w:rFonts w:cs="Arial"/>
          <w:sz w:val="18"/>
          <w:szCs w:val="18"/>
        </w:rPr>
        <w:t>FM conversion does not result in any significant coverage differences for radio listeners within the affected licence areas so that the vast majority of radio listeners who were able to receive services in AM can continue to do so following FM conversion.</w:t>
      </w:r>
    </w:p>
    <w:p w14:paraId="10A3E351" w14:textId="77777777" w:rsidR="00CF3719" w:rsidRPr="00903099" w:rsidRDefault="00CF3719" w:rsidP="00EB09B9">
      <w:pPr>
        <w:spacing w:after="80"/>
      </w:pPr>
      <w:r w:rsidRPr="00903099">
        <w:t>In considering whether the ‘vast majority’ of listeners can still receive a service, the approach states that:</w:t>
      </w:r>
    </w:p>
    <w:p w14:paraId="7A54449B" w14:textId="77777777" w:rsidR="00CF3719" w:rsidRPr="00903099" w:rsidRDefault="00CF3719" w:rsidP="00CF3719">
      <w:pPr>
        <w:ind w:left="720"/>
        <w:rPr>
          <w:rFonts w:cs="Arial"/>
          <w:sz w:val="18"/>
          <w:szCs w:val="18"/>
        </w:rPr>
      </w:pPr>
      <w:r w:rsidRPr="00903099">
        <w:rPr>
          <w:rFonts w:cs="Arial"/>
          <w:sz w:val="18"/>
          <w:szCs w:val="18"/>
        </w:rPr>
        <w:t>The ACMA will have regard to the proportion of the population within the licence area who receive the AM service that is no longer predicted to receive a service, and the distribution of that population, particularly in communities with a population of 200 people or more. The ACMA will assess the proportion of the population within the licence area likely to be covered by the new ‘main’ FM transmission, in comparison to the population coverage of the current AM transmitter. Approximating AM coverage may require FM in-fill translators as well as a main transmitter.</w:t>
      </w:r>
    </w:p>
    <w:p w14:paraId="0DD8F8A1" w14:textId="240022BF" w:rsidR="00CF3719" w:rsidRPr="00903099" w:rsidRDefault="00CF3719" w:rsidP="00CF3719">
      <w:r w:rsidRPr="00903099">
        <w:t>Factors that affect the potential coverage loss of an FM conversion compared to the original AM service include the nature of radio wave propagation, adequate signal levels, coverage evaluation methodologies, assessment of population covered and the presence of other signals that may provide alternative coverage.</w:t>
      </w:r>
    </w:p>
    <w:p w14:paraId="57C6F7F4" w14:textId="77777777" w:rsidR="00CF3719" w:rsidRPr="00903099" w:rsidRDefault="00CF3719" w:rsidP="00D02C41">
      <w:pPr>
        <w:pStyle w:val="Heading2"/>
      </w:pPr>
      <w:bookmarkStart w:id="46" w:name="_Toc513195755"/>
      <w:r w:rsidRPr="00903099">
        <w:t>Signal characteristics</w:t>
      </w:r>
      <w:bookmarkEnd w:id="46"/>
    </w:p>
    <w:p w14:paraId="07231FB7" w14:textId="77777777" w:rsidR="00CF3719" w:rsidRPr="00903099" w:rsidRDefault="00CF3719" w:rsidP="00CF3719">
      <w:pPr>
        <w:spacing w:after="80"/>
      </w:pPr>
      <w:r w:rsidRPr="00903099">
        <w:t>AM and FM radio signals have different characteristics, which will inevitably lead to coverage differences:</w:t>
      </w:r>
    </w:p>
    <w:p w14:paraId="69845B50" w14:textId="77777777" w:rsidR="00CF3719" w:rsidRPr="00903099" w:rsidRDefault="00CF3719" w:rsidP="00EB09B9">
      <w:pPr>
        <w:pStyle w:val="ListBullet"/>
      </w:pPr>
      <w:r w:rsidRPr="00903099">
        <w:t xml:space="preserve">AM signals propagate by means of ‘ground waves’, which are dependent on the Earth’s </w:t>
      </w:r>
      <w:proofErr w:type="gramStart"/>
      <w:r w:rsidRPr="00903099">
        <w:t>conductivity.</w:t>
      </w:r>
      <w:proofErr w:type="gramEnd"/>
      <w:r w:rsidRPr="00903099">
        <w:t xml:space="preserve"> AM transmitters are therefore best sited in areas of good ground conductivity, often found near bodies </w:t>
      </w:r>
      <w:r w:rsidRPr="00EB09B9">
        <w:t>of</w:t>
      </w:r>
      <w:r w:rsidRPr="00903099">
        <w:t xml:space="preserve"> water. At night, changes </w:t>
      </w:r>
      <w:r w:rsidRPr="00903099">
        <w:rPr>
          <w:rFonts w:cs="Arial"/>
        </w:rPr>
        <w:t xml:space="preserve">in the ionosphere allow AM signals to also travel much greater distances as ‘sky waves’. These sky waves can result in interference that reduces the coverage of affected services. </w:t>
      </w:r>
      <w:r w:rsidRPr="00903099">
        <w:t xml:space="preserve">AM is more susceptible to interference due to electrical </w:t>
      </w:r>
      <w:r w:rsidRPr="00903099">
        <w:rPr>
          <w:rFonts w:cs="Arial"/>
        </w:rPr>
        <w:t>man-made noise from sources such as power lines, electric lighting and electric motors</w:t>
      </w:r>
      <w:r w:rsidRPr="00903099">
        <w:t>.</w:t>
      </w:r>
    </w:p>
    <w:p w14:paraId="15AFEFDF" w14:textId="77777777" w:rsidR="00CF3719" w:rsidRPr="00903099" w:rsidRDefault="00CF3719" w:rsidP="00EB09B9">
      <w:pPr>
        <w:pStyle w:val="ListBulletLast"/>
      </w:pPr>
      <w:r w:rsidRPr="00903099">
        <w:t xml:space="preserve">FM signals propagate through the atmosphere from a transmitter sited on a high location such as a hill, mountain, </w:t>
      </w:r>
      <w:r w:rsidRPr="00EB09B9">
        <w:t>building</w:t>
      </w:r>
      <w:r w:rsidRPr="00903099">
        <w:t xml:space="preserve"> or tower. FM signals are more immune to electrical noise interference.</w:t>
      </w:r>
    </w:p>
    <w:p w14:paraId="1991EF64" w14:textId="77777777" w:rsidR="00CF3719" w:rsidRPr="00EB09B9" w:rsidRDefault="00CF3719" w:rsidP="00D02C41">
      <w:pPr>
        <w:pStyle w:val="Heading2"/>
      </w:pPr>
      <w:bookmarkStart w:id="47" w:name="_Toc513195756"/>
      <w:r w:rsidRPr="00903099">
        <w:t>Adequate coverage levels</w:t>
      </w:r>
      <w:bookmarkEnd w:id="47"/>
    </w:p>
    <w:p w14:paraId="0E999DB5" w14:textId="36331959" w:rsidR="00CF3719" w:rsidRPr="00903099" w:rsidRDefault="00CF3719" w:rsidP="00CF3719">
      <w:pPr>
        <w:spacing w:after="80"/>
      </w:pPr>
      <w:r w:rsidRPr="00903099">
        <w:t xml:space="preserve">Coverage is assessed at specified signal levels that are considered necessary for ‘adequate’ reception in different types of electrical noise environments. Levels for rural, suburban and urban </w:t>
      </w:r>
      <w:r w:rsidRPr="00903099">
        <w:lastRenderedPageBreak/>
        <w:t>environments are specified. In considering AM</w:t>
      </w:r>
      <w:r w:rsidR="002F475F">
        <w:t>–</w:t>
      </w:r>
      <w:r w:rsidRPr="00903099">
        <w:t xml:space="preserve">FM conversion, the rural signal levels of 0.5 mV/m for AM signals and 54 </w:t>
      </w:r>
      <w:proofErr w:type="spellStart"/>
      <w:r w:rsidRPr="00903099">
        <w:t>dBµV</w:t>
      </w:r>
      <w:proofErr w:type="spellEnd"/>
      <w:r w:rsidRPr="00903099">
        <w:t>/m for FM signals</w:t>
      </w:r>
      <w:r w:rsidR="002F475F">
        <w:t xml:space="preserve"> are a factor:</w:t>
      </w:r>
    </w:p>
    <w:p w14:paraId="3643DC15" w14:textId="77777777" w:rsidR="00CF3719" w:rsidRPr="00EB09B9" w:rsidRDefault="00CF3719" w:rsidP="00EB09B9">
      <w:pPr>
        <w:pStyle w:val="ListBullet"/>
      </w:pPr>
      <w:r w:rsidRPr="00EB09B9">
        <w:t>Listenable AM and FM signals can be received at levels well below that considered to be adequate because signal quality gradually declines.</w:t>
      </w:r>
    </w:p>
    <w:p w14:paraId="645ED55D" w14:textId="77777777" w:rsidR="00CF3719" w:rsidRPr="00EB09B9" w:rsidRDefault="00CF3719" w:rsidP="00EB09B9">
      <w:pPr>
        <w:pStyle w:val="ListBullet"/>
      </w:pPr>
      <w:r w:rsidRPr="00EB09B9">
        <w:t>Rural signal levels often extend well outside the licence area boundary, particularly for AM services, as the suburban (2.5 mV/m) signal level was typically used in determining the licence area boundary.</w:t>
      </w:r>
    </w:p>
    <w:p w14:paraId="252C326B" w14:textId="77777777" w:rsidR="00CF3719" w:rsidRPr="00903099" w:rsidRDefault="00CF3719" w:rsidP="00EB09B9">
      <w:pPr>
        <w:pStyle w:val="ListBullet"/>
      </w:pPr>
      <w:r w:rsidRPr="00EB09B9">
        <w:t>Rece</w:t>
      </w:r>
      <w:r w:rsidRPr="00903099">
        <w:t>ption of signals outside the licence area boundary is considered to be ‘fortuitous’ and is not protected from interference in the planning of other services.</w:t>
      </w:r>
    </w:p>
    <w:p w14:paraId="2B970059" w14:textId="77777777" w:rsidR="00CF3719" w:rsidRPr="00903099" w:rsidRDefault="00CF3719" w:rsidP="00EB09B9">
      <w:pPr>
        <w:pStyle w:val="ListBulletLast"/>
      </w:pPr>
      <w:r w:rsidRPr="00903099">
        <w:t>AM signal levels that would ordinarily meet the threshold for adequate reception could be inadequate if high levels of man-made electrical noise are present.</w:t>
      </w:r>
    </w:p>
    <w:p w14:paraId="5AF52920" w14:textId="77777777" w:rsidR="00CF3719" w:rsidRPr="00903099" w:rsidRDefault="00CF3719" w:rsidP="00D02C41">
      <w:pPr>
        <w:pStyle w:val="Heading2"/>
      </w:pPr>
      <w:bookmarkStart w:id="48" w:name="_Toc513195757"/>
      <w:r w:rsidRPr="00903099">
        <w:t>Evaluating coverage levels</w:t>
      </w:r>
      <w:bookmarkEnd w:id="48"/>
    </w:p>
    <w:p w14:paraId="0A37A5D1" w14:textId="4E421AD5" w:rsidR="00CF3719" w:rsidRPr="00903099" w:rsidRDefault="00CF3719" w:rsidP="00CF3719">
      <w:pPr>
        <w:spacing w:after="80"/>
      </w:pPr>
      <w:r w:rsidRPr="00903099">
        <w:t>The extent of coverage is evaluated through either measurements taken at various points within a coverage area, or computer predictions of signal levels using propagation algorithms and dig</w:t>
      </w:r>
      <w:r w:rsidR="00EB09B9">
        <w:t>ital terrain elevation models:</w:t>
      </w:r>
    </w:p>
    <w:p w14:paraId="13E0F9B4" w14:textId="774B0CEC" w:rsidR="00CF3719" w:rsidRPr="00903099" w:rsidRDefault="00CF3719" w:rsidP="00EB09B9">
      <w:pPr>
        <w:pStyle w:val="ListBullet"/>
      </w:pPr>
      <w:r w:rsidRPr="00903099">
        <w:t xml:space="preserve">AM coverage has been evaluated based on field survey measurements conducted in the 1970s and 1980s, and plotted on maps as three contours equating to adequate </w:t>
      </w:r>
      <w:r w:rsidRPr="00EB09B9">
        <w:t>reception</w:t>
      </w:r>
      <w:r w:rsidRPr="00903099">
        <w:t xml:space="preserve"> thresholds in rural, suburban and urban environments. These contours generally indicat</w:t>
      </w:r>
      <w:r w:rsidR="003044D2">
        <w:t>e</w:t>
      </w:r>
      <w:r w:rsidRPr="00903099">
        <w:t xml:space="preserve"> the extent of AM coverage, but </w:t>
      </w:r>
      <w:r w:rsidR="003044D2">
        <w:t>with</w:t>
      </w:r>
      <w:r w:rsidR="003044D2" w:rsidRPr="00903099">
        <w:t xml:space="preserve"> </w:t>
      </w:r>
      <w:r w:rsidRPr="00903099">
        <w:t>the limitation that they are based on measurements made on a particular date and time</w:t>
      </w:r>
      <w:r w:rsidR="003044D2">
        <w:t>,</w:t>
      </w:r>
      <w:r w:rsidRPr="00903099">
        <w:t xml:space="preserve"> and at a limited number of locations. This approach has been used, as the available data on ground conductivity has limited resolution and accuracy, leading to low confidence in computer coverage predictions.</w:t>
      </w:r>
    </w:p>
    <w:p w14:paraId="38D81966" w14:textId="2DDAAF36" w:rsidR="00CF3719" w:rsidRPr="00903099" w:rsidRDefault="00CF3719" w:rsidP="00EB09B9">
      <w:pPr>
        <w:pStyle w:val="ListBulletLast"/>
      </w:pPr>
      <w:r w:rsidRPr="00903099">
        <w:t xml:space="preserve">FM coverage has been evaluated using computer propagation prediction models, as signal measurements are not generally available and there is higher confidence in the models. Coverage predictions for new FM services use digital terrain models, details of the transmission infrastructure and one or more different propagation prediction </w:t>
      </w:r>
      <w:r w:rsidRPr="00EB09B9">
        <w:t>algorithms</w:t>
      </w:r>
      <w:r w:rsidRPr="00903099">
        <w:t xml:space="preserve">. Consequently, FM coverage predictions generally have a much greater geographical resolution. </w:t>
      </w:r>
      <w:r w:rsidR="003044D2">
        <w:t>H</w:t>
      </w:r>
      <w:r w:rsidRPr="00903099">
        <w:t>owever, different prediction models will provide different coverage estimates. Experience with the models and knowledge of their underlying assumptions are needed to consider which model is likely to give the best result.</w:t>
      </w:r>
    </w:p>
    <w:p w14:paraId="555341EF" w14:textId="77777777" w:rsidR="00CF3719" w:rsidRPr="00903099" w:rsidRDefault="00CF3719" w:rsidP="00D02C41">
      <w:pPr>
        <w:pStyle w:val="Heading2"/>
      </w:pPr>
      <w:bookmarkStart w:id="49" w:name="_Toc513195758"/>
      <w:r w:rsidRPr="00903099">
        <w:t>Population estimates</w:t>
      </w:r>
      <w:bookmarkEnd w:id="49"/>
    </w:p>
    <w:p w14:paraId="76154C88" w14:textId="3E6FE1F4" w:rsidR="00CF3719" w:rsidRPr="00903099" w:rsidRDefault="00CF3719" w:rsidP="00B455DB">
      <w:r w:rsidRPr="00903099">
        <w:t xml:space="preserve">An estimate of the population within the area expected to receive an adequate AM or FM signal is used to identify </w:t>
      </w:r>
      <w:r w:rsidR="003044D2">
        <w:t xml:space="preserve">the likelihood that </w:t>
      </w:r>
      <w:r w:rsidRPr="00903099">
        <w:t xml:space="preserve">the conversion </w:t>
      </w:r>
      <w:r w:rsidR="003044D2">
        <w:t xml:space="preserve">will </w:t>
      </w:r>
      <w:r w:rsidRPr="00903099">
        <w:t xml:space="preserve">result in coverage loss. Calculating the population </w:t>
      </w:r>
      <w:r w:rsidR="003044D2">
        <w:t>who</w:t>
      </w:r>
      <w:r w:rsidR="003044D2" w:rsidRPr="00903099">
        <w:t xml:space="preserve"> </w:t>
      </w:r>
      <w:r w:rsidRPr="00903099">
        <w:t>may not receive adequate AM signals as a simple difference in estimated AM and FM coverage populations may be misleading</w:t>
      </w:r>
      <w:r w:rsidR="003044D2">
        <w:t>;</w:t>
      </w:r>
      <w:r w:rsidRPr="00903099">
        <w:t xml:space="preserve"> in some cases, there could be adequate FM signal levels where the AM signal level is inadequate.</w:t>
      </w:r>
    </w:p>
    <w:p w14:paraId="2A25EE06" w14:textId="3C74B601" w:rsidR="00CF3719" w:rsidRPr="00903099" w:rsidRDefault="00CF3719" w:rsidP="00D02C41">
      <w:r w:rsidRPr="00903099">
        <w:t xml:space="preserve">The ACMA, broadcasters and external consultants </w:t>
      </w:r>
      <w:r w:rsidR="00E43072">
        <w:t xml:space="preserve">may </w:t>
      </w:r>
      <w:r w:rsidRPr="00903099">
        <w:t xml:space="preserve">use different approaches to estimating the affected population. The simplest approach, </w:t>
      </w:r>
      <w:r w:rsidR="00E43072">
        <w:t xml:space="preserve">often </w:t>
      </w:r>
      <w:r w:rsidRPr="00903099">
        <w:t xml:space="preserve">used by external consultants, is to classify </w:t>
      </w:r>
      <w:r w:rsidRPr="00903099">
        <w:lastRenderedPageBreak/>
        <w:t xml:space="preserve">the centroid point of each geographic unit and assign the entire population of that unit to the classification. This works reasonably well in </w:t>
      </w:r>
      <w:r w:rsidRPr="00EB09B9">
        <w:t>populated</w:t>
      </w:r>
      <w:r w:rsidRPr="00903099">
        <w:t xml:space="preserve"> areas and in aggregating populations in large geographic areas, but is </w:t>
      </w:r>
      <w:r w:rsidR="00E43072">
        <w:t xml:space="preserve">less </w:t>
      </w:r>
      <w:r w:rsidRPr="00903099">
        <w:t>useful in analysis of small, sparsely distributed populations.</w:t>
      </w:r>
    </w:p>
    <w:p w14:paraId="0C293652" w14:textId="64771B6E" w:rsidR="00CF3719" w:rsidRPr="00903099" w:rsidRDefault="00CF3719" w:rsidP="00D02C41">
      <w:r w:rsidRPr="00903099">
        <w:t>The ACMA has developed a more granular method of analysing the population covered. The census data for each geographic population unit is distributed across a grid. The population assigned to each cell in the grid is weighted by taking into account the distribution of address information contained in the Geocoded</w:t>
      </w:r>
      <w:r w:rsidR="003044D2">
        <w:t>-</w:t>
      </w:r>
      <w:r w:rsidRPr="00903099">
        <w:t xml:space="preserve">National Address File (G-NAF). This method is likely to give a more accurate result than the centroid approach, or an approach that evenly distributes the population of a geographic unit across each grid cell. </w:t>
      </w:r>
    </w:p>
    <w:p w14:paraId="476D4B0D" w14:textId="10445AC6" w:rsidR="00462107" w:rsidRPr="00903099" w:rsidRDefault="00CF3719" w:rsidP="00D02C41">
      <w:pPr>
        <w:pStyle w:val="Heading1"/>
      </w:pPr>
      <w:bookmarkStart w:id="50" w:name="_Toc509315562"/>
      <w:bookmarkStart w:id="51" w:name="Appendix_B"/>
      <w:bookmarkStart w:id="52" w:name="_Toc513195759"/>
      <w:r w:rsidRPr="00903099">
        <w:lastRenderedPageBreak/>
        <w:t>Appendix B</w:t>
      </w:r>
      <w:bookmarkEnd w:id="50"/>
      <w:bookmarkEnd w:id="51"/>
      <w:r w:rsidR="006856EB">
        <w:t>—</w:t>
      </w:r>
      <w:bookmarkStart w:id="53" w:name="_Toc509315563"/>
      <w:r w:rsidR="00462107" w:rsidRPr="00903099">
        <w:t xml:space="preserve">Proposed </w:t>
      </w:r>
      <w:r w:rsidR="003044D2">
        <w:t>t</w:t>
      </w:r>
      <w:r w:rsidR="00462107" w:rsidRPr="00903099">
        <w:t xml:space="preserve">echnical </w:t>
      </w:r>
      <w:r w:rsidR="003044D2">
        <w:t>s</w:t>
      </w:r>
      <w:r w:rsidR="00462107" w:rsidRPr="00EB09B9">
        <w:t>pecification</w:t>
      </w:r>
      <w:r w:rsidR="00462107" w:rsidRPr="00903099">
        <w:t xml:space="preserve"> for 2BS FM </w:t>
      </w:r>
      <w:r w:rsidR="003044D2">
        <w:t>t</w:t>
      </w:r>
      <w:r w:rsidR="00462107" w:rsidRPr="00903099">
        <w:t>ransmitter</w:t>
      </w:r>
      <w:bookmarkEnd w:id="52"/>
      <w:bookmarkEnd w:id="53"/>
    </w:p>
    <w:p w14:paraId="41A41998" w14:textId="58D4CED2" w:rsidR="00E72CB7" w:rsidRPr="00903099" w:rsidRDefault="00E72CB7" w:rsidP="00E72CB7">
      <w:r w:rsidRPr="00903099">
        <w:t>This specification is</w:t>
      </w:r>
      <w:r w:rsidRPr="00903099">
        <w:rPr>
          <w:b/>
        </w:rPr>
        <w:t xml:space="preserve"> </w:t>
      </w:r>
      <w:r w:rsidR="007C4456" w:rsidRPr="00906584">
        <w:t>proposed</w:t>
      </w:r>
      <w:r w:rsidR="007C4456">
        <w:rPr>
          <w:b/>
        </w:rPr>
        <w:t xml:space="preserve"> </w:t>
      </w:r>
      <w:r w:rsidRPr="00903099">
        <w:t>to be inserted as Attachment 1.2A to the Bathurst LAP.</w:t>
      </w:r>
    </w:p>
    <w:p w14:paraId="48434780" w14:textId="37DDDC0A" w:rsidR="00E72CB7" w:rsidRDefault="00E72CB7" w:rsidP="006856EB">
      <w:pPr>
        <w:pStyle w:val="ACMATableHeader"/>
        <w:numPr>
          <w:ilvl w:val="0"/>
          <w:numId w:val="0"/>
        </w:numPr>
        <w:ind w:left="964" w:hanging="964"/>
        <w:rPr>
          <w:rFonts w:eastAsia="MS Mincho"/>
        </w:rPr>
      </w:pPr>
      <w:r w:rsidRPr="00903099">
        <w:rPr>
          <w:rFonts w:eastAsia="MS Mincho"/>
        </w:rPr>
        <w:t>Attachment 1.2A</w:t>
      </w:r>
    </w:p>
    <w:tbl>
      <w:tblPr>
        <w:tblStyle w:val="TableGrid"/>
        <w:tblW w:w="922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Description w:val="LICENCE AREA PLAN : Bathurst Radio&#10;Category : Commercial&#10;General Area Served : Bathurst (NSW)&#10;Service Licence Number : SL10248&#10;TECHNICAL SPECIFICATION - FM Radio&#10;Specification Number : TS12000080&#10;Transmitter Site :-&#10;Nominal Location : Bathurst Broadcasters Site Gulf Forest Rd 2km North of YETHOLME&#10;Australian Map Grid  Zone Easting Northing&#10;Reference : 55 760758 6297185&#10;Site Tolerance : Refer to Broadcasting Services &#10; (Technical Planning) Guidelines 2017&#10;Emission :-&#10;Frequency Band &amp; Mode : VHF-FM&#10;Carrier Frequency : 95.1 MHz&#10;Polarisation : Mixed&#10;Maximum antenna height : 45 m&#10;Output Radiation Pattern :-&#10;Bearing or Sector (Clockwise direction) Maximum ERP&#10;0°T - 70°T     10 kW&#10;70°T - 165°T     5 kW&#10;160°T - 360°T     10 kW&#10;Special Condition:&#10;The provision of a service under SL10248 by transmitter TS12000080 affects the availability of transmitter TS10004208. &#10;"/>
      </w:tblPr>
      <w:tblGrid>
        <w:gridCol w:w="3982"/>
        <w:gridCol w:w="5245"/>
      </w:tblGrid>
      <w:tr w:rsidR="004E00E9" w:rsidRPr="004E00E9" w14:paraId="57742624" w14:textId="77777777" w:rsidTr="006856EB">
        <w:trPr>
          <w:tblHeader/>
        </w:trPr>
        <w:tc>
          <w:tcPr>
            <w:tcW w:w="9227" w:type="dxa"/>
            <w:gridSpan w:val="2"/>
            <w:tcBorders>
              <w:bottom w:val="nil"/>
            </w:tcBorders>
            <w:shd w:val="clear" w:color="auto" w:fill="404040" w:themeFill="text1" w:themeFillTint="BF"/>
          </w:tcPr>
          <w:p w14:paraId="50F4B943" w14:textId="0C33D444" w:rsidR="00355E98" w:rsidRPr="004E00E9" w:rsidRDefault="00355E98" w:rsidP="004E00E9">
            <w:pPr>
              <w:spacing w:before="60" w:after="60"/>
              <w:rPr>
                <w:rFonts w:eastAsia="MS Mincho"/>
                <w:b/>
                <w:color w:val="FFFFFF" w:themeColor="background1"/>
              </w:rPr>
            </w:pPr>
            <w:r w:rsidRPr="004E00E9">
              <w:rPr>
                <w:rFonts w:eastAsia="MS Mincho" w:cs="Arial"/>
                <w:b/>
                <w:color w:val="FFFFFF" w:themeColor="background1"/>
              </w:rPr>
              <w:t>LICENCE AREA PLAN: Bathurst Radio</w:t>
            </w:r>
          </w:p>
        </w:tc>
      </w:tr>
      <w:tr w:rsidR="00355E98" w14:paraId="6299DC93" w14:textId="77777777" w:rsidTr="008254C8">
        <w:tc>
          <w:tcPr>
            <w:tcW w:w="3982" w:type="dxa"/>
            <w:tcBorders>
              <w:right w:val="nil"/>
            </w:tcBorders>
          </w:tcPr>
          <w:p w14:paraId="1DE81503" w14:textId="0C4FCC0F" w:rsidR="00355E98" w:rsidRDefault="00355E98" w:rsidP="004E00E9">
            <w:pPr>
              <w:spacing w:before="60" w:after="60"/>
              <w:rPr>
                <w:rFonts w:eastAsia="MS Mincho"/>
                <w:b/>
              </w:rPr>
            </w:pPr>
            <w:r w:rsidRPr="00903099">
              <w:rPr>
                <w:rFonts w:eastAsia="MS Mincho" w:cs="Arial"/>
              </w:rPr>
              <w:t>Category</w:t>
            </w:r>
            <w:r>
              <w:rPr>
                <w:rFonts w:eastAsia="MS Mincho" w:cs="Arial"/>
              </w:rPr>
              <w:t>:</w:t>
            </w:r>
          </w:p>
        </w:tc>
        <w:tc>
          <w:tcPr>
            <w:tcW w:w="5245" w:type="dxa"/>
            <w:tcBorders>
              <w:left w:val="nil"/>
            </w:tcBorders>
          </w:tcPr>
          <w:p w14:paraId="6B7AD713" w14:textId="635BA26A" w:rsidR="00355E98" w:rsidRDefault="00355E98" w:rsidP="004E00E9">
            <w:pPr>
              <w:spacing w:before="60" w:after="60"/>
              <w:rPr>
                <w:rFonts w:eastAsia="MS Mincho"/>
                <w:b/>
              </w:rPr>
            </w:pPr>
            <w:r w:rsidRPr="00903099">
              <w:rPr>
                <w:rFonts w:eastAsia="MS Mincho" w:cs="Arial"/>
              </w:rPr>
              <w:t>Commercial</w:t>
            </w:r>
          </w:p>
        </w:tc>
      </w:tr>
      <w:tr w:rsidR="00355E98" w14:paraId="62D12259" w14:textId="77777777" w:rsidTr="008254C8">
        <w:tc>
          <w:tcPr>
            <w:tcW w:w="3982" w:type="dxa"/>
            <w:tcBorders>
              <w:right w:val="nil"/>
            </w:tcBorders>
          </w:tcPr>
          <w:p w14:paraId="43AFEA2A" w14:textId="6C541AD6" w:rsidR="00355E98" w:rsidRDefault="00355E98" w:rsidP="004E00E9">
            <w:pPr>
              <w:spacing w:before="60" w:after="60"/>
              <w:rPr>
                <w:rFonts w:eastAsia="MS Mincho"/>
                <w:b/>
              </w:rPr>
            </w:pPr>
            <w:r w:rsidRPr="00903099">
              <w:rPr>
                <w:rFonts w:eastAsia="MS Mincho" w:cs="Arial"/>
              </w:rPr>
              <w:t>General Area Served</w:t>
            </w:r>
            <w:r>
              <w:rPr>
                <w:rFonts w:eastAsia="MS Mincho" w:cs="Arial"/>
              </w:rPr>
              <w:t>:</w:t>
            </w:r>
          </w:p>
        </w:tc>
        <w:tc>
          <w:tcPr>
            <w:tcW w:w="5245" w:type="dxa"/>
            <w:tcBorders>
              <w:left w:val="nil"/>
            </w:tcBorders>
          </w:tcPr>
          <w:p w14:paraId="4EB72346" w14:textId="730D2106" w:rsidR="00355E98" w:rsidRDefault="00355E98" w:rsidP="004E00E9">
            <w:pPr>
              <w:spacing w:before="60" w:after="60"/>
              <w:rPr>
                <w:rFonts w:eastAsia="MS Mincho"/>
                <w:b/>
              </w:rPr>
            </w:pPr>
            <w:r w:rsidRPr="00903099">
              <w:rPr>
                <w:rFonts w:eastAsia="MS Mincho" w:cs="Arial"/>
              </w:rPr>
              <w:t>Bathurst (NSW)</w:t>
            </w:r>
          </w:p>
        </w:tc>
      </w:tr>
      <w:tr w:rsidR="00355E98" w14:paraId="0A2B614B" w14:textId="77777777" w:rsidTr="008254C8">
        <w:tc>
          <w:tcPr>
            <w:tcW w:w="3982" w:type="dxa"/>
            <w:tcBorders>
              <w:right w:val="nil"/>
            </w:tcBorders>
          </w:tcPr>
          <w:p w14:paraId="0C1F9C15" w14:textId="2BC71F83" w:rsidR="00355E98" w:rsidRDefault="00355E98" w:rsidP="004E00E9">
            <w:pPr>
              <w:spacing w:before="60" w:after="60"/>
              <w:rPr>
                <w:rFonts w:eastAsia="MS Mincho"/>
                <w:b/>
              </w:rPr>
            </w:pPr>
            <w:r w:rsidRPr="00903099">
              <w:rPr>
                <w:rFonts w:eastAsia="MS Mincho" w:cs="Arial"/>
              </w:rPr>
              <w:t>Service Licence Number:</w:t>
            </w:r>
          </w:p>
        </w:tc>
        <w:tc>
          <w:tcPr>
            <w:tcW w:w="5245" w:type="dxa"/>
            <w:tcBorders>
              <w:left w:val="nil"/>
            </w:tcBorders>
          </w:tcPr>
          <w:p w14:paraId="33B38CC0" w14:textId="6D9EEA33" w:rsidR="00355E98" w:rsidRDefault="00355E98" w:rsidP="004E00E9">
            <w:pPr>
              <w:spacing w:before="60" w:after="60"/>
              <w:rPr>
                <w:rFonts w:eastAsia="MS Mincho"/>
                <w:b/>
              </w:rPr>
            </w:pPr>
            <w:r w:rsidRPr="00903099">
              <w:rPr>
                <w:rFonts w:eastAsia="MS Mincho" w:cs="Arial"/>
              </w:rPr>
              <w:t>SL10248</w:t>
            </w:r>
          </w:p>
        </w:tc>
      </w:tr>
      <w:tr w:rsidR="00355E98" w14:paraId="6D67A660" w14:textId="77777777" w:rsidTr="004E00E9">
        <w:tc>
          <w:tcPr>
            <w:tcW w:w="9227" w:type="dxa"/>
            <w:gridSpan w:val="2"/>
            <w:tcBorders>
              <w:bottom w:val="nil"/>
            </w:tcBorders>
            <w:shd w:val="clear" w:color="auto" w:fill="BFBFBF" w:themeFill="background1" w:themeFillShade="BF"/>
          </w:tcPr>
          <w:p w14:paraId="6254E1CF" w14:textId="41008964" w:rsidR="00355E98" w:rsidRPr="00355E98" w:rsidRDefault="00355E98" w:rsidP="004E00E9">
            <w:pPr>
              <w:spacing w:before="60" w:after="60"/>
              <w:rPr>
                <w:rFonts w:eastAsia="MS Mincho"/>
                <w:b/>
              </w:rPr>
            </w:pPr>
            <w:r w:rsidRPr="00355E98">
              <w:rPr>
                <w:rFonts w:eastAsia="MS Mincho" w:cs="Arial"/>
                <w:b/>
              </w:rPr>
              <w:t>TECHNICAL SPECIFICATION - FM Radio</w:t>
            </w:r>
          </w:p>
        </w:tc>
      </w:tr>
      <w:tr w:rsidR="00355E98" w14:paraId="467C53C7" w14:textId="77777777" w:rsidTr="008254C8">
        <w:tc>
          <w:tcPr>
            <w:tcW w:w="3982" w:type="dxa"/>
            <w:tcBorders>
              <w:right w:val="nil"/>
            </w:tcBorders>
          </w:tcPr>
          <w:p w14:paraId="3C66AB75" w14:textId="2E98CD0C" w:rsidR="00355E98" w:rsidRDefault="00355E98" w:rsidP="004E00E9">
            <w:pPr>
              <w:spacing w:before="60" w:after="60"/>
              <w:rPr>
                <w:rFonts w:eastAsia="MS Mincho"/>
                <w:b/>
              </w:rPr>
            </w:pPr>
            <w:r w:rsidRPr="00903099">
              <w:rPr>
                <w:rFonts w:eastAsia="MS Mincho" w:cs="Arial"/>
              </w:rPr>
              <w:t>Specification Number:</w:t>
            </w:r>
          </w:p>
        </w:tc>
        <w:tc>
          <w:tcPr>
            <w:tcW w:w="5245" w:type="dxa"/>
            <w:tcBorders>
              <w:left w:val="nil"/>
            </w:tcBorders>
          </w:tcPr>
          <w:p w14:paraId="49CC87A3" w14:textId="6A51EADE" w:rsidR="00355E98" w:rsidRDefault="00355E98" w:rsidP="004E00E9">
            <w:pPr>
              <w:spacing w:before="60" w:after="60"/>
              <w:rPr>
                <w:rFonts w:eastAsia="MS Mincho"/>
                <w:b/>
              </w:rPr>
            </w:pPr>
            <w:r w:rsidRPr="00903099">
              <w:rPr>
                <w:rFonts w:eastAsia="MS Mincho" w:cs="Arial"/>
              </w:rPr>
              <w:t>TS12000080</w:t>
            </w:r>
          </w:p>
        </w:tc>
      </w:tr>
      <w:tr w:rsidR="00355E98" w14:paraId="6C1AFA89" w14:textId="77777777" w:rsidTr="004E00E9">
        <w:tc>
          <w:tcPr>
            <w:tcW w:w="9227" w:type="dxa"/>
            <w:gridSpan w:val="2"/>
            <w:tcBorders>
              <w:bottom w:val="nil"/>
            </w:tcBorders>
            <w:shd w:val="clear" w:color="auto" w:fill="F2F2F2" w:themeFill="background1" w:themeFillShade="F2"/>
          </w:tcPr>
          <w:p w14:paraId="5CCAD35A" w14:textId="40CB3430" w:rsidR="00355E98" w:rsidRPr="00355E98" w:rsidRDefault="00355E98" w:rsidP="004E00E9">
            <w:pPr>
              <w:spacing w:before="60" w:after="60"/>
              <w:rPr>
                <w:rFonts w:eastAsia="MS Mincho"/>
                <w:b/>
                <w:i/>
              </w:rPr>
            </w:pPr>
            <w:r w:rsidRPr="00355E98">
              <w:rPr>
                <w:rFonts w:eastAsia="MS Mincho" w:cs="Arial"/>
                <w:b/>
                <w:i/>
              </w:rPr>
              <w:t>Transmitter Site:-</w:t>
            </w:r>
          </w:p>
        </w:tc>
      </w:tr>
      <w:tr w:rsidR="00355E98" w14:paraId="68CB6EE8" w14:textId="77777777" w:rsidTr="008254C8">
        <w:tc>
          <w:tcPr>
            <w:tcW w:w="3982" w:type="dxa"/>
            <w:tcBorders>
              <w:right w:val="nil"/>
            </w:tcBorders>
          </w:tcPr>
          <w:p w14:paraId="620A479D" w14:textId="2C3C22D7" w:rsidR="00355E98" w:rsidRDefault="00355E98" w:rsidP="004E00E9">
            <w:pPr>
              <w:spacing w:before="60" w:after="60"/>
              <w:rPr>
                <w:rFonts w:eastAsia="MS Mincho"/>
                <w:b/>
              </w:rPr>
            </w:pPr>
            <w:r w:rsidRPr="00903099">
              <w:rPr>
                <w:rFonts w:eastAsia="MS Mincho" w:cs="Arial"/>
              </w:rPr>
              <w:t>Nominal Location:</w:t>
            </w:r>
          </w:p>
        </w:tc>
        <w:tc>
          <w:tcPr>
            <w:tcW w:w="5245" w:type="dxa"/>
            <w:tcBorders>
              <w:left w:val="nil"/>
            </w:tcBorders>
          </w:tcPr>
          <w:p w14:paraId="3F6A36F7" w14:textId="3326AD3B" w:rsidR="00355E98" w:rsidRDefault="00355E98" w:rsidP="004E00E9">
            <w:pPr>
              <w:spacing w:before="60" w:after="60"/>
              <w:rPr>
                <w:rFonts w:eastAsia="MS Mincho"/>
                <w:b/>
              </w:rPr>
            </w:pPr>
            <w:r w:rsidRPr="00903099">
              <w:rPr>
                <w:rFonts w:eastAsia="MS Mincho" w:cs="Arial"/>
              </w:rPr>
              <w:t>Bathurst Broadcasters Site Gulf Forest Rd 2km North of YETHOLME</w:t>
            </w:r>
          </w:p>
        </w:tc>
      </w:tr>
      <w:tr w:rsidR="00355E98" w14:paraId="2357AB48" w14:textId="77777777" w:rsidTr="008254C8">
        <w:tc>
          <w:tcPr>
            <w:tcW w:w="3982" w:type="dxa"/>
            <w:tcBorders>
              <w:right w:val="nil"/>
            </w:tcBorders>
          </w:tcPr>
          <w:p w14:paraId="4B91C805" w14:textId="33582744" w:rsidR="00355E98" w:rsidRDefault="008254C8" w:rsidP="004E00E9">
            <w:pPr>
              <w:spacing w:before="60" w:after="60"/>
              <w:rPr>
                <w:rFonts w:eastAsia="MS Mincho"/>
                <w:b/>
              </w:rPr>
            </w:pPr>
            <w:r w:rsidRPr="00903099">
              <w:rPr>
                <w:rFonts w:eastAsia="MS Mincho" w:cs="Arial"/>
              </w:rPr>
              <w:t>Australian Map Grid Reference:</w:t>
            </w:r>
          </w:p>
        </w:tc>
        <w:tc>
          <w:tcPr>
            <w:tcW w:w="5245" w:type="dxa"/>
            <w:tcBorders>
              <w:left w:val="nil"/>
            </w:tcBorders>
          </w:tcPr>
          <w:p w14:paraId="32B34B2C" w14:textId="2974EC93" w:rsidR="00355E98" w:rsidRDefault="008254C8" w:rsidP="004E00E9">
            <w:pPr>
              <w:spacing w:before="60" w:after="60"/>
              <w:rPr>
                <w:rFonts w:eastAsia="MS Mincho"/>
                <w:b/>
              </w:rPr>
            </w:pPr>
            <w:r w:rsidRPr="00903099">
              <w:rPr>
                <w:rFonts w:eastAsia="MS Mincho" w:cs="Arial"/>
              </w:rPr>
              <w:t>Zone</w:t>
            </w:r>
            <w:r w:rsidRPr="00903099">
              <w:rPr>
                <w:rFonts w:eastAsia="MS Mincho" w:cs="Arial"/>
              </w:rPr>
              <w:tab/>
            </w:r>
            <w:r>
              <w:rPr>
                <w:rFonts w:eastAsia="MS Mincho" w:cs="Arial"/>
              </w:rPr>
              <w:tab/>
            </w:r>
            <w:r w:rsidRPr="00903099">
              <w:rPr>
                <w:rFonts w:eastAsia="MS Mincho" w:cs="Arial"/>
              </w:rPr>
              <w:t>Easting</w:t>
            </w:r>
            <w:r w:rsidRPr="00903099">
              <w:rPr>
                <w:rFonts w:eastAsia="MS Mincho" w:cs="Arial"/>
              </w:rPr>
              <w:tab/>
              <w:t>Northing</w:t>
            </w:r>
            <w:r w:rsidRPr="00903099">
              <w:rPr>
                <w:rFonts w:eastAsia="MS Mincho" w:cs="Arial"/>
              </w:rPr>
              <w:tab/>
            </w:r>
            <w:r>
              <w:rPr>
                <w:rFonts w:eastAsia="MS Mincho" w:cs="Arial"/>
              </w:rPr>
              <w:br/>
            </w:r>
            <w:r w:rsidRPr="00903099">
              <w:rPr>
                <w:rFonts w:eastAsia="MS Mincho" w:cs="Arial"/>
              </w:rPr>
              <w:t>55</w:t>
            </w:r>
            <w:r w:rsidRPr="00903099">
              <w:rPr>
                <w:rFonts w:eastAsia="MS Mincho" w:cs="Arial"/>
              </w:rPr>
              <w:tab/>
            </w:r>
            <w:r>
              <w:rPr>
                <w:rFonts w:eastAsia="MS Mincho" w:cs="Arial"/>
              </w:rPr>
              <w:tab/>
            </w:r>
            <w:r>
              <w:rPr>
                <w:rFonts w:eastAsia="MS Mincho" w:cs="Arial"/>
              </w:rPr>
              <w:tab/>
            </w:r>
            <w:r w:rsidRPr="00903099">
              <w:rPr>
                <w:rFonts w:eastAsia="MS Mincho" w:cs="Arial"/>
              </w:rPr>
              <w:t>760758</w:t>
            </w:r>
            <w:r w:rsidRPr="00903099">
              <w:rPr>
                <w:rFonts w:eastAsia="MS Mincho" w:cs="Arial"/>
              </w:rPr>
              <w:tab/>
              <w:t>6297185</w:t>
            </w:r>
          </w:p>
        </w:tc>
      </w:tr>
      <w:tr w:rsidR="00355E98" w14:paraId="3E898F08" w14:textId="77777777" w:rsidTr="008254C8">
        <w:tc>
          <w:tcPr>
            <w:tcW w:w="3982" w:type="dxa"/>
            <w:tcBorders>
              <w:bottom w:val="nil"/>
              <w:right w:val="nil"/>
            </w:tcBorders>
          </w:tcPr>
          <w:p w14:paraId="36E258CB" w14:textId="2FA81D1B" w:rsidR="00355E98" w:rsidRDefault="008254C8" w:rsidP="006856EB">
            <w:pPr>
              <w:spacing w:before="60" w:after="60"/>
              <w:rPr>
                <w:rFonts w:eastAsia="MS Mincho"/>
                <w:b/>
              </w:rPr>
            </w:pPr>
            <w:r w:rsidRPr="00903099">
              <w:rPr>
                <w:rFonts w:eastAsia="MS Mincho" w:cs="Arial"/>
              </w:rPr>
              <w:t>Site Tolerance:</w:t>
            </w:r>
          </w:p>
        </w:tc>
        <w:tc>
          <w:tcPr>
            <w:tcW w:w="5245" w:type="dxa"/>
            <w:tcBorders>
              <w:left w:val="nil"/>
              <w:bottom w:val="nil"/>
            </w:tcBorders>
          </w:tcPr>
          <w:p w14:paraId="24752E9A" w14:textId="1FE22955" w:rsidR="00355E98" w:rsidRDefault="008254C8" w:rsidP="004E00E9">
            <w:pPr>
              <w:spacing w:before="60" w:after="60"/>
              <w:rPr>
                <w:rFonts w:eastAsia="MS Mincho"/>
                <w:b/>
              </w:rPr>
            </w:pPr>
            <w:r w:rsidRPr="00903099">
              <w:rPr>
                <w:rFonts w:eastAsia="MS Mincho" w:cs="Arial"/>
              </w:rPr>
              <w:t xml:space="preserve">Refer to </w:t>
            </w:r>
            <w:r>
              <w:rPr>
                <w:rFonts w:eastAsia="MS Mincho" w:cs="Arial"/>
                <w:i/>
              </w:rPr>
              <w:t xml:space="preserve">Broadcasting Services </w:t>
            </w:r>
            <w:r w:rsidRPr="00903099">
              <w:rPr>
                <w:rFonts w:eastAsia="MS Mincho" w:cs="Arial"/>
                <w:i/>
              </w:rPr>
              <w:t>(Technical Planning) Guidelines 20</w:t>
            </w:r>
            <w:r>
              <w:rPr>
                <w:rFonts w:eastAsia="MS Mincho" w:cs="Arial"/>
                <w:i/>
              </w:rPr>
              <w:t>1</w:t>
            </w:r>
            <w:r w:rsidRPr="00903099">
              <w:rPr>
                <w:rFonts w:eastAsia="MS Mincho" w:cs="Arial"/>
                <w:i/>
              </w:rPr>
              <w:t>7</w:t>
            </w:r>
          </w:p>
        </w:tc>
      </w:tr>
      <w:tr w:rsidR="008254C8" w14:paraId="6FEAAE5B" w14:textId="77777777" w:rsidTr="004E00E9">
        <w:tc>
          <w:tcPr>
            <w:tcW w:w="9227" w:type="dxa"/>
            <w:gridSpan w:val="2"/>
            <w:tcBorders>
              <w:bottom w:val="nil"/>
            </w:tcBorders>
            <w:shd w:val="clear" w:color="auto" w:fill="F2F2F2" w:themeFill="background1" w:themeFillShade="F2"/>
          </w:tcPr>
          <w:p w14:paraId="5B97F6FA" w14:textId="724154A2" w:rsidR="008254C8" w:rsidRPr="008254C8" w:rsidRDefault="008254C8" w:rsidP="004E00E9">
            <w:pPr>
              <w:spacing w:before="60" w:after="60"/>
              <w:rPr>
                <w:rFonts w:eastAsia="MS Mincho"/>
                <w:b/>
                <w:i/>
              </w:rPr>
            </w:pPr>
            <w:r w:rsidRPr="008254C8">
              <w:rPr>
                <w:rFonts w:eastAsia="MS Mincho" w:cs="Arial"/>
                <w:b/>
                <w:i/>
              </w:rPr>
              <w:t>Emission:-</w:t>
            </w:r>
          </w:p>
        </w:tc>
      </w:tr>
      <w:tr w:rsidR="00355E98" w14:paraId="56C1583E" w14:textId="77777777" w:rsidTr="008254C8">
        <w:tc>
          <w:tcPr>
            <w:tcW w:w="3982" w:type="dxa"/>
            <w:tcBorders>
              <w:right w:val="nil"/>
            </w:tcBorders>
          </w:tcPr>
          <w:p w14:paraId="32562BD5" w14:textId="7C4CB612" w:rsidR="00355E98" w:rsidRDefault="008254C8" w:rsidP="004E00E9">
            <w:pPr>
              <w:spacing w:before="60" w:after="60"/>
              <w:rPr>
                <w:rFonts w:eastAsia="MS Mincho"/>
                <w:b/>
              </w:rPr>
            </w:pPr>
            <w:r w:rsidRPr="00903099">
              <w:rPr>
                <w:rFonts w:eastAsia="MS Mincho" w:cs="Arial"/>
              </w:rPr>
              <w:t>Frequency Band &amp; Mode:</w:t>
            </w:r>
          </w:p>
        </w:tc>
        <w:tc>
          <w:tcPr>
            <w:tcW w:w="5245" w:type="dxa"/>
            <w:tcBorders>
              <w:left w:val="nil"/>
            </w:tcBorders>
          </w:tcPr>
          <w:p w14:paraId="2EDC5BFA" w14:textId="483C9A5E" w:rsidR="00355E98" w:rsidRDefault="008254C8" w:rsidP="004E00E9">
            <w:pPr>
              <w:spacing w:before="60" w:after="60"/>
              <w:rPr>
                <w:rFonts w:eastAsia="MS Mincho"/>
                <w:b/>
              </w:rPr>
            </w:pPr>
            <w:r w:rsidRPr="00903099">
              <w:rPr>
                <w:rFonts w:eastAsia="MS Mincho" w:cs="Arial"/>
              </w:rPr>
              <w:t>VHF-FM</w:t>
            </w:r>
          </w:p>
        </w:tc>
      </w:tr>
      <w:tr w:rsidR="00355E98" w14:paraId="18781DD4" w14:textId="77777777" w:rsidTr="008254C8">
        <w:tc>
          <w:tcPr>
            <w:tcW w:w="3982" w:type="dxa"/>
            <w:tcBorders>
              <w:right w:val="nil"/>
            </w:tcBorders>
          </w:tcPr>
          <w:p w14:paraId="526314DE" w14:textId="54E2EEE4" w:rsidR="00355E98" w:rsidRDefault="008254C8" w:rsidP="004E00E9">
            <w:pPr>
              <w:spacing w:before="60" w:after="60"/>
              <w:rPr>
                <w:rFonts w:eastAsia="MS Mincho"/>
                <w:b/>
              </w:rPr>
            </w:pPr>
            <w:r w:rsidRPr="00903099">
              <w:rPr>
                <w:rFonts w:eastAsia="MS Mincho" w:cs="Arial"/>
              </w:rPr>
              <w:t>Carrier Frequency:</w:t>
            </w:r>
          </w:p>
        </w:tc>
        <w:tc>
          <w:tcPr>
            <w:tcW w:w="5245" w:type="dxa"/>
            <w:tcBorders>
              <w:left w:val="nil"/>
            </w:tcBorders>
          </w:tcPr>
          <w:p w14:paraId="3E247A64" w14:textId="37874632" w:rsidR="00355E98" w:rsidRDefault="008254C8" w:rsidP="004E00E9">
            <w:pPr>
              <w:spacing w:before="60" w:after="60"/>
              <w:rPr>
                <w:rFonts w:eastAsia="MS Mincho"/>
                <w:b/>
              </w:rPr>
            </w:pPr>
            <w:r w:rsidRPr="00903099">
              <w:rPr>
                <w:rFonts w:eastAsia="MS Mincho" w:cs="Arial"/>
              </w:rPr>
              <w:t>95.1 MHz</w:t>
            </w:r>
          </w:p>
        </w:tc>
      </w:tr>
      <w:tr w:rsidR="00355E98" w14:paraId="08356076" w14:textId="77777777" w:rsidTr="008254C8">
        <w:tc>
          <w:tcPr>
            <w:tcW w:w="3982" w:type="dxa"/>
            <w:tcBorders>
              <w:right w:val="nil"/>
            </w:tcBorders>
          </w:tcPr>
          <w:p w14:paraId="531D1D24" w14:textId="0B7F56D8" w:rsidR="00355E98" w:rsidRDefault="008254C8" w:rsidP="004E00E9">
            <w:pPr>
              <w:spacing w:before="60" w:after="60"/>
              <w:rPr>
                <w:rFonts w:eastAsia="MS Mincho"/>
                <w:b/>
              </w:rPr>
            </w:pPr>
            <w:r w:rsidRPr="00903099">
              <w:rPr>
                <w:rFonts w:eastAsia="MS Mincho" w:cs="Arial"/>
              </w:rPr>
              <w:t>Polarisation:</w:t>
            </w:r>
          </w:p>
        </w:tc>
        <w:tc>
          <w:tcPr>
            <w:tcW w:w="5245" w:type="dxa"/>
            <w:tcBorders>
              <w:left w:val="nil"/>
            </w:tcBorders>
          </w:tcPr>
          <w:p w14:paraId="1EF3C0BA" w14:textId="2ACCAA31" w:rsidR="00355E98" w:rsidRDefault="008254C8" w:rsidP="004E00E9">
            <w:pPr>
              <w:spacing w:before="60" w:after="60"/>
              <w:rPr>
                <w:rFonts w:eastAsia="MS Mincho"/>
                <w:b/>
              </w:rPr>
            </w:pPr>
            <w:r w:rsidRPr="00903099">
              <w:rPr>
                <w:rFonts w:eastAsia="MS Mincho" w:cs="Arial"/>
              </w:rPr>
              <w:t>Mixed</w:t>
            </w:r>
          </w:p>
        </w:tc>
      </w:tr>
      <w:tr w:rsidR="00355E98" w14:paraId="79594F21" w14:textId="77777777" w:rsidTr="008254C8">
        <w:tc>
          <w:tcPr>
            <w:tcW w:w="3982" w:type="dxa"/>
            <w:tcBorders>
              <w:right w:val="nil"/>
            </w:tcBorders>
          </w:tcPr>
          <w:p w14:paraId="02C24DE3" w14:textId="589BB219" w:rsidR="00355E98" w:rsidRDefault="008254C8" w:rsidP="004E00E9">
            <w:pPr>
              <w:spacing w:before="60" w:after="60"/>
              <w:rPr>
                <w:rFonts w:eastAsia="MS Mincho"/>
                <w:b/>
              </w:rPr>
            </w:pPr>
            <w:r w:rsidRPr="00903099">
              <w:rPr>
                <w:rFonts w:eastAsia="MS Mincho" w:cs="Arial"/>
              </w:rPr>
              <w:t>Maximum antenna height:</w:t>
            </w:r>
          </w:p>
        </w:tc>
        <w:tc>
          <w:tcPr>
            <w:tcW w:w="5245" w:type="dxa"/>
            <w:tcBorders>
              <w:left w:val="nil"/>
            </w:tcBorders>
          </w:tcPr>
          <w:p w14:paraId="7332A7B9" w14:textId="1F3D9116" w:rsidR="00355E98" w:rsidRDefault="008254C8" w:rsidP="004E00E9">
            <w:pPr>
              <w:spacing w:before="60" w:after="60"/>
              <w:rPr>
                <w:rFonts w:eastAsia="MS Mincho"/>
                <w:b/>
              </w:rPr>
            </w:pPr>
            <w:r w:rsidRPr="00903099">
              <w:rPr>
                <w:rFonts w:eastAsia="MS Mincho" w:cs="Arial"/>
              </w:rPr>
              <w:t>45 m</w:t>
            </w:r>
          </w:p>
        </w:tc>
      </w:tr>
      <w:tr w:rsidR="008254C8" w14:paraId="7862493C" w14:textId="77777777" w:rsidTr="004E00E9">
        <w:tc>
          <w:tcPr>
            <w:tcW w:w="9227" w:type="dxa"/>
            <w:gridSpan w:val="2"/>
            <w:tcBorders>
              <w:bottom w:val="nil"/>
            </w:tcBorders>
            <w:shd w:val="clear" w:color="auto" w:fill="F2F2F2" w:themeFill="background1" w:themeFillShade="F2"/>
          </w:tcPr>
          <w:p w14:paraId="49CA7E76" w14:textId="5755F27B" w:rsidR="008254C8" w:rsidRPr="008254C8" w:rsidRDefault="008254C8" w:rsidP="004E00E9">
            <w:pPr>
              <w:spacing w:before="60" w:after="60"/>
              <w:rPr>
                <w:rFonts w:eastAsia="MS Mincho" w:cs="Arial"/>
                <w:b/>
                <w:i/>
              </w:rPr>
            </w:pPr>
            <w:r w:rsidRPr="008254C8">
              <w:rPr>
                <w:rFonts w:eastAsia="MS Mincho" w:cs="Arial"/>
                <w:b/>
                <w:i/>
              </w:rPr>
              <w:t>Output Radiation Pattern:-</w:t>
            </w:r>
          </w:p>
        </w:tc>
      </w:tr>
      <w:tr w:rsidR="008254C8" w14:paraId="68052E47" w14:textId="77777777" w:rsidTr="008254C8">
        <w:tc>
          <w:tcPr>
            <w:tcW w:w="3982" w:type="dxa"/>
            <w:tcBorders>
              <w:right w:val="nil"/>
            </w:tcBorders>
          </w:tcPr>
          <w:p w14:paraId="6DA070DD" w14:textId="1E051387" w:rsidR="008254C8" w:rsidRPr="008254C8" w:rsidRDefault="008254C8" w:rsidP="004E00E9">
            <w:pPr>
              <w:spacing w:before="60" w:after="60"/>
              <w:rPr>
                <w:rFonts w:eastAsia="MS Mincho" w:cs="Arial"/>
                <w:b/>
              </w:rPr>
            </w:pPr>
            <w:r w:rsidRPr="008254C8">
              <w:rPr>
                <w:rFonts w:eastAsia="MS Mincho" w:cs="Arial"/>
                <w:b/>
              </w:rPr>
              <w:t>Bearing or Sector (Clockwise direction)</w:t>
            </w:r>
          </w:p>
        </w:tc>
        <w:tc>
          <w:tcPr>
            <w:tcW w:w="5245" w:type="dxa"/>
            <w:tcBorders>
              <w:left w:val="nil"/>
            </w:tcBorders>
          </w:tcPr>
          <w:p w14:paraId="3F16C80B" w14:textId="7D1F28F5" w:rsidR="008254C8" w:rsidRPr="008254C8" w:rsidRDefault="008254C8" w:rsidP="004E00E9">
            <w:pPr>
              <w:spacing w:before="60" w:after="60"/>
              <w:rPr>
                <w:rFonts w:eastAsia="MS Mincho" w:cs="Arial"/>
                <w:b/>
              </w:rPr>
            </w:pPr>
            <w:r w:rsidRPr="008254C8">
              <w:rPr>
                <w:rFonts w:eastAsia="MS Mincho" w:cs="Arial"/>
                <w:b/>
              </w:rPr>
              <w:t>Maximum ERP</w:t>
            </w:r>
          </w:p>
        </w:tc>
      </w:tr>
      <w:tr w:rsidR="008254C8" w14:paraId="5E6B2437" w14:textId="77777777" w:rsidTr="008254C8">
        <w:tc>
          <w:tcPr>
            <w:tcW w:w="3982" w:type="dxa"/>
            <w:tcBorders>
              <w:right w:val="nil"/>
            </w:tcBorders>
          </w:tcPr>
          <w:p w14:paraId="29CD434B" w14:textId="19F39DA7" w:rsidR="008254C8" w:rsidRPr="00903099" w:rsidRDefault="008254C8" w:rsidP="004E00E9">
            <w:pPr>
              <w:spacing w:before="60" w:after="60"/>
              <w:rPr>
                <w:rFonts w:eastAsia="MS Mincho" w:cs="Arial"/>
              </w:rPr>
            </w:pPr>
            <w:r w:rsidRPr="00903099">
              <w:rPr>
                <w:rFonts w:eastAsia="MS Mincho" w:cs="Arial"/>
                <w:szCs w:val="20"/>
              </w:rPr>
              <w:t>0°T</w:t>
            </w:r>
            <w:r w:rsidR="0096729F">
              <w:rPr>
                <w:rFonts w:eastAsia="MS Mincho" w:cs="Arial"/>
                <w:szCs w:val="20"/>
              </w:rPr>
              <w:t>–</w:t>
            </w:r>
            <w:r w:rsidRPr="00903099">
              <w:rPr>
                <w:rFonts w:eastAsia="MS Mincho" w:cs="Arial"/>
                <w:szCs w:val="20"/>
              </w:rPr>
              <w:t>70°T</w:t>
            </w:r>
          </w:p>
        </w:tc>
        <w:tc>
          <w:tcPr>
            <w:tcW w:w="5245" w:type="dxa"/>
            <w:tcBorders>
              <w:left w:val="nil"/>
            </w:tcBorders>
          </w:tcPr>
          <w:p w14:paraId="429B647F" w14:textId="05524023" w:rsidR="008254C8" w:rsidRPr="00903099" w:rsidRDefault="008254C8" w:rsidP="004E00E9">
            <w:pPr>
              <w:spacing w:before="60" w:after="60"/>
              <w:rPr>
                <w:rFonts w:eastAsia="MS Mincho" w:cs="Arial"/>
              </w:rPr>
            </w:pPr>
            <w:r w:rsidRPr="00903099">
              <w:rPr>
                <w:rFonts w:eastAsia="MS Mincho" w:cs="Arial"/>
                <w:szCs w:val="20"/>
              </w:rPr>
              <w:t>10 kW</w:t>
            </w:r>
          </w:p>
        </w:tc>
      </w:tr>
      <w:tr w:rsidR="008254C8" w14:paraId="17D8596E" w14:textId="77777777" w:rsidTr="008254C8">
        <w:tc>
          <w:tcPr>
            <w:tcW w:w="3982" w:type="dxa"/>
            <w:tcBorders>
              <w:right w:val="nil"/>
            </w:tcBorders>
          </w:tcPr>
          <w:p w14:paraId="4F594824" w14:textId="5B8EC1CD" w:rsidR="008254C8" w:rsidRPr="00903099" w:rsidRDefault="008254C8" w:rsidP="004E00E9">
            <w:pPr>
              <w:spacing w:before="60" w:after="60"/>
              <w:rPr>
                <w:rFonts w:eastAsia="MS Mincho" w:cs="Arial"/>
              </w:rPr>
            </w:pPr>
            <w:r w:rsidRPr="00903099">
              <w:rPr>
                <w:rFonts w:eastAsia="MS Mincho" w:cs="Arial"/>
                <w:szCs w:val="20"/>
              </w:rPr>
              <w:t>70°T</w:t>
            </w:r>
            <w:r w:rsidR="0096729F">
              <w:rPr>
                <w:rFonts w:eastAsia="MS Mincho" w:cs="Arial"/>
                <w:szCs w:val="20"/>
              </w:rPr>
              <w:t>–</w:t>
            </w:r>
            <w:r w:rsidRPr="00903099">
              <w:rPr>
                <w:rFonts w:eastAsia="MS Mincho" w:cs="Arial"/>
                <w:szCs w:val="20"/>
              </w:rPr>
              <w:t>165°T</w:t>
            </w:r>
          </w:p>
        </w:tc>
        <w:tc>
          <w:tcPr>
            <w:tcW w:w="5245" w:type="dxa"/>
            <w:tcBorders>
              <w:left w:val="nil"/>
            </w:tcBorders>
          </w:tcPr>
          <w:p w14:paraId="2F317814" w14:textId="321638C6" w:rsidR="008254C8" w:rsidRPr="00903099" w:rsidRDefault="008254C8" w:rsidP="004E00E9">
            <w:pPr>
              <w:spacing w:before="60" w:after="60"/>
              <w:rPr>
                <w:rFonts w:eastAsia="MS Mincho" w:cs="Arial"/>
              </w:rPr>
            </w:pPr>
            <w:r w:rsidRPr="00903099">
              <w:rPr>
                <w:rFonts w:eastAsia="MS Mincho" w:cs="Arial"/>
                <w:szCs w:val="20"/>
              </w:rPr>
              <w:t>5 kW</w:t>
            </w:r>
          </w:p>
        </w:tc>
      </w:tr>
      <w:tr w:rsidR="008254C8" w14:paraId="40EBE891" w14:textId="77777777" w:rsidTr="008254C8">
        <w:tc>
          <w:tcPr>
            <w:tcW w:w="3982" w:type="dxa"/>
            <w:tcBorders>
              <w:right w:val="nil"/>
            </w:tcBorders>
          </w:tcPr>
          <w:p w14:paraId="50D2890D" w14:textId="609914E8" w:rsidR="008254C8" w:rsidRPr="00903099" w:rsidRDefault="008254C8" w:rsidP="004E00E9">
            <w:pPr>
              <w:spacing w:before="60" w:after="60"/>
              <w:rPr>
                <w:rFonts w:eastAsia="MS Mincho" w:cs="Arial"/>
              </w:rPr>
            </w:pPr>
            <w:r w:rsidRPr="00903099">
              <w:rPr>
                <w:rFonts w:eastAsia="MS Mincho" w:cs="Arial"/>
                <w:szCs w:val="20"/>
              </w:rPr>
              <w:t>160°T</w:t>
            </w:r>
            <w:r w:rsidR="0096729F">
              <w:rPr>
                <w:rFonts w:eastAsia="MS Mincho" w:cs="Arial"/>
                <w:szCs w:val="20"/>
              </w:rPr>
              <w:t>–</w:t>
            </w:r>
            <w:r w:rsidRPr="00903099">
              <w:rPr>
                <w:rFonts w:eastAsia="MS Mincho" w:cs="Arial"/>
                <w:szCs w:val="20"/>
              </w:rPr>
              <w:t>360°T</w:t>
            </w:r>
          </w:p>
        </w:tc>
        <w:tc>
          <w:tcPr>
            <w:tcW w:w="5245" w:type="dxa"/>
            <w:tcBorders>
              <w:left w:val="nil"/>
            </w:tcBorders>
          </w:tcPr>
          <w:p w14:paraId="37E0AA24" w14:textId="08A588F1" w:rsidR="008254C8" w:rsidRPr="00903099" w:rsidRDefault="008254C8" w:rsidP="004E00E9">
            <w:pPr>
              <w:spacing w:before="60" w:after="60"/>
              <w:rPr>
                <w:rFonts w:eastAsia="MS Mincho" w:cs="Arial"/>
              </w:rPr>
            </w:pPr>
            <w:r w:rsidRPr="00903099">
              <w:rPr>
                <w:rFonts w:eastAsia="MS Mincho" w:cs="Arial"/>
                <w:szCs w:val="20"/>
              </w:rPr>
              <w:t>10 kW</w:t>
            </w:r>
          </w:p>
        </w:tc>
      </w:tr>
      <w:tr w:rsidR="008254C8" w14:paraId="1150064B" w14:textId="77777777" w:rsidTr="004E00E9">
        <w:tc>
          <w:tcPr>
            <w:tcW w:w="9227" w:type="dxa"/>
            <w:gridSpan w:val="2"/>
            <w:shd w:val="clear" w:color="auto" w:fill="F2F2F2" w:themeFill="background1" w:themeFillShade="F2"/>
          </w:tcPr>
          <w:p w14:paraId="52BF55EB" w14:textId="7EAFC4B3" w:rsidR="008254C8" w:rsidRPr="00903099" w:rsidRDefault="008254C8" w:rsidP="004E00E9">
            <w:pPr>
              <w:spacing w:before="60" w:after="60"/>
              <w:rPr>
                <w:rFonts w:eastAsia="MS Mincho" w:cs="Arial"/>
              </w:rPr>
            </w:pPr>
            <w:r w:rsidRPr="00903099">
              <w:rPr>
                <w:rFonts w:cs="Arial"/>
                <w:b/>
                <w:i/>
                <w:snapToGrid w:val="0"/>
                <w:szCs w:val="20"/>
              </w:rPr>
              <w:t>Special Condition:</w:t>
            </w:r>
          </w:p>
        </w:tc>
      </w:tr>
      <w:tr w:rsidR="008254C8" w14:paraId="405D1CFF" w14:textId="77777777" w:rsidTr="008254C8">
        <w:tc>
          <w:tcPr>
            <w:tcW w:w="9227" w:type="dxa"/>
            <w:gridSpan w:val="2"/>
          </w:tcPr>
          <w:p w14:paraId="296C71F9" w14:textId="28B75AE3" w:rsidR="008254C8" w:rsidRPr="00903099" w:rsidRDefault="008254C8" w:rsidP="004E00E9">
            <w:pPr>
              <w:suppressAutoHyphens/>
              <w:snapToGrid w:val="0"/>
              <w:spacing w:before="60" w:after="60" w:line="280" w:lineRule="atLeast"/>
              <w:rPr>
                <w:rFonts w:eastAsia="MS Mincho" w:cs="Arial"/>
              </w:rPr>
            </w:pPr>
            <w:r w:rsidRPr="00903099">
              <w:rPr>
                <w:rFonts w:cs="Arial"/>
                <w:snapToGrid w:val="0"/>
                <w:szCs w:val="20"/>
              </w:rPr>
              <w:t xml:space="preserve">The </w:t>
            </w:r>
            <w:r w:rsidRPr="00903099">
              <w:rPr>
                <w:rFonts w:cs="Arial"/>
                <w:szCs w:val="20"/>
              </w:rPr>
              <w:t>provision of a service under SL10248 by transmitter TS</w:t>
            </w:r>
            <w:r w:rsidRPr="00903099">
              <w:rPr>
                <w:rFonts w:eastAsia="MS Mincho" w:cs="Arial"/>
                <w:snapToGrid w:val="0"/>
                <w:szCs w:val="20"/>
              </w:rPr>
              <w:t xml:space="preserve">12000080 affects the </w:t>
            </w:r>
            <w:r w:rsidRPr="00903099">
              <w:rPr>
                <w:rFonts w:cs="Arial"/>
                <w:snapToGrid w:val="0"/>
                <w:szCs w:val="20"/>
              </w:rPr>
              <w:t xml:space="preserve">availability of transmitter </w:t>
            </w:r>
            <w:r w:rsidRPr="00903099">
              <w:rPr>
                <w:rFonts w:cs="Arial"/>
                <w:szCs w:val="20"/>
              </w:rPr>
              <w:t>TS</w:t>
            </w:r>
            <w:r w:rsidRPr="00903099">
              <w:rPr>
                <w:rFonts w:eastAsia="MS Mincho" w:cs="Arial"/>
                <w:szCs w:val="20"/>
              </w:rPr>
              <w:t>10004208</w:t>
            </w:r>
            <w:r w:rsidRPr="00903099">
              <w:rPr>
                <w:rFonts w:cs="Arial"/>
                <w:szCs w:val="20"/>
              </w:rPr>
              <w:t xml:space="preserve">. </w:t>
            </w:r>
          </w:p>
        </w:tc>
      </w:tr>
    </w:tbl>
    <w:p w14:paraId="04C76E72" w14:textId="77777777" w:rsidR="00355E98" w:rsidRPr="00903099" w:rsidRDefault="00355E98" w:rsidP="006856EB">
      <w:pPr>
        <w:pStyle w:val="ACMASpaceaftertable"/>
        <w:rPr>
          <w:rFonts w:eastAsia="MS Mincho"/>
        </w:rPr>
      </w:pPr>
    </w:p>
    <w:p w14:paraId="73A4BDFB" w14:textId="295B1C59" w:rsidR="00C05B66" w:rsidRPr="00903099" w:rsidRDefault="00C05B66" w:rsidP="00D02C41">
      <w:pPr>
        <w:pStyle w:val="Heading1"/>
        <w:rPr>
          <w:snapToGrid w:val="0"/>
        </w:rPr>
      </w:pPr>
      <w:bookmarkStart w:id="54" w:name="Appendix_C"/>
      <w:bookmarkStart w:id="55" w:name="_Toc513195760"/>
      <w:r w:rsidRPr="00903099">
        <w:lastRenderedPageBreak/>
        <w:t>Appendix C</w:t>
      </w:r>
      <w:bookmarkEnd w:id="54"/>
      <w:r w:rsidR="006856EB">
        <w:t>—</w:t>
      </w:r>
      <w:r w:rsidR="006856EB">
        <w:br/>
      </w:r>
      <w:r w:rsidRPr="00903099">
        <w:rPr>
          <w:snapToGrid w:val="0"/>
        </w:rPr>
        <w:lastRenderedPageBreak/>
        <w:t>Bathurst</w:t>
      </w:r>
      <w:r w:rsidR="006856EB">
        <w:rPr>
          <w:snapToGrid w:val="0"/>
        </w:rPr>
        <w:t xml:space="preserve"> </w:t>
      </w:r>
      <w:r w:rsidRPr="00903099">
        <w:rPr>
          <w:snapToGrid w:val="0"/>
        </w:rPr>
        <w:t>coverage spread</w:t>
      </w:r>
      <w:bookmarkEnd w:id="55"/>
    </w:p>
    <w:p w14:paraId="07CF25ED" w14:textId="5DBBAFEF" w:rsidR="00C05B66" w:rsidRPr="00903099" w:rsidRDefault="00C05B66" w:rsidP="00C05B66">
      <w:r w:rsidRPr="00903099">
        <w:rPr>
          <w:noProof/>
        </w:rPr>
        <w:drawing>
          <wp:inline distT="0" distB="0" distL="0" distR="0" wp14:anchorId="0459593E" wp14:editId="663C78D0">
            <wp:extent cx="4945075" cy="7643448"/>
            <wp:effectExtent l="0" t="0" r="8255" b="0"/>
            <wp:docPr id="2" name="Picture 2" title="Map shpwing 2BS Bathurst AM and FM co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hurst-100.jpg"/>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4950370" cy="7651633"/>
                    </a:xfrm>
                    <a:prstGeom prst="rect">
                      <a:avLst/>
                    </a:prstGeom>
                    <a:ln>
                      <a:noFill/>
                    </a:ln>
                    <a:extLst>
                      <a:ext uri="{53640926-AAD7-44D8-BBD7-CCE9431645EC}">
                        <a14:shadowObscured xmlns:a14="http://schemas.microsoft.com/office/drawing/2010/main"/>
                      </a:ext>
                    </a:extLst>
                  </pic:spPr>
                </pic:pic>
              </a:graphicData>
            </a:graphic>
          </wp:inline>
        </w:drawing>
      </w:r>
    </w:p>
    <w:p w14:paraId="730A1B1C" w14:textId="529EF882" w:rsidR="001B4825" w:rsidRPr="00903099" w:rsidRDefault="001B4825" w:rsidP="00D02C41">
      <w:pPr>
        <w:pStyle w:val="Heading1"/>
      </w:pPr>
      <w:bookmarkStart w:id="56" w:name="Appendix_D"/>
      <w:bookmarkStart w:id="57" w:name="_Toc513195761"/>
      <w:r w:rsidRPr="00903099">
        <w:lastRenderedPageBreak/>
        <w:t>Appendix D</w:t>
      </w:r>
      <w:r w:rsidR="006856EB">
        <w:t>—</w:t>
      </w:r>
      <w:bookmarkEnd w:id="56"/>
      <w:r w:rsidR="006856EB">
        <w:br/>
      </w:r>
      <w:r w:rsidRPr="00903099">
        <w:t>Bathurst RA1 licence area map</w:t>
      </w:r>
      <w:bookmarkEnd w:id="57"/>
    </w:p>
    <w:p w14:paraId="06C4F3DD" w14:textId="61D6010A" w:rsidR="00A4193E" w:rsidRPr="00903099" w:rsidRDefault="00213AF9" w:rsidP="00CF3719">
      <w:bookmarkStart w:id="58" w:name="_GoBack"/>
      <w:r>
        <w:rPr>
          <w:noProof/>
        </w:rPr>
        <w:drawing>
          <wp:inline distT="0" distB="0" distL="0" distR="0" wp14:anchorId="69F2B918" wp14:editId="70956A0A">
            <wp:extent cx="4871085" cy="7069455"/>
            <wp:effectExtent l="0" t="0" r="5715" b="0"/>
            <wp:docPr id="3" name="Picture 3" title="Bathurst RA1 licence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D image.png"/>
                    <pic:cNvPicPr/>
                  </pic:nvPicPr>
                  <pic:blipFill>
                    <a:blip r:embed="rId43">
                      <a:extLst>
                        <a:ext uri="{28A0092B-C50C-407E-A947-70E740481C1C}">
                          <a14:useLocalDpi xmlns:a14="http://schemas.microsoft.com/office/drawing/2010/main" val="0"/>
                        </a:ext>
                      </a:extLst>
                    </a:blip>
                    <a:stretch>
                      <a:fillRect/>
                    </a:stretch>
                  </pic:blipFill>
                  <pic:spPr>
                    <a:xfrm>
                      <a:off x="0" y="0"/>
                      <a:ext cx="4871085" cy="7069455"/>
                    </a:xfrm>
                    <a:prstGeom prst="rect">
                      <a:avLst/>
                    </a:prstGeom>
                  </pic:spPr>
                </pic:pic>
              </a:graphicData>
            </a:graphic>
          </wp:inline>
        </w:drawing>
      </w:r>
      <w:bookmarkEnd w:id="58"/>
    </w:p>
    <w:sectPr w:rsidR="00A4193E" w:rsidRPr="00903099" w:rsidSect="00C77380">
      <w:headerReference w:type="even" r:id="rId44"/>
      <w:headerReference w:type="default" r:id="rId45"/>
      <w:footerReference w:type="even" r:id="rId46"/>
      <w:footerReference w:type="default" r:id="rId47"/>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BAC59B" w14:textId="77777777" w:rsidR="0056389B" w:rsidRDefault="0056389B">
      <w:r>
        <w:separator/>
      </w:r>
    </w:p>
  </w:endnote>
  <w:endnote w:type="continuationSeparator" w:id="0">
    <w:p w14:paraId="6E436632" w14:textId="77777777" w:rsidR="0056389B" w:rsidRDefault="00563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 New 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947A7" w14:textId="77777777" w:rsidR="00493D50" w:rsidRPr="00A5474E" w:rsidRDefault="00493D50" w:rsidP="00A5474E">
    <w:pPr>
      <w:pStyle w:val="Footer"/>
    </w:pPr>
    <w:r>
      <w:rPr>
        <w:noProof/>
      </w:rPr>
      <w:drawing>
        <wp:inline distT="0" distB="0" distL="0" distR="0" wp14:anchorId="4E6541CD" wp14:editId="1D9A4352">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C0E70" w14:textId="77777777" w:rsidR="00493D50" w:rsidRDefault="00493D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1D40C" w14:textId="77777777" w:rsidR="00493D50" w:rsidRDefault="00493D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69929" w14:textId="77777777" w:rsidR="00493D50" w:rsidRPr="00A5474E" w:rsidRDefault="00493D50" w:rsidP="00A547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E8E5B" w14:textId="77777777" w:rsidR="00493D50" w:rsidRPr="00A5474E" w:rsidRDefault="00493D50" w:rsidP="00A5474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BD64" w14:textId="09CE9037" w:rsidR="00493D50" w:rsidRPr="00622A3B" w:rsidRDefault="00493D50"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CC4569">
      <w:rPr>
        <w:noProof/>
        <w:color w:val="505050"/>
      </w:rPr>
      <w:t>iii</w:t>
    </w:r>
    <w:r w:rsidRPr="002E4DDC">
      <w:rPr>
        <w:color w:val="505050"/>
      </w:rPr>
      <w:fldChar w:fldCharType="end"/>
    </w:r>
  </w:p>
  <w:p w14:paraId="797E591A" w14:textId="77777777" w:rsidR="00493D50" w:rsidRPr="00A5474E" w:rsidRDefault="00493D50"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BC441" w14:textId="037F3098" w:rsidR="00493D50" w:rsidRPr="00622A3B" w:rsidRDefault="00493D50"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1E02E2">
      <w:rPr>
        <w:noProof/>
      </w:rPr>
      <w:t>18</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7B44B113" w14:textId="77777777" w:rsidR="00493D50" w:rsidRPr="00A5474E" w:rsidRDefault="00493D50"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75596" w14:textId="7B52D92E" w:rsidR="00493D50" w:rsidRPr="00622A3B" w:rsidRDefault="00493D50"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1E02E2">
      <w:rPr>
        <w:noProof/>
        <w:color w:val="505050"/>
      </w:rPr>
      <w:t>17</w:t>
    </w:r>
    <w:r w:rsidRPr="00575AC5">
      <w:rPr>
        <w:color w:val="505050"/>
      </w:rPr>
      <w:fldChar w:fldCharType="end"/>
    </w:r>
  </w:p>
  <w:p w14:paraId="152B4D3C" w14:textId="77777777" w:rsidR="00493D50" w:rsidRPr="00A5474E" w:rsidRDefault="00493D50"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274DD" w14:textId="77777777" w:rsidR="0056389B" w:rsidRDefault="0056389B">
      <w:r>
        <w:separator/>
      </w:r>
    </w:p>
  </w:footnote>
  <w:footnote w:type="continuationSeparator" w:id="0">
    <w:p w14:paraId="6ED34AD9" w14:textId="77777777" w:rsidR="0056389B" w:rsidRDefault="0056389B">
      <w:r>
        <w:continuationSeparator/>
      </w:r>
    </w:p>
  </w:footnote>
  <w:footnote w:id="1">
    <w:p w14:paraId="25BA62C6" w14:textId="2771D740" w:rsidR="00493D50" w:rsidRDefault="00493D50" w:rsidP="00015664">
      <w:pPr>
        <w:pStyle w:val="FootnoteText"/>
        <w:spacing w:after="0"/>
      </w:pPr>
      <w:r>
        <w:rPr>
          <w:rStyle w:val="FootnoteReference"/>
        </w:rPr>
        <w:footnoteRef/>
      </w:r>
      <w:r>
        <w:t xml:space="preserve"> In summary, section 23 of the BSA provides that the ACMA is to consider social demographics, social and economic characteristics within the licence area, the number of existing broadcasting services and the demand for new broadcasting services within the licence area, developments in technology, technical restraints relating to the delivery and reception of broadcasting services, the demand for radiofrequency spectrum for services other than broadcasting services and such other matters as the ACMA considers relevant.</w:t>
      </w:r>
    </w:p>
  </w:footnote>
  <w:footnote w:id="2">
    <w:p w14:paraId="46472BBA" w14:textId="0651E79E" w:rsidR="00493D50" w:rsidRDefault="00493D50" w:rsidP="00015664">
      <w:pPr>
        <w:pStyle w:val="FootnoteText"/>
        <w:spacing w:after="0"/>
      </w:pPr>
      <w:r>
        <w:rPr>
          <w:rStyle w:val="FootnoteReference"/>
        </w:rPr>
        <w:footnoteRef/>
      </w:r>
      <w:r>
        <w:t xml:space="preserve"> Section 17 of the </w:t>
      </w:r>
      <w:r w:rsidRPr="005A2F4A">
        <w:rPr>
          <w:i/>
        </w:rPr>
        <w:t>Legislation Act 2003</w:t>
      </w:r>
      <w:r>
        <w:t>: Rule-makers should consult before making legislative instruments</w:t>
      </w:r>
      <w:r>
        <w:br/>
        <w:t>(1) Before a legislative instrument is made, the rule-maker must be satisfied that there has been undertaken any consultation that is:</w:t>
      </w:r>
      <w:r>
        <w:br/>
        <w:t>(a) considered by the rule-maker to be appropriate; and</w:t>
      </w:r>
      <w:r>
        <w:br/>
        <w:t>(b) reasonably practicable to undertake.</w:t>
      </w:r>
    </w:p>
  </w:footnote>
  <w:footnote w:id="3">
    <w:p w14:paraId="574EC958" w14:textId="25F1E59E" w:rsidR="00493D50" w:rsidRPr="009E17A5" w:rsidRDefault="00493D50" w:rsidP="00D24383">
      <w:pPr>
        <w:pStyle w:val="FootnoteText"/>
        <w:spacing w:after="0"/>
        <w:rPr>
          <w:i/>
        </w:rPr>
      </w:pPr>
      <w:r>
        <w:rPr>
          <w:rStyle w:val="FootnoteReference"/>
        </w:rPr>
        <w:footnoteRef/>
      </w:r>
      <w:r>
        <w:t xml:space="preserve"> </w:t>
      </w:r>
      <w:r w:rsidRPr="00B33DCE">
        <w:t xml:space="preserve">Australian Broadcasting Authority, </w:t>
      </w:r>
      <w:r w:rsidRPr="00A90464">
        <w:rPr>
          <w:i/>
        </w:rPr>
        <w:t>Technical Planning Parameters and Methods for Terrestrial Broadcasting</w:t>
      </w:r>
      <w:r w:rsidRPr="00B33DCE">
        <w:t>, April 2004</w:t>
      </w:r>
      <w:r>
        <w:t>.</w:t>
      </w:r>
    </w:p>
  </w:footnote>
  <w:footnote w:id="4">
    <w:p w14:paraId="07E8612C" w14:textId="46FA2B0A" w:rsidR="00493D50" w:rsidRDefault="00493D50" w:rsidP="00D24383">
      <w:pPr>
        <w:pStyle w:val="FootnoteText"/>
        <w:spacing w:after="0"/>
      </w:pPr>
      <w:r>
        <w:rPr>
          <w:rStyle w:val="FootnoteReference"/>
        </w:rPr>
        <w:footnoteRef/>
      </w:r>
      <w:r>
        <w:t xml:space="preserve"> Section 39 of the BSA provides that, under certain conditions—when a licence area is a </w:t>
      </w:r>
      <w:proofErr w:type="spellStart"/>
      <w:r>
        <w:t>solus</w:t>
      </w:r>
      <w:proofErr w:type="spellEnd"/>
      <w:r>
        <w:t xml:space="preserve"> market, a service is provided under a parent licence, the licence area for the parent licence does not have excess overlap area, the licensee requests it and the ACMA is of the opinion that suitable spectrum is available—the ACMA must allocate an additional licence to the applicant for that same licence area as soon as is practicable.</w:t>
      </w:r>
    </w:p>
  </w:footnote>
  <w:footnote w:id="5">
    <w:p w14:paraId="19C034FB" w14:textId="2405E77B" w:rsidR="00493D50" w:rsidRDefault="00493D50" w:rsidP="00D24383">
      <w:pPr>
        <w:pStyle w:val="FootnoteText"/>
        <w:spacing w:after="0"/>
      </w:pPr>
      <w:r>
        <w:rPr>
          <w:rStyle w:val="FootnoteReference"/>
        </w:rPr>
        <w:footnoteRef/>
      </w:r>
      <w:r>
        <w:t xml:space="preserve"> The ACMA issues transmitter licences for certain broadcasting services under section 102 of the </w:t>
      </w:r>
      <w:r w:rsidRPr="005A2F4A">
        <w:rPr>
          <w:i/>
        </w:rPr>
        <w:t>Radiocommunications Act 1992</w:t>
      </w:r>
      <w:r>
        <w:t>.</w:t>
      </w:r>
    </w:p>
  </w:footnote>
  <w:footnote w:id="6">
    <w:p w14:paraId="3F1B2557" w14:textId="255CC6AB" w:rsidR="00493D50" w:rsidRDefault="00493D50" w:rsidP="00D24383">
      <w:pPr>
        <w:pStyle w:val="FootnoteText"/>
        <w:spacing w:after="0"/>
      </w:pPr>
      <w:r>
        <w:rPr>
          <w:rStyle w:val="FootnoteReference"/>
        </w:rPr>
        <w:footnoteRef/>
      </w:r>
      <w:r>
        <w:t xml:space="preserve"> </w:t>
      </w:r>
      <w:r w:rsidRPr="00B33DCE">
        <w:t xml:space="preserve">Section 30 of the BSA provides for the ACMA, having regard to the census data prepared by the Australian Bureau of Statistics, to determine the population of a licence area. The ACMA section 30 schedule was published in 2016 </w:t>
      </w:r>
      <w:r>
        <w:t xml:space="preserve">and </w:t>
      </w:r>
      <w:r w:rsidRPr="00B33DCE">
        <w:t>uses 2011 census population data.</w:t>
      </w:r>
    </w:p>
  </w:footnote>
  <w:footnote w:id="7">
    <w:p w14:paraId="3F9DCAF1" w14:textId="1DE8903F" w:rsidR="00493D50" w:rsidRDefault="00493D50" w:rsidP="00D24383">
      <w:pPr>
        <w:pStyle w:val="FootnoteText"/>
        <w:spacing w:after="0"/>
      </w:pPr>
      <w:r>
        <w:rPr>
          <w:rStyle w:val="FootnoteReference"/>
        </w:rPr>
        <w:footnoteRef/>
      </w:r>
      <w:r>
        <w:t xml:space="preserve"> T</w:t>
      </w:r>
      <w:r w:rsidRPr="00E46ADA">
        <w:t xml:space="preserve">he </w:t>
      </w:r>
      <w:r>
        <w:t xml:space="preserve">LAP </w:t>
      </w:r>
      <w:r w:rsidRPr="00E46ADA">
        <w:t xml:space="preserve">variation </w:t>
      </w:r>
      <w:hyperlink r:id="rId1" w:history="1">
        <w:r w:rsidRPr="00E46ADA">
          <w:rPr>
            <w:rStyle w:val="Hyperlink"/>
            <w:i/>
          </w:rPr>
          <w:t>Licence Area Plan – Remote Central and Eastern Australian Radio</w:t>
        </w:r>
      </w:hyperlink>
      <w:r w:rsidRPr="00E46ADA">
        <w:t xml:space="preserve"> was registered on the Federal Register of Legislation in December 2017.</w:t>
      </w:r>
    </w:p>
  </w:footnote>
  <w:footnote w:id="8">
    <w:p w14:paraId="0A01C57E" w14:textId="33B6DAE6" w:rsidR="00493D50" w:rsidRDefault="00493D50" w:rsidP="001B16AC">
      <w:pPr>
        <w:pStyle w:val="FootnoteText"/>
        <w:spacing w:after="0"/>
      </w:pPr>
      <w:r>
        <w:rPr>
          <w:rStyle w:val="FootnoteReference"/>
        </w:rPr>
        <w:footnoteRef/>
      </w:r>
      <w:r>
        <w:t xml:space="preserve"> Coverage predictions have been made using best estimates of actual transmitting antennas rather than LAP masks. The Oberon transmission is predicted to be interference-limited and is only protected to 66 </w:t>
      </w:r>
      <w:proofErr w:type="spellStart"/>
      <w:r>
        <w:t>dB</w:t>
      </w:r>
      <w:r>
        <w:rPr>
          <w:rFonts w:cs="Arial"/>
        </w:rPr>
        <w:t>µ</w:t>
      </w:r>
      <w:r>
        <w:t>V</w:t>
      </w:r>
      <w:proofErr w:type="spellEnd"/>
      <w:r>
        <w:t xml:space="preserve">/m. All other transmitters are assumed to be protected to 54 </w:t>
      </w:r>
      <w:proofErr w:type="spellStart"/>
      <w:r>
        <w:t>dB</w:t>
      </w:r>
      <w:r>
        <w:rPr>
          <w:rFonts w:cs="Arial"/>
        </w:rPr>
        <w:t>µ</w:t>
      </w:r>
      <w:r>
        <w:t>V</w:t>
      </w:r>
      <w:proofErr w:type="spellEnd"/>
      <w:r>
        <w:t>/m.</w:t>
      </w:r>
    </w:p>
  </w:footnote>
  <w:footnote w:id="9">
    <w:p w14:paraId="7F94B829" w14:textId="1255483E" w:rsidR="00493D50" w:rsidRDefault="00493D50" w:rsidP="00AE303D">
      <w:pPr>
        <w:pStyle w:val="FootnoteText"/>
        <w:spacing w:after="0"/>
      </w:pPr>
      <w:r>
        <w:rPr>
          <w:rStyle w:val="FootnoteReference"/>
        </w:rPr>
        <w:footnoteRef/>
      </w:r>
      <w:r>
        <w:t xml:space="preserve"> </w:t>
      </w:r>
      <w:r>
        <w:rPr>
          <w:szCs w:val="24"/>
        </w:rPr>
        <w:t>47,900</w:t>
      </w:r>
      <w:r w:rsidRPr="00A66778">
        <w:rPr>
          <w:szCs w:val="24"/>
        </w:rPr>
        <w:t xml:space="preserve"> people or </w:t>
      </w:r>
      <w:r>
        <w:rPr>
          <w:szCs w:val="24"/>
        </w:rPr>
        <w:t>99.3 per cent</w:t>
      </w:r>
      <w:r w:rsidRPr="00A66778">
        <w:rPr>
          <w:szCs w:val="24"/>
        </w:rPr>
        <w:t xml:space="preserve"> of the total licence area population using P.1546 and lower threshold</w:t>
      </w:r>
      <w:r>
        <w:rPr>
          <w:szCs w:val="24"/>
        </w:rPr>
        <w:t>;</w:t>
      </w:r>
      <w:r w:rsidRPr="00A66778">
        <w:rPr>
          <w:szCs w:val="24"/>
        </w:rPr>
        <w:t xml:space="preserve"> </w:t>
      </w:r>
      <w:r>
        <w:rPr>
          <w:szCs w:val="24"/>
        </w:rPr>
        <w:t>47,700</w:t>
      </w:r>
      <w:r w:rsidRPr="00A66778">
        <w:rPr>
          <w:szCs w:val="24"/>
        </w:rPr>
        <w:t xml:space="preserve"> or </w:t>
      </w:r>
      <w:r>
        <w:rPr>
          <w:szCs w:val="24"/>
        </w:rPr>
        <w:t>98.9 per cent</w:t>
      </w:r>
      <w:r w:rsidRPr="00A66778">
        <w:rPr>
          <w:szCs w:val="24"/>
        </w:rPr>
        <w:t xml:space="preserve"> using P.1546 and standard thresholds</w:t>
      </w:r>
      <w:r>
        <w:rPr>
          <w:szCs w:val="24"/>
        </w:rPr>
        <w:t>;</w:t>
      </w:r>
      <w:r w:rsidRPr="00A66778">
        <w:rPr>
          <w:szCs w:val="24"/>
        </w:rPr>
        <w:t xml:space="preserve"> </w:t>
      </w:r>
      <w:r>
        <w:rPr>
          <w:szCs w:val="24"/>
        </w:rPr>
        <w:t>47,900</w:t>
      </w:r>
      <w:r w:rsidRPr="00A66778">
        <w:rPr>
          <w:szCs w:val="24"/>
        </w:rPr>
        <w:t xml:space="preserve"> or </w:t>
      </w:r>
      <w:r>
        <w:rPr>
          <w:szCs w:val="24"/>
        </w:rPr>
        <w:t>99.3 per cent</w:t>
      </w:r>
      <w:r w:rsidRPr="00A66778">
        <w:rPr>
          <w:szCs w:val="24"/>
        </w:rPr>
        <w:t xml:space="preserve"> using CRC and lower threshold</w:t>
      </w:r>
      <w:r>
        <w:rPr>
          <w:szCs w:val="24"/>
        </w:rPr>
        <w:t>;</w:t>
      </w:r>
      <w:r w:rsidRPr="00A66778">
        <w:rPr>
          <w:szCs w:val="24"/>
        </w:rPr>
        <w:t xml:space="preserve"> and </w:t>
      </w:r>
      <w:r>
        <w:rPr>
          <w:szCs w:val="24"/>
        </w:rPr>
        <w:t>47,700</w:t>
      </w:r>
      <w:r w:rsidRPr="00A66778">
        <w:rPr>
          <w:szCs w:val="24"/>
        </w:rPr>
        <w:t xml:space="preserve"> or </w:t>
      </w:r>
      <w:r>
        <w:rPr>
          <w:szCs w:val="24"/>
        </w:rPr>
        <w:t>98.9 per cent</w:t>
      </w:r>
      <w:r w:rsidRPr="00A66778">
        <w:rPr>
          <w:szCs w:val="24"/>
        </w:rPr>
        <w:t xml:space="preserve"> using CRC and standard threshold.</w:t>
      </w:r>
    </w:p>
  </w:footnote>
  <w:footnote w:id="10">
    <w:p w14:paraId="7C05AE67" w14:textId="6CC13774" w:rsidR="00493D50" w:rsidRDefault="00493D50" w:rsidP="00AE303D">
      <w:pPr>
        <w:pStyle w:val="FootnoteText"/>
        <w:spacing w:after="0"/>
      </w:pPr>
      <w:r>
        <w:rPr>
          <w:rStyle w:val="FootnoteReference"/>
        </w:rPr>
        <w:footnoteRef/>
      </w:r>
      <w:r>
        <w:t xml:space="preserve"> Population predictions have been made for four scenarios—the ITU-R Recommendation P.1546-1 and CRC-predict propagation models with the standard FM planning thresholds and with the field strength thresholds lowered by 6 </w:t>
      </w:r>
      <w:proofErr w:type="spellStart"/>
      <w:r>
        <w:t>dB.</w:t>
      </w:r>
      <w:proofErr w:type="spellEnd"/>
    </w:p>
  </w:footnote>
  <w:footnote w:id="11">
    <w:p w14:paraId="0C0C1473" w14:textId="0413799B" w:rsidR="00493D50" w:rsidRDefault="00493D50" w:rsidP="00AE303D">
      <w:pPr>
        <w:pStyle w:val="FootnoteText"/>
        <w:spacing w:after="0"/>
      </w:pPr>
      <w:r>
        <w:rPr>
          <w:rStyle w:val="FootnoteReference"/>
        </w:rPr>
        <w:footnoteRef/>
      </w:r>
      <w:r>
        <w:t xml:space="preserve"> </w:t>
      </w:r>
      <w:r w:rsidRPr="00A66778">
        <w:rPr>
          <w:szCs w:val="24"/>
        </w:rPr>
        <w:t>340 people or 0.7</w:t>
      </w:r>
      <w:r>
        <w:rPr>
          <w:szCs w:val="24"/>
        </w:rPr>
        <w:t xml:space="preserve"> per cent</w:t>
      </w:r>
      <w:r w:rsidRPr="00A66778">
        <w:rPr>
          <w:szCs w:val="24"/>
        </w:rPr>
        <w:t xml:space="preserve"> of the total licence area population using P.1546 and lower threshold</w:t>
      </w:r>
      <w:r>
        <w:rPr>
          <w:szCs w:val="24"/>
        </w:rPr>
        <w:t>;</w:t>
      </w:r>
      <w:r w:rsidRPr="00A66778">
        <w:rPr>
          <w:szCs w:val="24"/>
        </w:rPr>
        <w:t xml:space="preserve"> 6</w:t>
      </w:r>
      <w:r w:rsidRPr="00830798">
        <w:rPr>
          <w:szCs w:val="24"/>
        </w:rPr>
        <w:t>2</w:t>
      </w:r>
      <w:r w:rsidRPr="00A66778">
        <w:rPr>
          <w:szCs w:val="24"/>
        </w:rPr>
        <w:t>0 or 1.3</w:t>
      </w:r>
      <w:r>
        <w:rPr>
          <w:szCs w:val="24"/>
        </w:rPr>
        <w:t xml:space="preserve"> per cent</w:t>
      </w:r>
      <w:r w:rsidRPr="00A66778">
        <w:rPr>
          <w:szCs w:val="24"/>
        </w:rPr>
        <w:t xml:space="preserve"> using P.1546 and standard thresholds</w:t>
      </w:r>
      <w:r>
        <w:rPr>
          <w:szCs w:val="24"/>
        </w:rPr>
        <w:t xml:space="preserve">; </w:t>
      </w:r>
      <w:r w:rsidRPr="00A66778">
        <w:rPr>
          <w:szCs w:val="24"/>
        </w:rPr>
        <w:t>1,</w:t>
      </w:r>
      <w:r w:rsidRPr="00830798">
        <w:rPr>
          <w:szCs w:val="24"/>
        </w:rPr>
        <w:t>6</w:t>
      </w:r>
      <w:r w:rsidRPr="00A66778">
        <w:rPr>
          <w:szCs w:val="24"/>
        </w:rPr>
        <w:t>00 or 3.</w:t>
      </w:r>
      <w:r w:rsidRPr="00830798">
        <w:rPr>
          <w:szCs w:val="24"/>
        </w:rPr>
        <w:t>3</w:t>
      </w:r>
      <w:r>
        <w:rPr>
          <w:szCs w:val="24"/>
        </w:rPr>
        <w:t xml:space="preserve"> per cent</w:t>
      </w:r>
      <w:r w:rsidRPr="00A66778">
        <w:rPr>
          <w:szCs w:val="24"/>
        </w:rPr>
        <w:t xml:space="preserve"> using CRC and lower threshold</w:t>
      </w:r>
      <w:r>
        <w:rPr>
          <w:szCs w:val="24"/>
        </w:rPr>
        <w:t>;</w:t>
      </w:r>
      <w:r w:rsidRPr="00A66778">
        <w:rPr>
          <w:szCs w:val="24"/>
        </w:rPr>
        <w:t xml:space="preserve"> and 2,9</w:t>
      </w:r>
      <w:r w:rsidRPr="00830798">
        <w:rPr>
          <w:szCs w:val="24"/>
        </w:rPr>
        <w:t>4</w:t>
      </w:r>
      <w:r w:rsidRPr="00A66778">
        <w:rPr>
          <w:szCs w:val="24"/>
        </w:rPr>
        <w:t>0 or 6</w:t>
      </w:r>
      <w:r w:rsidRPr="00830798">
        <w:rPr>
          <w:szCs w:val="24"/>
        </w:rPr>
        <w:t>.1</w:t>
      </w:r>
      <w:r>
        <w:rPr>
          <w:szCs w:val="24"/>
        </w:rPr>
        <w:t xml:space="preserve"> per cent</w:t>
      </w:r>
      <w:r w:rsidRPr="00A66778">
        <w:rPr>
          <w:szCs w:val="24"/>
        </w:rPr>
        <w:t xml:space="preserve"> using CRC and standard threshold.</w:t>
      </w:r>
    </w:p>
  </w:footnote>
  <w:footnote w:id="12">
    <w:p w14:paraId="4FD2B4AF" w14:textId="4644CC0C" w:rsidR="00493D50" w:rsidRDefault="00493D50" w:rsidP="00AE303D">
      <w:pPr>
        <w:pStyle w:val="FootnoteText"/>
        <w:spacing w:after="0"/>
      </w:pPr>
      <w:r>
        <w:rPr>
          <w:rStyle w:val="FootnoteReference"/>
        </w:rPr>
        <w:footnoteRef/>
      </w:r>
      <w:r>
        <w:t xml:space="preserve"> </w:t>
      </w:r>
      <w:r w:rsidRPr="006B24E8">
        <w:rPr>
          <w:szCs w:val="24"/>
        </w:rPr>
        <w:t>320 people or 0.7</w:t>
      </w:r>
      <w:r>
        <w:rPr>
          <w:szCs w:val="24"/>
        </w:rPr>
        <w:t xml:space="preserve"> per cent</w:t>
      </w:r>
      <w:r w:rsidRPr="006B24E8">
        <w:rPr>
          <w:szCs w:val="24"/>
        </w:rPr>
        <w:t xml:space="preserve"> of the total licence area population using P.1546 and lower threshold</w:t>
      </w:r>
      <w:r>
        <w:rPr>
          <w:szCs w:val="24"/>
        </w:rPr>
        <w:t>;</w:t>
      </w:r>
      <w:r w:rsidRPr="006B24E8">
        <w:rPr>
          <w:szCs w:val="24"/>
        </w:rPr>
        <w:t xml:space="preserve"> 5</w:t>
      </w:r>
      <w:r w:rsidRPr="00830798">
        <w:rPr>
          <w:szCs w:val="24"/>
        </w:rPr>
        <w:t>4</w:t>
      </w:r>
      <w:r w:rsidRPr="006B24E8">
        <w:rPr>
          <w:szCs w:val="24"/>
        </w:rPr>
        <w:t>0 or 1.1</w:t>
      </w:r>
      <w:r>
        <w:rPr>
          <w:szCs w:val="24"/>
        </w:rPr>
        <w:t xml:space="preserve"> per cent</w:t>
      </w:r>
      <w:r w:rsidRPr="006B24E8">
        <w:rPr>
          <w:szCs w:val="24"/>
        </w:rPr>
        <w:t xml:space="preserve"> using P.1546 and standard threshold</w:t>
      </w:r>
      <w:r>
        <w:rPr>
          <w:szCs w:val="24"/>
        </w:rPr>
        <w:t>;</w:t>
      </w:r>
      <w:r w:rsidRPr="006B24E8">
        <w:rPr>
          <w:szCs w:val="24"/>
        </w:rPr>
        <w:t xml:space="preserve"> 9</w:t>
      </w:r>
      <w:r w:rsidRPr="00830798">
        <w:rPr>
          <w:szCs w:val="24"/>
        </w:rPr>
        <w:t>4</w:t>
      </w:r>
      <w:r w:rsidRPr="006B24E8">
        <w:rPr>
          <w:szCs w:val="24"/>
        </w:rPr>
        <w:t>0 or 1.9</w:t>
      </w:r>
      <w:r>
        <w:rPr>
          <w:szCs w:val="24"/>
        </w:rPr>
        <w:t xml:space="preserve"> per cent</w:t>
      </w:r>
      <w:r w:rsidRPr="006B24E8">
        <w:rPr>
          <w:szCs w:val="24"/>
        </w:rPr>
        <w:t xml:space="preserve"> using CRC and lower threshold</w:t>
      </w:r>
      <w:r>
        <w:rPr>
          <w:szCs w:val="24"/>
        </w:rPr>
        <w:t>;</w:t>
      </w:r>
      <w:r w:rsidRPr="006B24E8">
        <w:rPr>
          <w:szCs w:val="24"/>
        </w:rPr>
        <w:t xml:space="preserve"> and 1,</w:t>
      </w:r>
      <w:r w:rsidRPr="00830798">
        <w:rPr>
          <w:szCs w:val="24"/>
        </w:rPr>
        <w:t>660</w:t>
      </w:r>
      <w:r w:rsidRPr="006B24E8">
        <w:rPr>
          <w:szCs w:val="24"/>
        </w:rPr>
        <w:t xml:space="preserve"> or 3.</w:t>
      </w:r>
      <w:r w:rsidRPr="00830798">
        <w:rPr>
          <w:szCs w:val="24"/>
        </w:rPr>
        <w:t>4</w:t>
      </w:r>
      <w:r>
        <w:rPr>
          <w:szCs w:val="24"/>
        </w:rPr>
        <w:t xml:space="preserve"> per cent</w:t>
      </w:r>
      <w:r w:rsidRPr="006B24E8">
        <w:rPr>
          <w:szCs w:val="24"/>
        </w:rPr>
        <w:t xml:space="preserve"> using CRC and standard threshold.</w:t>
      </w:r>
    </w:p>
  </w:footnote>
  <w:footnote w:id="13">
    <w:p w14:paraId="4FD73D7A" w14:textId="44085E68" w:rsidR="00493D50" w:rsidRDefault="00493D50" w:rsidP="00AE303D">
      <w:pPr>
        <w:pStyle w:val="FootnoteText"/>
        <w:spacing w:after="0"/>
      </w:pPr>
      <w:r>
        <w:rPr>
          <w:rStyle w:val="FootnoteReference"/>
        </w:rPr>
        <w:footnoteRef/>
      </w:r>
      <w:r>
        <w:t xml:space="preserve"> </w:t>
      </w:r>
      <w:r w:rsidRPr="004635A0">
        <w:t>20 people using P.1546 and lower threshold</w:t>
      </w:r>
      <w:r>
        <w:t>;</w:t>
      </w:r>
      <w:r w:rsidRPr="004635A0">
        <w:t xml:space="preserve"> </w:t>
      </w:r>
      <w:r w:rsidRPr="009C69D5">
        <w:t>80</w:t>
      </w:r>
      <w:r w:rsidRPr="004635A0">
        <w:t xml:space="preserve"> or 0.2</w:t>
      </w:r>
      <w:r>
        <w:t xml:space="preserve"> per cent </w:t>
      </w:r>
      <w:r w:rsidRPr="004635A0">
        <w:t>of the total licence area population using P.1546 and standard threshold</w:t>
      </w:r>
      <w:r>
        <w:t>;</w:t>
      </w:r>
      <w:r w:rsidRPr="004635A0">
        <w:t xml:space="preserve"> 6</w:t>
      </w:r>
      <w:r w:rsidRPr="009C69D5">
        <w:t>6</w:t>
      </w:r>
      <w:r w:rsidRPr="004635A0">
        <w:t>0 or 1.</w:t>
      </w:r>
      <w:r w:rsidRPr="009C69D5">
        <w:t>4</w:t>
      </w:r>
      <w:r>
        <w:t xml:space="preserve"> per cent</w:t>
      </w:r>
      <w:r w:rsidRPr="004635A0">
        <w:t xml:space="preserve"> using CRC and lower threshold</w:t>
      </w:r>
      <w:r>
        <w:t>;</w:t>
      </w:r>
      <w:r w:rsidRPr="004635A0">
        <w:t xml:space="preserve"> and 1,</w:t>
      </w:r>
      <w:r w:rsidRPr="009C69D5">
        <w:t>280</w:t>
      </w:r>
      <w:r w:rsidRPr="004635A0">
        <w:t xml:space="preserve"> or 2.</w:t>
      </w:r>
      <w:r w:rsidRPr="009C69D5">
        <w:t>7</w:t>
      </w:r>
      <w:r>
        <w:t xml:space="preserve"> per cent</w:t>
      </w:r>
      <w:r w:rsidRPr="004635A0">
        <w:t xml:space="preserve"> using CRC and standard threshold.</w:t>
      </w:r>
    </w:p>
  </w:footnote>
  <w:footnote w:id="14">
    <w:p w14:paraId="4BA1E82B" w14:textId="42DFAF71" w:rsidR="00493D50" w:rsidRDefault="00493D50" w:rsidP="00AE303D">
      <w:pPr>
        <w:pStyle w:val="FootnoteText"/>
        <w:spacing w:after="0"/>
      </w:pPr>
      <w:r>
        <w:rPr>
          <w:rStyle w:val="FootnoteReference"/>
        </w:rPr>
        <w:footnoteRef/>
      </w:r>
      <w:r>
        <w:t xml:space="preserve"> </w:t>
      </w:r>
      <w:r w:rsidRPr="009C69D5">
        <w:t>1,660 people or 1.8</w:t>
      </w:r>
      <w:r>
        <w:t xml:space="preserve"> per cent</w:t>
      </w:r>
      <w:r w:rsidRPr="009C69D5">
        <w:t xml:space="preserve"> of the estimated 2BS AM+FM population of 91,280 using P.1546 and lower threshold</w:t>
      </w:r>
      <w:r>
        <w:t>;</w:t>
      </w:r>
      <w:r w:rsidRPr="009C69D5">
        <w:t xml:space="preserve"> 10,900 or 12.1</w:t>
      </w:r>
      <w:r>
        <w:t xml:space="preserve"> per cent</w:t>
      </w:r>
      <w:r w:rsidRPr="009C69D5">
        <w:t xml:space="preserve"> of 90,115 using P.1546 and standard threshold</w:t>
      </w:r>
      <w:r>
        <w:t>;</w:t>
      </w:r>
      <w:r w:rsidRPr="009C69D5">
        <w:t xml:space="preserve"> 16,900 or 18.7</w:t>
      </w:r>
      <w:r>
        <w:t xml:space="preserve"> per cent</w:t>
      </w:r>
      <w:r w:rsidRPr="009C69D5">
        <w:t xml:space="preserve"> of 90,507 using CRC and lower threshold</w:t>
      </w:r>
      <w:r>
        <w:t>;</w:t>
      </w:r>
      <w:r w:rsidRPr="009C69D5">
        <w:t xml:space="preserve"> and 33,400 or 37.2</w:t>
      </w:r>
      <w:r>
        <w:t xml:space="preserve"> per cent</w:t>
      </w:r>
      <w:r w:rsidRPr="009C69D5">
        <w:t xml:space="preserve"> of 89,792 using CRC and standard threshold.</w:t>
      </w:r>
    </w:p>
  </w:footnote>
  <w:footnote w:id="15">
    <w:p w14:paraId="0D2BD586" w14:textId="77777777" w:rsidR="00493D50" w:rsidRPr="00B33DCE" w:rsidRDefault="00493D50" w:rsidP="00AE303D">
      <w:pPr>
        <w:pStyle w:val="FootnoteText"/>
        <w:spacing w:after="0"/>
      </w:pPr>
      <w:r w:rsidRPr="00B33DCE">
        <w:rPr>
          <w:rStyle w:val="FootnoteReference"/>
        </w:rPr>
        <w:footnoteRef/>
      </w:r>
      <w:r w:rsidRPr="00B33DCE">
        <w:t xml:space="preserve"> In particular, the availability of a diverse range of radio services (paragraph 3(1</w:t>
      </w:r>
      <w:proofErr w:type="gramStart"/>
      <w:r w:rsidRPr="00B33DCE">
        <w:t>)(</w:t>
      </w:r>
      <w:proofErr w:type="gramEnd"/>
      <w:r w:rsidRPr="00B33DCE">
        <w:t>a) of the BSA).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9F666" w14:textId="77777777" w:rsidR="00493D50" w:rsidRPr="00A5474E" w:rsidRDefault="00493D50" w:rsidP="00A5474E">
    <w:pPr>
      <w:pStyle w:val="Header"/>
    </w:pPr>
    <w:r>
      <w:rPr>
        <w:noProof/>
      </w:rPr>
      <w:drawing>
        <wp:inline distT="0" distB="0" distL="0" distR="0" wp14:anchorId="6C094F0E" wp14:editId="3C2ABB6E">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01092" w14:textId="77777777" w:rsidR="00493D50" w:rsidRPr="00A5474E" w:rsidRDefault="00493D50" w:rsidP="00594E9C">
    <w:pPr>
      <w:pStyle w:val="TOCHeading"/>
    </w:pPr>
    <w:r w:rsidRPr="0029593B">
      <w:t>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AB90C" w14:textId="77777777" w:rsidR="00493D50" w:rsidRDefault="00493D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F649C" w14:textId="77777777" w:rsidR="00493D50" w:rsidRDefault="00493D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D36AD" w14:textId="77777777" w:rsidR="00493D50" w:rsidRPr="00A5474E" w:rsidRDefault="00493D50" w:rsidP="00A547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AED4D" w14:textId="77777777" w:rsidR="00493D50" w:rsidRPr="00A5474E" w:rsidRDefault="00493D50"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45789" w14:textId="77777777" w:rsidR="00493D50" w:rsidRDefault="00493D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12F66" w14:textId="77777777" w:rsidR="00493D50" w:rsidRDefault="00493D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5E49F36"/>
    <w:lvl w:ilvl="0">
      <w:start w:val="1"/>
      <w:numFmt w:val="decimal"/>
      <w:lvlText w:val="%1."/>
      <w:lvlJc w:val="left"/>
      <w:pPr>
        <w:tabs>
          <w:tab w:val="num" w:pos="1492"/>
        </w:tabs>
        <w:ind w:left="1492" w:hanging="360"/>
      </w:pPr>
    </w:lvl>
  </w:abstractNum>
  <w:abstractNum w:abstractNumId="1">
    <w:nsid w:val="FFFFFF7F"/>
    <w:multiLevelType w:val="singleLevel"/>
    <w:tmpl w:val="66FAF410"/>
    <w:lvl w:ilvl="0">
      <w:start w:val="1"/>
      <w:numFmt w:val="decimal"/>
      <w:pStyle w:val="ListNumber2"/>
      <w:lvlText w:val="%1."/>
      <w:lvlJc w:val="left"/>
      <w:pPr>
        <w:ind w:left="360" w:hanging="360"/>
      </w:pPr>
      <w:rPr>
        <w:rFonts w:hint="default"/>
      </w:rPr>
    </w:lvl>
  </w:abstractNum>
  <w:abstractNum w:abstractNumId="2">
    <w:nsid w:val="FFFFFF83"/>
    <w:multiLevelType w:val="singleLevel"/>
    <w:tmpl w:val="1032A77E"/>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F1AA8734"/>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02AF1222"/>
    <w:multiLevelType w:val="hybridMultilevel"/>
    <w:tmpl w:val="BC6E3C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2F5103D"/>
    <w:multiLevelType w:val="hybridMultilevel"/>
    <w:tmpl w:val="2A8A3D32"/>
    <w:lvl w:ilvl="0" w:tplc="2EBE998C">
      <w:numFmt w:val="bullet"/>
      <w:lvlText w:val=""/>
      <w:lvlJc w:val="left"/>
      <w:pPr>
        <w:ind w:left="776" w:hanging="360"/>
      </w:pPr>
      <w:rPr>
        <w:rFonts w:ascii="Symbol" w:eastAsia="Times New Roman" w:hAnsi="Symbol" w:cs="Arial" w:hint="default"/>
        <w:b/>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9F6421C"/>
    <w:multiLevelType w:val="hybridMultilevel"/>
    <w:tmpl w:val="BA165DCC"/>
    <w:lvl w:ilvl="0" w:tplc="2EBE998C">
      <w:numFmt w:val="bullet"/>
      <w:lvlText w:val=""/>
      <w:lvlJc w:val="left"/>
      <w:pPr>
        <w:ind w:left="720" w:hanging="360"/>
      </w:pPr>
      <w:rPr>
        <w:rFonts w:ascii="Symbol" w:eastAsia="Times New Roman" w:hAnsi="Symbol" w:cs="Arial"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E62766B"/>
    <w:multiLevelType w:val="hybridMultilevel"/>
    <w:tmpl w:val="5678A9D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C124DD"/>
    <w:multiLevelType w:val="hybridMultilevel"/>
    <w:tmpl w:val="E276736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D034EF"/>
    <w:multiLevelType w:val="hybridMultilevel"/>
    <w:tmpl w:val="095C493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55D40A9"/>
    <w:multiLevelType w:val="hybridMultilevel"/>
    <w:tmpl w:val="7B0E6338"/>
    <w:lvl w:ilvl="0" w:tplc="EA3C848C">
      <w:start w:val="1"/>
      <w:numFmt w:val="bullet"/>
      <w:lvlText w:val="&gt;"/>
      <w:lvlJc w:val="left"/>
      <w:pPr>
        <w:ind w:left="786" w:hanging="360"/>
      </w:pPr>
      <w:rPr>
        <w:rFonts w:ascii="Viner Hand ITC" w:hAnsi="Viner Hand IT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0A6C2B"/>
    <w:multiLevelType w:val="hybridMultilevel"/>
    <w:tmpl w:val="FD14A822"/>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8554B2"/>
    <w:multiLevelType w:val="hybridMultilevel"/>
    <w:tmpl w:val="CAC21C60"/>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812E30"/>
    <w:multiLevelType w:val="hybridMultilevel"/>
    <w:tmpl w:val="3E443644"/>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4C1E64"/>
    <w:multiLevelType w:val="hybridMultilevel"/>
    <w:tmpl w:val="51B277A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F86D79"/>
    <w:multiLevelType w:val="hybridMultilevel"/>
    <w:tmpl w:val="0A14E17A"/>
    <w:lvl w:ilvl="0" w:tplc="EA3C848C">
      <w:start w:val="1"/>
      <w:numFmt w:val="bullet"/>
      <w:lvlText w:val="&gt;"/>
      <w:lvlJc w:val="left"/>
      <w:pPr>
        <w:ind w:left="776" w:hanging="360"/>
      </w:pPr>
      <w:rPr>
        <w:rFonts w:ascii="Viner Hand ITC" w:hAnsi="Viner Hand ITC"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8">
    <w:nsid w:val="25B30141"/>
    <w:multiLevelType w:val="hybridMultilevel"/>
    <w:tmpl w:val="04C65E88"/>
    <w:lvl w:ilvl="0" w:tplc="2EBE998C">
      <w:numFmt w:val="bullet"/>
      <w:lvlText w:val=""/>
      <w:lvlJc w:val="left"/>
      <w:pPr>
        <w:ind w:left="720" w:hanging="360"/>
      </w:pPr>
      <w:rPr>
        <w:rFonts w:ascii="Symbol" w:eastAsia="Times New Roman" w:hAnsi="Symbol" w:cs="Arial"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7819A3"/>
    <w:multiLevelType w:val="hybridMultilevel"/>
    <w:tmpl w:val="85302A5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CD5A6C"/>
    <w:multiLevelType w:val="hybridMultilevel"/>
    <w:tmpl w:val="55CCDEB4"/>
    <w:lvl w:ilvl="0" w:tplc="B14C4F7A">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E147DE8"/>
    <w:multiLevelType w:val="hybridMultilevel"/>
    <w:tmpl w:val="EDE40D8E"/>
    <w:lvl w:ilvl="0" w:tplc="EA3C848C">
      <w:start w:val="1"/>
      <w:numFmt w:val="bullet"/>
      <w:lvlText w:val="&gt;"/>
      <w:lvlJc w:val="left"/>
      <w:pPr>
        <w:ind w:left="720" w:hanging="360"/>
      </w:pPr>
      <w:rPr>
        <w:rFonts w:ascii="Viner Hand ITC" w:hAnsi="Viner Hand IT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3">
    <w:nsid w:val="30126ABA"/>
    <w:multiLevelType w:val="hybridMultilevel"/>
    <w:tmpl w:val="83783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46F3B20"/>
    <w:multiLevelType w:val="hybridMultilevel"/>
    <w:tmpl w:val="0C4C292E"/>
    <w:lvl w:ilvl="0" w:tplc="2EBE998C">
      <w:numFmt w:val="bullet"/>
      <w:lvlText w:val=""/>
      <w:lvlJc w:val="left"/>
      <w:pPr>
        <w:ind w:left="720" w:hanging="360"/>
      </w:pPr>
      <w:rPr>
        <w:rFonts w:ascii="Symbol" w:eastAsia="Times New Roman" w:hAnsi="Symbol" w:cs="Arial" w:hint="default"/>
        <w:b/>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BE0946"/>
    <w:multiLevelType w:val="hybridMultilevel"/>
    <w:tmpl w:val="CC182E1A"/>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5F079B8"/>
    <w:multiLevelType w:val="hybridMultilevel"/>
    <w:tmpl w:val="C80CEFB6"/>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8BB1839"/>
    <w:multiLevelType w:val="hybridMultilevel"/>
    <w:tmpl w:val="14E283C4"/>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B2F42E7"/>
    <w:multiLevelType w:val="hybridMultilevel"/>
    <w:tmpl w:val="9C76D00A"/>
    <w:lvl w:ilvl="0" w:tplc="DD882730">
      <w:numFmt w:val="bullet"/>
      <w:lvlText w:val=""/>
      <w:lvlJc w:val="left"/>
      <w:pPr>
        <w:ind w:left="720" w:hanging="360"/>
      </w:pPr>
      <w:rPr>
        <w:rFonts w:ascii="Symbol" w:eastAsia="Times New Roman" w:hAnsi="Symbol" w:cs="Arial" w:hint="default"/>
        <w:b/>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C0F3EA2"/>
    <w:multiLevelType w:val="hybridMultilevel"/>
    <w:tmpl w:val="28D6F8F4"/>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F350244"/>
    <w:multiLevelType w:val="hybridMultilevel"/>
    <w:tmpl w:val="12E89E78"/>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FDA4579"/>
    <w:multiLevelType w:val="hybridMultilevel"/>
    <w:tmpl w:val="0D06242E"/>
    <w:lvl w:ilvl="0" w:tplc="EA3C848C">
      <w:start w:val="1"/>
      <w:numFmt w:val="bullet"/>
      <w:lvlText w:val="&gt;"/>
      <w:lvlJc w:val="left"/>
      <w:pPr>
        <w:ind w:left="776" w:hanging="360"/>
      </w:pPr>
      <w:rPr>
        <w:rFonts w:ascii="Viner Hand ITC" w:hAnsi="Viner Hand ITC"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2">
    <w:nsid w:val="40D43D2B"/>
    <w:multiLevelType w:val="hybridMultilevel"/>
    <w:tmpl w:val="1F9E4608"/>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14F2D56"/>
    <w:multiLevelType w:val="hybridMultilevel"/>
    <w:tmpl w:val="E9E8FE20"/>
    <w:lvl w:ilvl="0" w:tplc="EA3C848C">
      <w:start w:val="1"/>
      <w:numFmt w:val="bullet"/>
      <w:lvlText w:val="&gt;"/>
      <w:lvlJc w:val="left"/>
      <w:pPr>
        <w:ind w:left="776" w:hanging="360"/>
      </w:pPr>
      <w:rPr>
        <w:rFonts w:ascii="Viner Hand ITC" w:hAnsi="Viner Hand ITC"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4">
    <w:nsid w:val="498B145B"/>
    <w:multiLevelType w:val="hybridMultilevel"/>
    <w:tmpl w:val="442CB382"/>
    <w:lvl w:ilvl="0" w:tplc="EA3C848C">
      <w:start w:val="1"/>
      <w:numFmt w:val="bullet"/>
      <w:lvlText w:val="&gt;"/>
      <w:lvlJc w:val="left"/>
      <w:pPr>
        <w:ind w:left="776" w:hanging="360"/>
      </w:pPr>
      <w:rPr>
        <w:rFonts w:ascii="Viner Hand ITC" w:hAnsi="Viner Hand ITC"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5">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2402B1"/>
    <w:multiLevelType w:val="hybridMultilevel"/>
    <w:tmpl w:val="CEEE115A"/>
    <w:lvl w:ilvl="0" w:tplc="EA3C848C">
      <w:start w:val="1"/>
      <w:numFmt w:val="bullet"/>
      <w:lvlText w:val="&gt;"/>
      <w:lvlJc w:val="left"/>
      <w:pPr>
        <w:ind w:left="776" w:hanging="360"/>
      </w:pPr>
      <w:rPr>
        <w:rFonts w:ascii="Viner Hand ITC" w:hAnsi="Viner Hand ITC"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7">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C446C1"/>
    <w:multiLevelType w:val="hybridMultilevel"/>
    <w:tmpl w:val="5E3A39B6"/>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BD47FDE"/>
    <w:multiLevelType w:val="hybridMultilevel"/>
    <w:tmpl w:val="9086E370"/>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1E1DD2"/>
    <w:multiLevelType w:val="hybridMultilevel"/>
    <w:tmpl w:val="66F4FC96"/>
    <w:lvl w:ilvl="0" w:tplc="213C81A6">
      <w:start w:val="1"/>
      <w:numFmt w:val="bullet"/>
      <w:lvlText w:val="&gt;"/>
      <w:lvlJc w:val="left"/>
      <w:pPr>
        <w:ind w:left="720" w:hanging="360"/>
      </w:pPr>
      <w:rPr>
        <w:rFonts w:ascii="Arial" w:hAnsi="Aria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1081182"/>
    <w:multiLevelType w:val="hybridMultilevel"/>
    <w:tmpl w:val="BC7C63E8"/>
    <w:lvl w:ilvl="0" w:tplc="EA3C848C">
      <w:start w:val="1"/>
      <w:numFmt w:val="bullet"/>
      <w:lvlText w:val="&gt;"/>
      <w:lvlJc w:val="left"/>
      <w:pPr>
        <w:ind w:left="720" w:hanging="360"/>
      </w:pPr>
      <w:rPr>
        <w:rFonts w:ascii="Viner Hand ITC" w:hAnsi="Viner Hand IT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9063CA9"/>
    <w:multiLevelType w:val="hybridMultilevel"/>
    <w:tmpl w:val="84180216"/>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AE9203F"/>
    <w:multiLevelType w:val="hybridMultilevel"/>
    <w:tmpl w:val="9146CCC2"/>
    <w:lvl w:ilvl="0" w:tplc="2EBE998C">
      <w:numFmt w:val="bullet"/>
      <w:lvlText w:val=""/>
      <w:lvlJc w:val="left"/>
      <w:pPr>
        <w:ind w:left="121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EEE3552"/>
    <w:multiLevelType w:val="hybridMultilevel"/>
    <w:tmpl w:val="AF34EDE0"/>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22"/>
  </w:num>
  <w:num w:numId="6">
    <w:abstractNumId w:val="38"/>
  </w:num>
  <w:num w:numId="7">
    <w:abstractNumId w:val="35"/>
  </w:num>
  <w:num w:numId="8">
    <w:abstractNumId w:val="37"/>
  </w:num>
  <w:num w:numId="9">
    <w:abstractNumId w:val="41"/>
  </w:num>
  <w:num w:numId="10">
    <w:abstractNumId w:val="7"/>
  </w:num>
  <w:num w:numId="11">
    <w:abstractNumId w:val="5"/>
  </w:num>
  <w:num w:numId="12">
    <w:abstractNumId w:val="12"/>
  </w:num>
  <w:num w:numId="13">
    <w:abstractNumId w:val="18"/>
  </w:num>
  <w:num w:numId="14">
    <w:abstractNumId w:val="14"/>
  </w:num>
  <w:num w:numId="15">
    <w:abstractNumId w:val="44"/>
  </w:num>
  <w:num w:numId="16">
    <w:abstractNumId w:val="32"/>
  </w:num>
  <w:num w:numId="17">
    <w:abstractNumId w:val="15"/>
  </w:num>
  <w:num w:numId="18">
    <w:abstractNumId w:val="20"/>
  </w:num>
  <w:num w:numId="19">
    <w:abstractNumId w:val="26"/>
  </w:num>
  <w:num w:numId="20">
    <w:abstractNumId w:val="23"/>
  </w:num>
  <w:num w:numId="21">
    <w:abstractNumId w:val="27"/>
  </w:num>
  <w:num w:numId="22">
    <w:abstractNumId w:val="33"/>
  </w:num>
  <w:num w:numId="23">
    <w:abstractNumId w:val="6"/>
  </w:num>
  <w:num w:numId="24">
    <w:abstractNumId w:val="43"/>
  </w:num>
  <w:num w:numId="25">
    <w:abstractNumId w:val="34"/>
  </w:num>
  <w:num w:numId="26">
    <w:abstractNumId w:val="17"/>
  </w:num>
  <w:num w:numId="27">
    <w:abstractNumId w:val="36"/>
  </w:num>
  <w:num w:numId="28">
    <w:abstractNumId w:val="31"/>
  </w:num>
  <w:num w:numId="29">
    <w:abstractNumId w:val="0"/>
  </w:num>
  <w:num w:numId="30">
    <w:abstractNumId w:val="8"/>
  </w:num>
  <w:num w:numId="31">
    <w:abstractNumId w:val="13"/>
  </w:num>
  <w:num w:numId="32">
    <w:abstractNumId w:val="39"/>
  </w:num>
  <w:num w:numId="33">
    <w:abstractNumId w:val="46"/>
  </w:num>
  <w:num w:numId="34">
    <w:abstractNumId w:val="11"/>
  </w:num>
  <w:num w:numId="35">
    <w:abstractNumId w:val="29"/>
  </w:num>
  <w:num w:numId="36">
    <w:abstractNumId w:val="40"/>
  </w:num>
  <w:num w:numId="37">
    <w:abstractNumId w:val="21"/>
  </w:num>
  <w:num w:numId="38">
    <w:abstractNumId w:val="9"/>
  </w:num>
  <w:num w:numId="39">
    <w:abstractNumId w:val="28"/>
  </w:num>
  <w:num w:numId="40">
    <w:abstractNumId w:val="45"/>
  </w:num>
  <w:num w:numId="41">
    <w:abstractNumId w:val="16"/>
  </w:num>
  <w:num w:numId="42">
    <w:abstractNumId w:val="30"/>
  </w:num>
  <w:num w:numId="43">
    <w:abstractNumId w:val="42"/>
  </w:num>
  <w:num w:numId="44">
    <w:abstractNumId w:val="24"/>
  </w:num>
  <w:num w:numId="45">
    <w:abstractNumId w:val="10"/>
  </w:num>
  <w:num w:numId="46">
    <w:abstractNumId w:val="25"/>
  </w:num>
  <w:num w:numId="47">
    <w:abstractNumId w:val="19"/>
  </w:num>
  <w:num w:numId="48">
    <w:abstractNumId w:val="4"/>
  </w:num>
  <w:num w:numId="49">
    <w:abstractNumId w:val="2"/>
  </w:num>
  <w:num w:numId="5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4097">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9A5"/>
    <w:rsid w:val="00001FC9"/>
    <w:rsid w:val="00002A10"/>
    <w:rsid w:val="0000641F"/>
    <w:rsid w:val="00010667"/>
    <w:rsid w:val="00010C93"/>
    <w:rsid w:val="000129D5"/>
    <w:rsid w:val="00012F16"/>
    <w:rsid w:val="00014962"/>
    <w:rsid w:val="00015664"/>
    <w:rsid w:val="00015AE7"/>
    <w:rsid w:val="00016D33"/>
    <w:rsid w:val="00016E21"/>
    <w:rsid w:val="0001719C"/>
    <w:rsid w:val="00020CE8"/>
    <w:rsid w:val="0002105D"/>
    <w:rsid w:val="00023AC3"/>
    <w:rsid w:val="00026F83"/>
    <w:rsid w:val="00026F91"/>
    <w:rsid w:val="00031552"/>
    <w:rsid w:val="00032A0A"/>
    <w:rsid w:val="000343C7"/>
    <w:rsid w:val="00041B3D"/>
    <w:rsid w:val="000440F3"/>
    <w:rsid w:val="00045744"/>
    <w:rsid w:val="0005011A"/>
    <w:rsid w:val="0005045A"/>
    <w:rsid w:val="00051C1E"/>
    <w:rsid w:val="00052FCA"/>
    <w:rsid w:val="000533FF"/>
    <w:rsid w:val="000539F9"/>
    <w:rsid w:val="00054C27"/>
    <w:rsid w:val="00055EC3"/>
    <w:rsid w:val="000563CE"/>
    <w:rsid w:val="0006549D"/>
    <w:rsid w:val="000659B6"/>
    <w:rsid w:val="00066F18"/>
    <w:rsid w:val="0006722A"/>
    <w:rsid w:val="000732CF"/>
    <w:rsid w:val="00075B96"/>
    <w:rsid w:val="00076741"/>
    <w:rsid w:val="000773A4"/>
    <w:rsid w:val="0008196A"/>
    <w:rsid w:val="00087FBB"/>
    <w:rsid w:val="00090D41"/>
    <w:rsid w:val="000915ED"/>
    <w:rsid w:val="0009209D"/>
    <w:rsid w:val="000938F3"/>
    <w:rsid w:val="000969BD"/>
    <w:rsid w:val="000969BF"/>
    <w:rsid w:val="000A0C22"/>
    <w:rsid w:val="000A3C43"/>
    <w:rsid w:val="000A4A51"/>
    <w:rsid w:val="000A5D2B"/>
    <w:rsid w:val="000A6E9E"/>
    <w:rsid w:val="000B2361"/>
    <w:rsid w:val="000B3E45"/>
    <w:rsid w:val="000B5DE3"/>
    <w:rsid w:val="000C0A57"/>
    <w:rsid w:val="000C230C"/>
    <w:rsid w:val="000D32B9"/>
    <w:rsid w:val="000D358F"/>
    <w:rsid w:val="000D4BDD"/>
    <w:rsid w:val="000D4ED0"/>
    <w:rsid w:val="000D71D9"/>
    <w:rsid w:val="000D76E0"/>
    <w:rsid w:val="000D7E8B"/>
    <w:rsid w:val="000E0DFD"/>
    <w:rsid w:val="000E4449"/>
    <w:rsid w:val="000E5BFC"/>
    <w:rsid w:val="000E6097"/>
    <w:rsid w:val="000F151C"/>
    <w:rsid w:val="000F17FE"/>
    <w:rsid w:val="000F5015"/>
    <w:rsid w:val="00103829"/>
    <w:rsid w:val="00107055"/>
    <w:rsid w:val="00111F00"/>
    <w:rsid w:val="00111FCE"/>
    <w:rsid w:val="00116416"/>
    <w:rsid w:val="00116E6D"/>
    <w:rsid w:val="001175E8"/>
    <w:rsid w:val="001205FB"/>
    <w:rsid w:val="001229A5"/>
    <w:rsid w:val="00123368"/>
    <w:rsid w:val="0012489B"/>
    <w:rsid w:val="00125654"/>
    <w:rsid w:val="00126763"/>
    <w:rsid w:val="00130017"/>
    <w:rsid w:val="00130F91"/>
    <w:rsid w:val="001352F7"/>
    <w:rsid w:val="0013570F"/>
    <w:rsid w:val="00137424"/>
    <w:rsid w:val="00140318"/>
    <w:rsid w:val="00140678"/>
    <w:rsid w:val="00141AD9"/>
    <w:rsid w:val="001442E0"/>
    <w:rsid w:val="0014507B"/>
    <w:rsid w:val="00146CE6"/>
    <w:rsid w:val="00146ECB"/>
    <w:rsid w:val="00151EC7"/>
    <w:rsid w:val="00152903"/>
    <w:rsid w:val="001549E4"/>
    <w:rsid w:val="0015614F"/>
    <w:rsid w:val="00156948"/>
    <w:rsid w:val="001577C2"/>
    <w:rsid w:val="00157A17"/>
    <w:rsid w:val="001633C4"/>
    <w:rsid w:val="00163621"/>
    <w:rsid w:val="00163818"/>
    <w:rsid w:val="00165D99"/>
    <w:rsid w:val="00165DD4"/>
    <w:rsid w:val="00167883"/>
    <w:rsid w:val="0017068C"/>
    <w:rsid w:val="00171591"/>
    <w:rsid w:val="00173981"/>
    <w:rsid w:val="00175ED5"/>
    <w:rsid w:val="00176C00"/>
    <w:rsid w:val="0017719D"/>
    <w:rsid w:val="001800BC"/>
    <w:rsid w:val="00184BEC"/>
    <w:rsid w:val="00185CAB"/>
    <w:rsid w:val="001875B7"/>
    <w:rsid w:val="00187CB3"/>
    <w:rsid w:val="0019050A"/>
    <w:rsid w:val="001910D4"/>
    <w:rsid w:val="00191E3B"/>
    <w:rsid w:val="00194EFB"/>
    <w:rsid w:val="0019684E"/>
    <w:rsid w:val="001976E3"/>
    <w:rsid w:val="00197C65"/>
    <w:rsid w:val="001A235C"/>
    <w:rsid w:val="001A44EC"/>
    <w:rsid w:val="001A5128"/>
    <w:rsid w:val="001A741D"/>
    <w:rsid w:val="001B1457"/>
    <w:rsid w:val="001B16AC"/>
    <w:rsid w:val="001B4825"/>
    <w:rsid w:val="001B58AA"/>
    <w:rsid w:val="001B7E48"/>
    <w:rsid w:val="001C09A5"/>
    <w:rsid w:val="001C17CE"/>
    <w:rsid w:val="001C1EF7"/>
    <w:rsid w:val="001C230F"/>
    <w:rsid w:val="001C36CA"/>
    <w:rsid w:val="001C44D1"/>
    <w:rsid w:val="001C69CA"/>
    <w:rsid w:val="001C6AEE"/>
    <w:rsid w:val="001C7630"/>
    <w:rsid w:val="001D6D15"/>
    <w:rsid w:val="001D7D35"/>
    <w:rsid w:val="001E02E2"/>
    <w:rsid w:val="001E3DCC"/>
    <w:rsid w:val="001E5642"/>
    <w:rsid w:val="001F147F"/>
    <w:rsid w:val="001F7558"/>
    <w:rsid w:val="00202724"/>
    <w:rsid w:val="00205B57"/>
    <w:rsid w:val="00213AF9"/>
    <w:rsid w:val="0021575F"/>
    <w:rsid w:val="002157E0"/>
    <w:rsid w:val="00216A57"/>
    <w:rsid w:val="0022229E"/>
    <w:rsid w:val="0022334F"/>
    <w:rsid w:val="00226819"/>
    <w:rsid w:val="0022796D"/>
    <w:rsid w:val="00231800"/>
    <w:rsid w:val="002323F1"/>
    <w:rsid w:val="00233101"/>
    <w:rsid w:val="00233817"/>
    <w:rsid w:val="00235687"/>
    <w:rsid w:val="002367FF"/>
    <w:rsid w:val="00240CE9"/>
    <w:rsid w:val="0024103F"/>
    <w:rsid w:val="002434BA"/>
    <w:rsid w:val="00246089"/>
    <w:rsid w:val="00246093"/>
    <w:rsid w:val="00246702"/>
    <w:rsid w:val="00247C59"/>
    <w:rsid w:val="00247F2E"/>
    <w:rsid w:val="002501EE"/>
    <w:rsid w:val="00250ADC"/>
    <w:rsid w:val="00250B07"/>
    <w:rsid w:val="00253C24"/>
    <w:rsid w:val="002551A2"/>
    <w:rsid w:val="0025733D"/>
    <w:rsid w:val="00257553"/>
    <w:rsid w:val="00260FB2"/>
    <w:rsid w:val="00262128"/>
    <w:rsid w:val="00264356"/>
    <w:rsid w:val="00264360"/>
    <w:rsid w:val="002643D7"/>
    <w:rsid w:val="00264DF7"/>
    <w:rsid w:val="0027165D"/>
    <w:rsid w:val="00273CEB"/>
    <w:rsid w:val="0027593D"/>
    <w:rsid w:val="002766D5"/>
    <w:rsid w:val="00281C89"/>
    <w:rsid w:val="0028282F"/>
    <w:rsid w:val="00286DC4"/>
    <w:rsid w:val="00287084"/>
    <w:rsid w:val="002933AC"/>
    <w:rsid w:val="00293E11"/>
    <w:rsid w:val="0029593B"/>
    <w:rsid w:val="00297FC5"/>
    <w:rsid w:val="002A0417"/>
    <w:rsid w:val="002A0B07"/>
    <w:rsid w:val="002A0F54"/>
    <w:rsid w:val="002A16D8"/>
    <w:rsid w:val="002A1BC8"/>
    <w:rsid w:val="002A275A"/>
    <w:rsid w:val="002A3332"/>
    <w:rsid w:val="002A3EF2"/>
    <w:rsid w:val="002A3F37"/>
    <w:rsid w:val="002A41AE"/>
    <w:rsid w:val="002A494E"/>
    <w:rsid w:val="002A6093"/>
    <w:rsid w:val="002A634F"/>
    <w:rsid w:val="002B0DED"/>
    <w:rsid w:val="002B19A2"/>
    <w:rsid w:val="002B1B32"/>
    <w:rsid w:val="002B1BFA"/>
    <w:rsid w:val="002B2998"/>
    <w:rsid w:val="002B2A17"/>
    <w:rsid w:val="002B381A"/>
    <w:rsid w:val="002B3EFD"/>
    <w:rsid w:val="002B4EF5"/>
    <w:rsid w:val="002B4FCC"/>
    <w:rsid w:val="002B60BE"/>
    <w:rsid w:val="002B7408"/>
    <w:rsid w:val="002B7CFD"/>
    <w:rsid w:val="002C210F"/>
    <w:rsid w:val="002C4DA2"/>
    <w:rsid w:val="002D3600"/>
    <w:rsid w:val="002E4DDC"/>
    <w:rsid w:val="002F475F"/>
    <w:rsid w:val="00301553"/>
    <w:rsid w:val="00302480"/>
    <w:rsid w:val="0030343C"/>
    <w:rsid w:val="003042BD"/>
    <w:rsid w:val="003044D2"/>
    <w:rsid w:val="00304EAA"/>
    <w:rsid w:val="003165E6"/>
    <w:rsid w:val="00320ED3"/>
    <w:rsid w:val="003221CF"/>
    <w:rsid w:val="003233ED"/>
    <w:rsid w:val="00324810"/>
    <w:rsid w:val="00324D9F"/>
    <w:rsid w:val="003273FB"/>
    <w:rsid w:val="00327948"/>
    <w:rsid w:val="0033000F"/>
    <w:rsid w:val="00332011"/>
    <w:rsid w:val="00332518"/>
    <w:rsid w:val="00332925"/>
    <w:rsid w:val="00332CEE"/>
    <w:rsid w:val="003332ED"/>
    <w:rsid w:val="003368DC"/>
    <w:rsid w:val="00337A7C"/>
    <w:rsid w:val="00340FE3"/>
    <w:rsid w:val="00343BDD"/>
    <w:rsid w:val="00345927"/>
    <w:rsid w:val="00346B18"/>
    <w:rsid w:val="00350584"/>
    <w:rsid w:val="00351857"/>
    <w:rsid w:val="00352CE6"/>
    <w:rsid w:val="00354369"/>
    <w:rsid w:val="00355E98"/>
    <w:rsid w:val="00356090"/>
    <w:rsid w:val="003610E1"/>
    <w:rsid w:val="003615CF"/>
    <w:rsid w:val="0036224C"/>
    <w:rsid w:val="0036420C"/>
    <w:rsid w:val="00364F05"/>
    <w:rsid w:val="00366014"/>
    <w:rsid w:val="003664B7"/>
    <w:rsid w:val="003671BE"/>
    <w:rsid w:val="00372485"/>
    <w:rsid w:val="00373200"/>
    <w:rsid w:val="00375EF5"/>
    <w:rsid w:val="003767A5"/>
    <w:rsid w:val="00383F00"/>
    <w:rsid w:val="00385254"/>
    <w:rsid w:val="00387260"/>
    <w:rsid w:val="0039340B"/>
    <w:rsid w:val="003A009A"/>
    <w:rsid w:val="003A0148"/>
    <w:rsid w:val="003A154B"/>
    <w:rsid w:val="003A1688"/>
    <w:rsid w:val="003A532C"/>
    <w:rsid w:val="003A5F5B"/>
    <w:rsid w:val="003A789A"/>
    <w:rsid w:val="003B12EC"/>
    <w:rsid w:val="003B1AF5"/>
    <w:rsid w:val="003B28BB"/>
    <w:rsid w:val="003B676D"/>
    <w:rsid w:val="003C2E8D"/>
    <w:rsid w:val="003C3906"/>
    <w:rsid w:val="003C5C5D"/>
    <w:rsid w:val="003C77E0"/>
    <w:rsid w:val="003D17D7"/>
    <w:rsid w:val="003D2631"/>
    <w:rsid w:val="003D2678"/>
    <w:rsid w:val="003D3585"/>
    <w:rsid w:val="003D71A3"/>
    <w:rsid w:val="003E2082"/>
    <w:rsid w:val="003E2B8A"/>
    <w:rsid w:val="003E3531"/>
    <w:rsid w:val="003E6E1B"/>
    <w:rsid w:val="003E7AC0"/>
    <w:rsid w:val="003F10EE"/>
    <w:rsid w:val="003F16F6"/>
    <w:rsid w:val="003F4DC7"/>
    <w:rsid w:val="003F5235"/>
    <w:rsid w:val="00400BA6"/>
    <w:rsid w:val="004027E4"/>
    <w:rsid w:val="00410018"/>
    <w:rsid w:val="0041071D"/>
    <w:rsid w:val="00411F33"/>
    <w:rsid w:val="00412984"/>
    <w:rsid w:val="00414AFC"/>
    <w:rsid w:val="004151A7"/>
    <w:rsid w:val="00415310"/>
    <w:rsid w:val="00417B8D"/>
    <w:rsid w:val="00421709"/>
    <w:rsid w:val="00421800"/>
    <w:rsid w:val="00423763"/>
    <w:rsid w:val="00425082"/>
    <w:rsid w:val="0042612F"/>
    <w:rsid w:val="00426E40"/>
    <w:rsid w:val="0042762F"/>
    <w:rsid w:val="00427D75"/>
    <w:rsid w:val="00427DC7"/>
    <w:rsid w:val="00431613"/>
    <w:rsid w:val="00431792"/>
    <w:rsid w:val="0043297A"/>
    <w:rsid w:val="00432EB2"/>
    <w:rsid w:val="00434F69"/>
    <w:rsid w:val="0043714F"/>
    <w:rsid w:val="00437D16"/>
    <w:rsid w:val="004438B5"/>
    <w:rsid w:val="004444D8"/>
    <w:rsid w:val="00447037"/>
    <w:rsid w:val="00447A51"/>
    <w:rsid w:val="00447B23"/>
    <w:rsid w:val="0045124D"/>
    <w:rsid w:val="00451CF7"/>
    <w:rsid w:val="0045318B"/>
    <w:rsid w:val="00453B55"/>
    <w:rsid w:val="00454596"/>
    <w:rsid w:val="0045605D"/>
    <w:rsid w:val="0046135B"/>
    <w:rsid w:val="00462107"/>
    <w:rsid w:val="00467060"/>
    <w:rsid w:val="00467D34"/>
    <w:rsid w:val="004718CC"/>
    <w:rsid w:val="004722AE"/>
    <w:rsid w:val="004723FD"/>
    <w:rsid w:val="004747C4"/>
    <w:rsid w:val="00481695"/>
    <w:rsid w:val="004816DE"/>
    <w:rsid w:val="0048452F"/>
    <w:rsid w:val="00490DDA"/>
    <w:rsid w:val="00491977"/>
    <w:rsid w:val="00493D06"/>
    <w:rsid w:val="00493D50"/>
    <w:rsid w:val="00495A96"/>
    <w:rsid w:val="00495BB3"/>
    <w:rsid w:val="00496432"/>
    <w:rsid w:val="004A56BB"/>
    <w:rsid w:val="004B1751"/>
    <w:rsid w:val="004B32F5"/>
    <w:rsid w:val="004C0253"/>
    <w:rsid w:val="004C5C86"/>
    <w:rsid w:val="004D3827"/>
    <w:rsid w:val="004D56FF"/>
    <w:rsid w:val="004D787E"/>
    <w:rsid w:val="004E00E9"/>
    <w:rsid w:val="004E39D3"/>
    <w:rsid w:val="004E508A"/>
    <w:rsid w:val="004E616D"/>
    <w:rsid w:val="004F04C5"/>
    <w:rsid w:val="004F1BDE"/>
    <w:rsid w:val="004F2CEE"/>
    <w:rsid w:val="004F471F"/>
    <w:rsid w:val="004F556E"/>
    <w:rsid w:val="004F7F44"/>
    <w:rsid w:val="00500E0F"/>
    <w:rsid w:val="005037B4"/>
    <w:rsid w:val="00506ACB"/>
    <w:rsid w:val="005079BF"/>
    <w:rsid w:val="005104F2"/>
    <w:rsid w:val="00515D01"/>
    <w:rsid w:val="005219E7"/>
    <w:rsid w:val="0052477E"/>
    <w:rsid w:val="00524D0C"/>
    <w:rsid w:val="005257E3"/>
    <w:rsid w:val="005258C3"/>
    <w:rsid w:val="005273AB"/>
    <w:rsid w:val="00531B9A"/>
    <w:rsid w:val="00531D15"/>
    <w:rsid w:val="00537604"/>
    <w:rsid w:val="00542286"/>
    <w:rsid w:val="00542377"/>
    <w:rsid w:val="00543825"/>
    <w:rsid w:val="0054732D"/>
    <w:rsid w:val="005476EB"/>
    <w:rsid w:val="00551782"/>
    <w:rsid w:val="005530BC"/>
    <w:rsid w:val="00553112"/>
    <w:rsid w:val="0056389B"/>
    <w:rsid w:val="00563EF1"/>
    <w:rsid w:val="00566AB4"/>
    <w:rsid w:val="00570825"/>
    <w:rsid w:val="0057191E"/>
    <w:rsid w:val="00575AC5"/>
    <w:rsid w:val="0057605D"/>
    <w:rsid w:val="00576FBD"/>
    <w:rsid w:val="00581347"/>
    <w:rsid w:val="00581AC9"/>
    <w:rsid w:val="005849F8"/>
    <w:rsid w:val="005938DF"/>
    <w:rsid w:val="00594E9C"/>
    <w:rsid w:val="00595CBA"/>
    <w:rsid w:val="00597642"/>
    <w:rsid w:val="005A0865"/>
    <w:rsid w:val="005A099B"/>
    <w:rsid w:val="005A1187"/>
    <w:rsid w:val="005A2D9C"/>
    <w:rsid w:val="005A2F4A"/>
    <w:rsid w:val="005A55FE"/>
    <w:rsid w:val="005A6A11"/>
    <w:rsid w:val="005B07AC"/>
    <w:rsid w:val="005B2360"/>
    <w:rsid w:val="005B4CF2"/>
    <w:rsid w:val="005B6B69"/>
    <w:rsid w:val="005C2CD1"/>
    <w:rsid w:val="005C2CF0"/>
    <w:rsid w:val="005C7140"/>
    <w:rsid w:val="005D2502"/>
    <w:rsid w:val="005D47F3"/>
    <w:rsid w:val="005D49BF"/>
    <w:rsid w:val="005D6C30"/>
    <w:rsid w:val="005D6F4E"/>
    <w:rsid w:val="005E3ACD"/>
    <w:rsid w:val="005E57D0"/>
    <w:rsid w:val="005E7226"/>
    <w:rsid w:val="005E793D"/>
    <w:rsid w:val="005E7A57"/>
    <w:rsid w:val="005E7AF8"/>
    <w:rsid w:val="005F24B0"/>
    <w:rsid w:val="005F63D4"/>
    <w:rsid w:val="005F7906"/>
    <w:rsid w:val="00604315"/>
    <w:rsid w:val="00604E26"/>
    <w:rsid w:val="006052CF"/>
    <w:rsid w:val="00607B8D"/>
    <w:rsid w:val="00611F5C"/>
    <w:rsid w:val="00616E09"/>
    <w:rsid w:val="00621ABF"/>
    <w:rsid w:val="006223BC"/>
    <w:rsid w:val="00622A3B"/>
    <w:rsid w:val="00622EEA"/>
    <w:rsid w:val="00623145"/>
    <w:rsid w:val="0062396C"/>
    <w:rsid w:val="00623FF9"/>
    <w:rsid w:val="00625CEC"/>
    <w:rsid w:val="00626807"/>
    <w:rsid w:val="00627D4E"/>
    <w:rsid w:val="00631BBE"/>
    <w:rsid w:val="00634478"/>
    <w:rsid w:val="00635AE9"/>
    <w:rsid w:val="00643044"/>
    <w:rsid w:val="00644373"/>
    <w:rsid w:val="00645915"/>
    <w:rsid w:val="006519C3"/>
    <w:rsid w:val="00652B30"/>
    <w:rsid w:val="00653C9D"/>
    <w:rsid w:val="00654F4F"/>
    <w:rsid w:val="00656345"/>
    <w:rsid w:val="00656992"/>
    <w:rsid w:val="00656DC6"/>
    <w:rsid w:val="00663B43"/>
    <w:rsid w:val="00664110"/>
    <w:rsid w:val="00664D17"/>
    <w:rsid w:val="00666520"/>
    <w:rsid w:val="00667C5B"/>
    <w:rsid w:val="006856EB"/>
    <w:rsid w:val="00686388"/>
    <w:rsid w:val="00687216"/>
    <w:rsid w:val="00687CA7"/>
    <w:rsid w:val="00687CBC"/>
    <w:rsid w:val="00692CDE"/>
    <w:rsid w:val="00693073"/>
    <w:rsid w:val="006977FF"/>
    <w:rsid w:val="006A01FA"/>
    <w:rsid w:val="006A0E9E"/>
    <w:rsid w:val="006A1289"/>
    <w:rsid w:val="006A1B82"/>
    <w:rsid w:val="006A25C7"/>
    <w:rsid w:val="006A2696"/>
    <w:rsid w:val="006A3F78"/>
    <w:rsid w:val="006A4AAD"/>
    <w:rsid w:val="006A6DA2"/>
    <w:rsid w:val="006A7AB2"/>
    <w:rsid w:val="006B3245"/>
    <w:rsid w:val="006B3681"/>
    <w:rsid w:val="006B5717"/>
    <w:rsid w:val="006B582F"/>
    <w:rsid w:val="006B6014"/>
    <w:rsid w:val="006B69BC"/>
    <w:rsid w:val="006C0CEB"/>
    <w:rsid w:val="006C3B1E"/>
    <w:rsid w:val="006C47FD"/>
    <w:rsid w:val="006C6A77"/>
    <w:rsid w:val="006C70A0"/>
    <w:rsid w:val="006D27CB"/>
    <w:rsid w:val="006D2F08"/>
    <w:rsid w:val="006D576C"/>
    <w:rsid w:val="006D5865"/>
    <w:rsid w:val="006E4B1B"/>
    <w:rsid w:val="006E5445"/>
    <w:rsid w:val="006E5A1E"/>
    <w:rsid w:val="006E7D93"/>
    <w:rsid w:val="006F1612"/>
    <w:rsid w:val="007029A3"/>
    <w:rsid w:val="00704245"/>
    <w:rsid w:val="00706E4E"/>
    <w:rsid w:val="0070791C"/>
    <w:rsid w:val="0071383C"/>
    <w:rsid w:val="007141A7"/>
    <w:rsid w:val="00721032"/>
    <w:rsid w:val="00721B55"/>
    <w:rsid w:val="0072532B"/>
    <w:rsid w:val="00725342"/>
    <w:rsid w:val="00726CE4"/>
    <w:rsid w:val="007313A8"/>
    <w:rsid w:val="00734143"/>
    <w:rsid w:val="00737E47"/>
    <w:rsid w:val="00740EAC"/>
    <w:rsid w:val="00743A54"/>
    <w:rsid w:val="00744956"/>
    <w:rsid w:val="00744F5A"/>
    <w:rsid w:val="00745A5C"/>
    <w:rsid w:val="0074605F"/>
    <w:rsid w:val="0074780A"/>
    <w:rsid w:val="00747E94"/>
    <w:rsid w:val="00762188"/>
    <w:rsid w:val="007649F9"/>
    <w:rsid w:val="00765864"/>
    <w:rsid w:val="00766749"/>
    <w:rsid w:val="007671DB"/>
    <w:rsid w:val="00767C1B"/>
    <w:rsid w:val="007714A9"/>
    <w:rsid w:val="00774F88"/>
    <w:rsid w:val="00774FDB"/>
    <w:rsid w:val="00777BA2"/>
    <w:rsid w:val="00781408"/>
    <w:rsid w:val="00784F7F"/>
    <w:rsid w:val="00793B3B"/>
    <w:rsid w:val="00796F25"/>
    <w:rsid w:val="007A2E98"/>
    <w:rsid w:val="007A3BA3"/>
    <w:rsid w:val="007A6CC0"/>
    <w:rsid w:val="007A759E"/>
    <w:rsid w:val="007A7FEC"/>
    <w:rsid w:val="007B1499"/>
    <w:rsid w:val="007B1BBF"/>
    <w:rsid w:val="007B2960"/>
    <w:rsid w:val="007B355D"/>
    <w:rsid w:val="007B35F5"/>
    <w:rsid w:val="007B513F"/>
    <w:rsid w:val="007B7980"/>
    <w:rsid w:val="007C4456"/>
    <w:rsid w:val="007C5D5A"/>
    <w:rsid w:val="007C607F"/>
    <w:rsid w:val="007C61C1"/>
    <w:rsid w:val="007C79DD"/>
    <w:rsid w:val="007C7BD7"/>
    <w:rsid w:val="007D1A97"/>
    <w:rsid w:val="007D2CD6"/>
    <w:rsid w:val="007D3063"/>
    <w:rsid w:val="007D3CEB"/>
    <w:rsid w:val="007D553A"/>
    <w:rsid w:val="007D5732"/>
    <w:rsid w:val="007D73FA"/>
    <w:rsid w:val="007E2547"/>
    <w:rsid w:val="007E7683"/>
    <w:rsid w:val="007F0432"/>
    <w:rsid w:val="007F0B6F"/>
    <w:rsid w:val="007F17E2"/>
    <w:rsid w:val="007F49FA"/>
    <w:rsid w:val="007F54C4"/>
    <w:rsid w:val="007F5E57"/>
    <w:rsid w:val="007F6B0F"/>
    <w:rsid w:val="007F6E9A"/>
    <w:rsid w:val="007F7F4C"/>
    <w:rsid w:val="008044D4"/>
    <w:rsid w:val="0080571C"/>
    <w:rsid w:val="0080658E"/>
    <w:rsid w:val="00810AB4"/>
    <w:rsid w:val="00817B56"/>
    <w:rsid w:val="00817BA3"/>
    <w:rsid w:val="00821A88"/>
    <w:rsid w:val="0082495D"/>
    <w:rsid w:val="008254C8"/>
    <w:rsid w:val="0082567C"/>
    <w:rsid w:val="00825E42"/>
    <w:rsid w:val="00831AC3"/>
    <w:rsid w:val="00832FEA"/>
    <w:rsid w:val="008350C6"/>
    <w:rsid w:val="00836279"/>
    <w:rsid w:val="008408FF"/>
    <w:rsid w:val="00842750"/>
    <w:rsid w:val="00844620"/>
    <w:rsid w:val="00846E69"/>
    <w:rsid w:val="00850435"/>
    <w:rsid w:val="00851F3F"/>
    <w:rsid w:val="00856EDC"/>
    <w:rsid w:val="0086140B"/>
    <w:rsid w:val="008623B5"/>
    <w:rsid w:val="00870ABA"/>
    <w:rsid w:val="008710E1"/>
    <w:rsid w:val="008716E5"/>
    <w:rsid w:val="00874B90"/>
    <w:rsid w:val="00876754"/>
    <w:rsid w:val="00880B75"/>
    <w:rsid w:val="00881267"/>
    <w:rsid w:val="00881CA9"/>
    <w:rsid w:val="00883628"/>
    <w:rsid w:val="00885544"/>
    <w:rsid w:val="0088634E"/>
    <w:rsid w:val="008918D1"/>
    <w:rsid w:val="00893733"/>
    <w:rsid w:val="00893AB8"/>
    <w:rsid w:val="0089485C"/>
    <w:rsid w:val="008A04C8"/>
    <w:rsid w:val="008A6913"/>
    <w:rsid w:val="008B22EB"/>
    <w:rsid w:val="008B2428"/>
    <w:rsid w:val="008B2809"/>
    <w:rsid w:val="008B536D"/>
    <w:rsid w:val="008B70F3"/>
    <w:rsid w:val="008B76DF"/>
    <w:rsid w:val="008C0B64"/>
    <w:rsid w:val="008C0ED2"/>
    <w:rsid w:val="008C10F4"/>
    <w:rsid w:val="008C5E78"/>
    <w:rsid w:val="008C65F7"/>
    <w:rsid w:val="008D3B63"/>
    <w:rsid w:val="008D7864"/>
    <w:rsid w:val="008E088C"/>
    <w:rsid w:val="008E4767"/>
    <w:rsid w:val="008E7A8C"/>
    <w:rsid w:val="008F24F5"/>
    <w:rsid w:val="008F7334"/>
    <w:rsid w:val="0090081E"/>
    <w:rsid w:val="00901365"/>
    <w:rsid w:val="00903099"/>
    <w:rsid w:val="00903285"/>
    <w:rsid w:val="00906584"/>
    <w:rsid w:val="00906F40"/>
    <w:rsid w:val="0090731E"/>
    <w:rsid w:val="00915B1C"/>
    <w:rsid w:val="009174F3"/>
    <w:rsid w:val="0091797D"/>
    <w:rsid w:val="0092129F"/>
    <w:rsid w:val="00923CBA"/>
    <w:rsid w:val="00926703"/>
    <w:rsid w:val="00927691"/>
    <w:rsid w:val="00927A5F"/>
    <w:rsid w:val="00935B63"/>
    <w:rsid w:val="0094078F"/>
    <w:rsid w:val="00940FA3"/>
    <w:rsid w:val="00941FB0"/>
    <w:rsid w:val="009426D4"/>
    <w:rsid w:val="00944D19"/>
    <w:rsid w:val="00945576"/>
    <w:rsid w:val="00945591"/>
    <w:rsid w:val="00946B24"/>
    <w:rsid w:val="00946F54"/>
    <w:rsid w:val="00947F25"/>
    <w:rsid w:val="00950159"/>
    <w:rsid w:val="00952FDE"/>
    <w:rsid w:val="00954861"/>
    <w:rsid w:val="0095490B"/>
    <w:rsid w:val="00962476"/>
    <w:rsid w:val="00964068"/>
    <w:rsid w:val="0096729F"/>
    <w:rsid w:val="00971FBA"/>
    <w:rsid w:val="00973EA5"/>
    <w:rsid w:val="00974363"/>
    <w:rsid w:val="00977AB6"/>
    <w:rsid w:val="00977FDB"/>
    <w:rsid w:val="00981898"/>
    <w:rsid w:val="00982185"/>
    <w:rsid w:val="0098439A"/>
    <w:rsid w:val="00986D32"/>
    <w:rsid w:val="0099577C"/>
    <w:rsid w:val="00995855"/>
    <w:rsid w:val="009A144B"/>
    <w:rsid w:val="009A2395"/>
    <w:rsid w:val="009A4AE4"/>
    <w:rsid w:val="009A7F96"/>
    <w:rsid w:val="009B3702"/>
    <w:rsid w:val="009B4E9E"/>
    <w:rsid w:val="009B5391"/>
    <w:rsid w:val="009B6592"/>
    <w:rsid w:val="009B6958"/>
    <w:rsid w:val="009C1690"/>
    <w:rsid w:val="009C16F7"/>
    <w:rsid w:val="009C19B1"/>
    <w:rsid w:val="009C476C"/>
    <w:rsid w:val="009C4B19"/>
    <w:rsid w:val="009C4F39"/>
    <w:rsid w:val="009C6881"/>
    <w:rsid w:val="009C7759"/>
    <w:rsid w:val="009D043D"/>
    <w:rsid w:val="009D5735"/>
    <w:rsid w:val="009D6C71"/>
    <w:rsid w:val="009E0631"/>
    <w:rsid w:val="009E16D0"/>
    <w:rsid w:val="009E17A5"/>
    <w:rsid w:val="009E1A67"/>
    <w:rsid w:val="009E38FD"/>
    <w:rsid w:val="009F13D6"/>
    <w:rsid w:val="009F4C6B"/>
    <w:rsid w:val="009F6CC6"/>
    <w:rsid w:val="009F78A8"/>
    <w:rsid w:val="00A02987"/>
    <w:rsid w:val="00A02AD6"/>
    <w:rsid w:val="00A07096"/>
    <w:rsid w:val="00A07318"/>
    <w:rsid w:val="00A11370"/>
    <w:rsid w:val="00A1403D"/>
    <w:rsid w:val="00A21D0E"/>
    <w:rsid w:val="00A224CE"/>
    <w:rsid w:val="00A22522"/>
    <w:rsid w:val="00A24AFD"/>
    <w:rsid w:val="00A24F5C"/>
    <w:rsid w:val="00A317A8"/>
    <w:rsid w:val="00A32F96"/>
    <w:rsid w:val="00A352CD"/>
    <w:rsid w:val="00A36B5A"/>
    <w:rsid w:val="00A40871"/>
    <w:rsid w:val="00A412AB"/>
    <w:rsid w:val="00A4193E"/>
    <w:rsid w:val="00A440E0"/>
    <w:rsid w:val="00A442EF"/>
    <w:rsid w:val="00A44DBC"/>
    <w:rsid w:val="00A505E0"/>
    <w:rsid w:val="00A51D1A"/>
    <w:rsid w:val="00A5418D"/>
    <w:rsid w:val="00A5474E"/>
    <w:rsid w:val="00A57A90"/>
    <w:rsid w:val="00A703F0"/>
    <w:rsid w:val="00A708D3"/>
    <w:rsid w:val="00A70ADF"/>
    <w:rsid w:val="00A71466"/>
    <w:rsid w:val="00A72093"/>
    <w:rsid w:val="00A74B5E"/>
    <w:rsid w:val="00A81BED"/>
    <w:rsid w:val="00A81EC4"/>
    <w:rsid w:val="00A82F5B"/>
    <w:rsid w:val="00A90464"/>
    <w:rsid w:val="00A92030"/>
    <w:rsid w:val="00A941CB"/>
    <w:rsid w:val="00A967FD"/>
    <w:rsid w:val="00AA0428"/>
    <w:rsid w:val="00AA48B4"/>
    <w:rsid w:val="00AA7EC9"/>
    <w:rsid w:val="00AB156C"/>
    <w:rsid w:val="00AB6814"/>
    <w:rsid w:val="00AC04BA"/>
    <w:rsid w:val="00AC0E39"/>
    <w:rsid w:val="00AC31C6"/>
    <w:rsid w:val="00AD2D18"/>
    <w:rsid w:val="00AD3082"/>
    <w:rsid w:val="00AD4AD0"/>
    <w:rsid w:val="00AD5436"/>
    <w:rsid w:val="00AD60CD"/>
    <w:rsid w:val="00AD6C8C"/>
    <w:rsid w:val="00AE091D"/>
    <w:rsid w:val="00AE17B9"/>
    <w:rsid w:val="00AE303D"/>
    <w:rsid w:val="00AE3B60"/>
    <w:rsid w:val="00AE4DE8"/>
    <w:rsid w:val="00AE53A1"/>
    <w:rsid w:val="00AE7845"/>
    <w:rsid w:val="00AF1319"/>
    <w:rsid w:val="00AF2484"/>
    <w:rsid w:val="00AF3D50"/>
    <w:rsid w:val="00AF63E7"/>
    <w:rsid w:val="00B01141"/>
    <w:rsid w:val="00B0165D"/>
    <w:rsid w:val="00B0224C"/>
    <w:rsid w:val="00B031F3"/>
    <w:rsid w:val="00B052A4"/>
    <w:rsid w:val="00B069D4"/>
    <w:rsid w:val="00B07CF3"/>
    <w:rsid w:val="00B125DE"/>
    <w:rsid w:val="00B1332E"/>
    <w:rsid w:val="00B13FDD"/>
    <w:rsid w:val="00B22EB2"/>
    <w:rsid w:val="00B243B7"/>
    <w:rsid w:val="00B27442"/>
    <w:rsid w:val="00B31167"/>
    <w:rsid w:val="00B329D8"/>
    <w:rsid w:val="00B32BB9"/>
    <w:rsid w:val="00B33AE1"/>
    <w:rsid w:val="00B37C38"/>
    <w:rsid w:val="00B4288C"/>
    <w:rsid w:val="00B43262"/>
    <w:rsid w:val="00B44100"/>
    <w:rsid w:val="00B455DB"/>
    <w:rsid w:val="00B46CBA"/>
    <w:rsid w:val="00B46F94"/>
    <w:rsid w:val="00B47E46"/>
    <w:rsid w:val="00B577FA"/>
    <w:rsid w:val="00B5796F"/>
    <w:rsid w:val="00B61F03"/>
    <w:rsid w:val="00B626E4"/>
    <w:rsid w:val="00B66F81"/>
    <w:rsid w:val="00B72F4A"/>
    <w:rsid w:val="00B74C67"/>
    <w:rsid w:val="00B8120A"/>
    <w:rsid w:val="00B83C27"/>
    <w:rsid w:val="00B84BC3"/>
    <w:rsid w:val="00B84BDD"/>
    <w:rsid w:val="00B92812"/>
    <w:rsid w:val="00B92864"/>
    <w:rsid w:val="00B943F1"/>
    <w:rsid w:val="00B94A0F"/>
    <w:rsid w:val="00B94DA6"/>
    <w:rsid w:val="00BA03D8"/>
    <w:rsid w:val="00BA5D24"/>
    <w:rsid w:val="00BB210D"/>
    <w:rsid w:val="00BB45A1"/>
    <w:rsid w:val="00BB64AA"/>
    <w:rsid w:val="00BB74F2"/>
    <w:rsid w:val="00BB7686"/>
    <w:rsid w:val="00BC1EE6"/>
    <w:rsid w:val="00BC23F9"/>
    <w:rsid w:val="00BC3421"/>
    <w:rsid w:val="00BC426C"/>
    <w:rsid w:val="00BC4804"/>
    <w:rsid w:val="00BC4FA9"/>
    <w:rsid w:val="00BC732C"/>
    <w:rsid w:val="00BD7243"/>
    <w:rsid w:val="00BE033C"/>
    <w:rsid w:val="00BE2580"/>
    <w:rsid w:val="00BE266D"/>
    <w:rsid w:val="00BE3938"/>
    <w:rsid w:val="00BE4C11"/>
    <w:rsid w:val="00BE71C0"/>
    <w:rsid w:val="00BF12A9"/>
    <w:rsid w:val="00BF440A"/>
    <w:rsid w:val="00BF610C"/>
    <w:rsid w:val="00C0060B"/>
    <w:rsid w:val="00C02445"/>
    <w:rsid w:val="00C025CD"/>
    <w:rsid w:val="00C0277D"/>
    <w:rsid w:val="00C053A1"/>
    <w:rsid w:val="00C056F3"/>
    <w:rsid w:val="00C05B66"/>
    <w:rsid w:val="00C15FB1"/>
    <w:rsid w:val="00C16198"/>
    <w:rsid w:val="00C2083D"/>
    <w:rsid w:val="00C23539"/>
    <w:rsid w:val="00C24A53"/>
    <w:rsid w:val="00C253D1"/>
    <w:rsid w:val="00C3744E"/>
    <w:rsid w:val="00C4032F"/>
    <w:rsid w:val="00C428AF"/>
    <w:rsid w:val="00C44047"/>
    <w:rsid w:val="00C44FA0"/>
    <w:rsid w:val="00C45155"/>
    <w:rsid w:val="00C514E2"/>
    <w:rsid w:val="00C548E1"/>
    <w:rsid w:val="00C5498F"/>
    <w:rsid w:val="00C55235"/>
    <w:rsid w:val="00C5691C"/>
    <w:rsid w:val="00C64CD0"/>
    <w:rsid w:val="00C6684F"/>
    <w:rsid w:val="00C70E70"/>
    <w:rsid w:val="00C7143E"/>
    <w:rsid w:val="00C7234C"/>
    <w:rsid w:val="00C74A01"/>
    <w:rsid w:val="00C74CC1"/>
    <w:rsid w:val="00C75F8D"/>
    <w:rsid w:val="00C77380"/>
    <w:rsid w:val="00C841CB"/>
    <w:rsid w:val="00C90531"/>
    <w:rsid w:val="00C93FF3"/>
    <w:rsid w:val="00C97736"/>
    <w:rsid w:val="00CA30A6"/>
    <w:rsid w:val="00CA32EB"/>
    <w:rsid w:val="00CA345A"/>
    <w:rsid w:val="00CA7365"/>
    <w:rsid w:val="00CB1E82"/>
    <w:rsid w:val="00CB4BA8"/>
    <w:rsid w:val="00CB52D7"/>
    <w:rsid w:val="00CC14C0"/>
    <w:rsid w:val="00CC4569"/>
    <w:rsid w:val="00CC6732"/>
    <w:rsid w:val="00CD69AD"/>
    <w:rsid w:val="00CD706C"/>
    <w:rsid w:val="00CE3C96"/>
    <w:rsid w:val="00CE51A8"/>
    <w:rsid w:val="00CE5ADF"/>
    <w:rsid w:val="00CE5B17"/>
    <w:rsid w:val="00CF369B"/>
    <w:rsid w:val="00CF3719"/>
    <w:rsid w:val="00D00E28"/>
    <w:rsid w:val="00D0269E"/>
    <w:rsid w:val="00D02C41"/>
    <w:rsid w:val="00D149CD"/>
    <w:rsid w:val="00D15810"/>
    <w:rsid w:val="00D16D4E"/>
    <w:rsid w:val="00D16FE3"/>
    <w:rsid w:val="00D24383"/>
    <w:rsid w:val="00D26260"/>
    <w:rsid w:val="00D27F41"/>
    <w:rsid w:val="00D27F4C"/>
    <w:rsid w:val="00D30379"/>
    <w:rsid w:val="00D3095B"/>
    <w:rsid w:val="00D35491"/>
    <w:rsid w:val="00D36441"/>
    <w:rsid w:val="00D4064E"/>
    <w:rsid w:val="00D43754"/>
    <w:rsid w:val="00D444BE"/>
    <w:rsid w:val="00D44E9B"/>
    <w:rsid w:val="00D46C0E"/>
    <w:rsid w:val="00D47641"/>
    <w:rsid w:val="00D47AEB"/>
    <w:rsid w:val="00D50DB9"/>
    <w:rsid w:val="00D52C43"/>
    <w:rsid w:val="00D54BF6"/>
    <w:rsid w:val="00D64A24"/>
    <w:rsid w:val="00D6507F"/>
    <w:rsid w:val="00D65BDE"/>
    <w:rsid w:val="00D730BC"/>
    <w:rsid w:val="00D73912"/>
    <w:rsid w:val="00D7407B"/>
    <w:rsid w:val="00D751C0"/>
    <w:rsid w:val="00D80802"/>
    <w:rsid w:val="00D82526"/>
    <w:rsid w:val="00D85226"/>
    <w:rsid w:val="00D87B94"/>
    <w:rsid w:val="00D92370"/>
    <w:rsid w:val="00D9292C"/>
    <w:rsid w:val="00D92D49"/>
    <w:rsid w:val="00D92EC1"/>
    <w:rsid w:val="00D93697"/>
    <w:rsid w:val="00D95799"/>
    <w:rsid w:val="00D96DEA"/>
    <w:rsid w:val="00D97A25"/>
    <w:rsid w:val="00DA1BCB"/>
    <w:rsid w:val="00DA4E41"/>
    <w:rsid w:val="00DA70ED"/>
    <w:rsid w:val="00DB0904"/>
    <w:rsid w:val="00DB117A"/>
    <w:rsid w:val="00DB431E"/>
    <w:rsid w:val="00DB5173"/>
    <w:rsid w:val="00DB6785"/>
    <w:rsid w:val="00DB7873"/>
    <w:rsid w:val="00DC187B"/>
    <w:rsid w:val="00DC52DE"/>
    <w:rsid w:val="00DD2EFC"/>
    <w:rsid w:val="00DD73C2"/>
    <w:rsid w:val="00DE319B"/>
    <w:rsid w:val="00DE46FB"/>
    <w:rsid w:val="00DF2C45"/>
    <w:rsid w:val="00DF34FE"/>
    <w:rsid w:val="00DF56AA"/>
    <w:rsid w:val="00DF6E14"/>
    <w:rsid w:val="00DF78E7"/>
    <w:rsid w:val="00DF7D36"/>
    <w:rsid w:val="00E03BC4"/>
    <w:rsid w:val="00E110E0"/>
    <w:rsid w:val="00E125DD"/>
    <w:rsid w:val="00E13E16"/>
    <w:rsid w:val="00E15371"/>
    <w:rsid w:val="00E24104"/>
    <w:rsid w:val="00E302D0"/>
    <w:rsid w:val="00E30B50"/>
    <w:rsid w:val="00E311DF"/>
    <w:rsid w:val="00E35707"/>
    <w:rsid w:val="00E36AA1"/>
    <w:rsid w:val="00E41ECB"/>
    <w:rsid w:val="00E43072"/>
    <w:rsid w:val="00E46101"/>
    <w:rsid w:val="00E46ADA"/>
    <w:rsid w:val="00E52A5F"/>
    <w:rsid w:val="00E54FDB"/>
    <w:rsid w:val="00E55766"/>
    <w:rsid w:val="00E5617D"/>
    <w:rsid w:val="00E563D7"/>
    <w:rsid w:val="00E663F4"/>
    <w:rsid w:val="00E666F2"/>
    <w:rsid w:val="00E66DD4"/>
    <w:rsid w:val="00E72CB7"/>
    <w:rsid w:val="00E748CC"/>
    <w:rsid w:val="00E75415"/>
    <w:rsid w:val="00E76CDF"/>
    <w:rsid w:val="00E775B1"/>
    <w:rsid w:val="00E8152A"/>
    <w:rsid w:val="00E81F1B"/>
    <w:rsid w:val="00E91BB9"/>
    <w:rsid w:val="00E93629"/>
    <w:rsid w:val="00E93B5C"/>
    <w:rsid w:val="00E94CEC"/>
    <w:rsid w:val="00EA04EF"/>
    <w:rsid w:val="00EA6F19"/>
    <w:rsid w:val="00EB09B9"/>
    <w:rsid w:val="00EB7090"/>
    <w:rsid w:val="00EB742A"/>
    <w:rsid w:val="00EB7A84"/>
    <w:rsid w:val="00EC1BBE"/>
    <w:rsid w:val="00EC2255"/>
    <w:rsid w:val="00EC3FD8"/>
    <w:rsid w:val="00EC5CD7"/>
    <w:rsid w:val="00ED0F85"/>
    <w:rsid w:val="00ED3063"/>
    <w:rsid w:val="00ED3FEC"/>
    <w:rsid w:val="00EE1442"/>
    <w:rsid w:val="00EE57A9"/>
    <w:rsid w:val="00EE5FB3"/>
    <w:rsid w:val="00EE74F1"/>
    <w:rsid w:val="00EE7F79"/>
    <w:rsid w:val="00EF6AF6"/>
    <w:rsid w:val="00EF715A"/>
    <w:rsid w:val="00F02AED"/>
    <w:rsid w:val="00F06E14"/>
    <w:rsid w:val="00F1612F"/>
    <w:rsid w:val="00F176FF"/>
    <w:rsid w:val="00F179D4"/>
    <w:rsid w:val="00F17CB3"/>
    <w:rsid w:val="00F20706"/>
    <w:rsid w:val="00F22279"/>
    <w:rsid w:val="00F2521D"/>
    <w:rsid w:val="00F33C56"/>
    <w:rsid w:val="00F34539"/>
    <w:rsid w:val="00F347C7"/>
    <w:rsid w:val="00F347E8"/>
    <w:rsid w:val="00F34848"/>
    <w:rsid w:val="00F3770A"/>
    <w:rsid w:val="00F42D46"/>
    <w:rsid w:val="00F43B44"/>
    <w:rsid w:val="00F4496C"/>
    <w:rsid w:val="00F44F3A"/>
    <w:rsid w:val="00F50C1D"/>
    <w:rsid w:val="00F51F10"/>
    <w:rsid w:val="00F529A5"/>
    <w:rsid w:val="00F52DFC"/>
    <w:rsid w:val="00F54681"/>
    <w:rsid w:val="00F571AB"/>
    <w:rsid w:val="00F60F00"/>
    <w:rsid w:val="00F614C0"/>
    <w:rsid w:val="00F64A25"/>
    <w:rsid w:val="00F772DF"/>
    <w:rsid w:val="00F80001"/>
    <w:rsid w:val="00F83848"/>
    <w:rsid w:val="00F975E9"/>
    <w:rsid w:val="00FA0288"/>
    <w:rsid w:val="00FA1B7D"/>
    <w:rsid w:val="00FA7531"/>
    <w:rsid w:val="00FB433A"/>
    <w:rsid w:val="00FC07B9"/>
    <w:rsid w:val="00FC4E21"/>
    <w:rsid w:val="00FC4EF2"/>
    <w:rsid w:val="00FC5F6D"/>
    <w:rsid w:val="00FC73DB"/>
    <w:rsid w:val="00FD0107"/>
    <w:rsid w:val="00FD2C2F"/>
    <w:rsid w:val="00FD3B31"/>
    <w:rsid w:val="00FD685A"/>
    <w:rsid w:val="00FD6D55"/>
    <w:rsid w:val="00FE17C5"/>
    <w:rsid w:val="00FE1823"/>
    <w:rsid w:val="00FE3B12"/>
    <w:rsid w:val="00FE487A"/>
    <w:rsid w:val="00FF0569"/>
    <w:rsid w:val="00FF206E"/>
    <w:rsid w:val="00FF21EF"/>
    <w:rsid w:val="00FF3C69"/>
    <w:rsid w:val="00FF48DC"/>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red,#4d4d4f"/>
    </o:shapedefaults>
    <o:shapelayout v:ext="edit">
      <o:idmap v:ext="edit" data="1"/>
    </o:shapelayout>
  </w:shapeDefaults>
  <w:decimalSymbol w:val="."/>
  <w:listSeparator w:val=","/>
  <w14:docId w14:val="48F23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D24383"/>
    <w:pPr>
      <w:numPr>
        <w:numId w:val="50"/>
      </w:numPr>
      <w:spacing w:after="80"/>
    </w:pPr>
  </w:style>
  <w:style w:type="paragraph" w:styleId="ListBullet2">
    <w:name w:val="List Bullet 2"/>
    <w:basedOn w:val="Normal"/>
    <w:qFormat/>
    <w:rsid w:val="00D24383"/>
    <w:pPr>
      <w:numPr>
        <w:numId w:val="49"/>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uiPriority w:val="99"/>
    <w:semiHidden/>
    <w:rsid w:val="00566AB4"/>
    <w:rPr>
      <w:rFonts w:ascii="Arial" w:hAnsi="Arial"/>
      <w:vertAlign w:val="superscript"/>
    </w:rPr>
  </w:style>
  <w:style w:type="paragraph" w:styleId="FootnoteText">
    <w:name w:val="footnote text"/>
    <w:aliases w:val="ACMA Footnote Text"/>
    <w:basedOn w:val="Normal"/>
    <w:link w:val="FootnoteTextChar"/>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D24383"/>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Bodysubheader0">
    <w:name w:val="Body sub header"/>
    <w:basedOn w:val="Normal"/>
    <w:next w:val="Normal"/>
    <w:rsid w:val="00C025CD"/>
    <w:pPr>
      <w:spacing w:after="0"/>
    </w:pPr>
    <w:rPr>
      <w:rFonts w:ascii="HelveticaNeueLT Std" w:hAnsi="HelveticaNeueLT Std"/>
      <w:b/>
      <w:i/>
    </w:rPr>
  </w:style>
  <w:style w:type="paragraph" w:styleId="ListParagraph">
    <w:name w:val="List Paragraph"/>
    <w:basedOn w:val="Normal"/>
    <w:uiPriority w:val="34"/>
    <w:qFormat/>
    <w:rsid w:val="001442E0"/>
    <w:pPr>
      <w:ind w:left="720"/>
      <w:contextualSpacing/>
    </w:pPr>
  </w:style>
  <w:style w:type="character" w:customStyle="1" w:styleId="FootnoteTextChar">
    <w:name w:val="Footnote Text Char"/>
    <w:aliases w:val="ACMA Footnote Text Char"/>
    <w:basedOn w:val="DefaultParagraphFont"/>
    <w:link w:val="FootnoteText"/>
    <w:rsid w:val="006F1612"/>
    <w:rPr>
      <w:rFonts w:ascii="Arial" w:hAnsi="Arial"/>
      <w:sz w:val="16"/>
      <w:szCs w:val="16"/>
    </w:rPr>
  </w:style>
  <w:style w:type="paragraph" w:customStyle="1" w:styleId="ABABodyText">
    <w:name w:val="ABA Body Text"/>
    <w:rsid w:val="00E72CB7"/>
    <w:pPr>
      <w:suppressAutoHyphens/>
      <w:spacing w:before="80" w:after="120" w:line="280" w:lineRule="atLeast"/>
    </w:pPr>
    <w:rPr>
      <w:rFonts w:ascii="Time New Roman"/>
      <w:snapToGrid w:val="0"/>
      <w:szCs w:val="20"/>
      <w:lang w:eastAsia="en-US"/>
    </w:rPr>
  </w:style>
  <w:style w:type="paragraph" w:customStyle="1" w:styleId="ABAHeading2">
    <w:name w:val="ABA Heading 2"/>
    <w:next w:val="ABABodyText"/>
    <w:rsid w:val="00E72CB7"/>
    <w:pPr>
      <w:keepNext/>
      <w:suppressAutoHyphens/>
      <w:spacing w:before="240"/>
      <w:outlineLvl w:val="2"/>
    </w:pPr>
    <w:rPr>
      <w:rFonts w:ascii="Arial" w:hAnsi="Arial"/>
      <w:b/>
      <w:sz w:val="28"/>
      <w:szCs w:val="20"/>
      <w:lang w:eastAsia="en-US"/>
    </w:rPr>
  </w:style>
  <w:style w:type="paragraph" w:customStyle="1" w:styleId="ABAHeading3">
    <w:name w:val="ABA Heading 3"/>
    <w:next w:val="ABABodyText"/>
    <w:rsid w:val="00E72CB7"/>
    <w:pPr>
      <w:keepNext/>
      <w:spacing w:before="120"/>
    </w:pPr>
    <w:rPr>
      <w:rFonts w:ascii="Arial" w:hAnsi="Arial"/>
      <w:b/>
      <w:szCs w:val="20"/>
      <w:lang w:eastAsia="en-US"/>
    </w:rPr>
  </w:style>
  <w:style w:type="paragraph" w:customStyle="1" w:styleId="ABAHeading4">
    <w:name w:val="ABA Heading 4"/>
    <w:next w:val="ABABodyText"/>
    <w:rsid w:val="00E72CB7"/>
    <w:pPr>
      <w:keepNext/>
      <w:suppressAutoHyphens/>
      <w:spacing w:before="80"/>
    </w:pPr>
    <w:rPr>
      <w:rFonts w:ascii="Arial" w:hAnsi="Arial"/>
      <w:b/>
      <w:i/>
      <w:sz w:val="20"/>
      <w:szCs w:val="20"/>
      <w:lang w:eastAsia="en-US"/>
    </w:rPr>
  </w:style>
  <w:style w:type="paragraph" w:customStyle="1" w:styleId="ABATableHeading">
    <w:name w:val="ABA Table Heading"/>
    <w:rsid w:val="00E72CB7"/>
    <w:pPr>
      <w:spacing w:before="40" w:after="40"/>
    </w:pPr>
    <w:rPr>
      <w:rFonts w:ascii="Arial" w:hAnsi="Arial"/>
      <w:b/>
      <w:sz w:val="20"/>
      <w:szCs w:val="20"/>
      <w:lang w:eastAsia="en-US"/>
    </w:rPr>
  </w:style>
  <w:style w:type="paragraph" w:customStyle="1" w:styleId="ABATableText">
    <w:name w:val="ABA Table Text"/>
    <w:autoRedefine/>
    <w:rsid w:val="00E72CB7"/>
    <w:pPr>
      <w:spacing w:before="40" w:after="40"/>
    </w:pPr>
    <w:rPr>
      <w:lang w:eastAsia="en-US"/>
    </w:rPr>
  </w:style>
  <w:style w:type="paragraph" w:styleId="Revision">
    <w:name w:val="Revision"/>
    <w:hidden/>
    <w:semiHidden/>
    <w:rsid w:val="00C514E2"/>
    <w:rPr>
      <w:rFonts w:ascii="Arial" w:hAnsi="Arial"/>
      <w:sz w:val="20"/>
    </w:rPr>
  </w:style>
  <w:style w:type="paragraph" w:styleId="Index3">
    <w:name w:val="index 3"/>
    <w:basedOn w:val="Normal"/>
    <w:next w:val="Normal"/>
    <w:autoRedefine/>
    <w:rsid w:val="003A0148"/>
    <w:pPr>
      <w:spacing w:after="0" w:line="240" w:lineRule="auto"/>
      <w:ind w:left="6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04298">
      <w:bodyDiv w:val="1"/>
      <w:marLeft w:val="0"/>
      <w:marRight w:val="0"/>
      <w:marTop w:val="0"/>
      <w:marBottom w:val="0"/>
      <w:divBdr>
        <w:top w:val="none" w:sz="0" w:space="0" w:color="auto"/>
        <w:left w:val="none" w:sz="0" w:space="0" w:color="auto"/>
        <w:bottom w:val="none" w:sz="0" w:space="0" w:color="auto"/>
        <w:right w:val="none" w:sz="0" w:space="0" w:color="auto"/>
      </w:divBdr>
    </w:div>
    <w:div w:id="156771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footer" Target="footer3.xml"/><Relationship Id="rId26" Type="http://schemas.openxmlformats.org/officeDocument/2006/relationships/hyperlink" Target="http://www.acma.gov.au/Industry/Broadcast/Spectrum-for-broadcasting/Broadcast-planning/broadcasting-planning-manual-spectrum-for-broadcasting-acma" TargetMode="External"/><Relationship Id="rId39" Type="http://schemas.openxmlformats.org/officeDocument/2006/relationships/hyperlink" Target="http://www.oaic.gov.au/privacy/privacy-resources/privacy-fact-sheets/other/privacy-fact-sheet-17-australian-privacy-principle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mailto:media@acma.gov.au" TargetMode="External"/><Relationship Id="rId42" Type="http://schemas.openxmlformats.org/officeDocument/2006/relationships/image" Target="media/image4.jpeg"/><Relationship Id="rId47"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Industry/Broadcast/Spectrum-for-broadcasting/Licence-area-plans/am-fm-conversions-and-infill-transmitters-for-commercial-radio-broadcasters" TargetMode="External"/><Relationship Id="rId33" Type="http://schemas.openxmlformats.org/officeDocument/2006/relationships/hyperlink" Target="mailto:LAPRequests@acma.gov.au" TargetMode="External"/><Relationship Id="rId38" Type="http://schemas.openxmlformats.org/officeDocument/2006/relationships/hyperlink" Target="http://www.comlaw.gov.au/Series/C2004A03712"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legislation.gov.au/Details/C2017C00300" TargetMode="External"/><Relationship Id="rId41" Type="http://schemas.openxmlformats.org/officeDocument/2006/relationships/hyperlink" Target="https://www.acma.gov.au/Industry/Broadcast/Spectrum-for-broadcasting/Licence-area-plans/am-fm-conversions-and-infill-transmitters-for-commercial-radio-broadcast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legislation.gov.au/Details/F2017C01203" TargetMode="External"/><Relationship Id="rId32" Type="http://schemas.openxmlformats.org/officeDocument/2006/relationships/hyperlink" Target="mailto:" TargetMode="External"/><Relationship Id="rId37" Type="http://schemas.openxmlformats.org/officeDocument/2006/relationships/hyperlink" Target="https://www.legislation.gov.au/Details/C2018C00121" TargetMode="External"/><Relationship Id="rId40" Type="http://schemas.openxmlformats.org/officeDocument/2006/relationships/hyperlink" Target="http://www.acma.gov.au/privacypolicy" TargetMode="Externa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legislation.gov.au/Details/C2018C00121" TargetMode="External"/><Relationship Id="rId36" Type="http://schemas.openxmlformats.org/officeDocument/2006/relationships/hyperlink" Target="https://www.comlaw.gov.au/Series/C2004A02562"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www.acma.gov.au/theACMA/Consultations/Consultations" TargetMode="External"/><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andinfo@acma.gov.au" TargetMode="External"/><Relationship Id="rId22" Type="http://schemas.openxmlformats.org/officeDocument/2006/relationships/footer" Target="footer5.xml"/><Relationship Id="rId27" Type="http://schemas.openxmlformats.org/officeDocument/2006/relationships/hyperlink" Target="https://www.acma.gov.au/Industry/Broadcast/Spectrum-for-broadcasting/Licence-area-plans/am-fm-conversions-and-infill-transmitters-for-commercial-radio-broadcasters" TargetMode="External"/><Relationship Id="rId30" Type="http://schemas.openxmlformats.org/officeDocument/2006/relationships/hyperlink" Target="https://www.acma.gov.au/Industry/Broadcast/Spectrum-for-broadcasting/Licence-area-plans/am-fm-conversions-and-infill-transmitters-for-commercial-radio-broadcasters" TargetMode="External"/><Relationship Id="rId35" Type="http://schemas.openxmlformats.org/officeDocument/2006/relationships/hyperlink" Target="http://www.acma.gov.au/theACMA/About/Corporate/Responsibilities/acma-evidenceinformed-regulation-and-effective-consultation" TargetMode="External"/><Relationship Id="rId43" Type="http://schemas.openxmlformats.org/officeDocument/2006/relationships/image" Target="media/image5.png"/><Relationship Id="rId48"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18C000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7D10E-F755-4ED6-B1F6-2F0308D4B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6427</Words>
  <Characters>36635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42977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2018-05-10T01:19:00Z</dcterms:created>
  <dcterms:modified xsi:type="dcterms:W3CDTF">2018-05-10T01:25:00Z</dcterms:modified>
  <cp:category/>
</cp:coreProperties>
</file>