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EECA90" w14:textId="02E93CD1" w:rsidR="00A60BE5" w:rsidRDefault="00A60BE5" w:rsidP="00A60BE5">
      <w:pPr>
        <w:pStyle w:val="ACMAReportTitle"/>
      </w:pPr>
      <w:r>
        <w:t>Radiocommunications exemption arrangements for drone jamming devices</w:t>
      </w:r>
    </w:p>
    <w:p w14:paraId="54DDCC8E" w14:textId="7CFDFD16" w:rsidR="00F06E14" w:rsidRDefault="00F33D53" w:rsidP="00F06E14">
      <w:pPr>
        <w:pStyle w:val="ACMAReportSubTitle"/>
      </w:pPr>
      <w:r>
        <w:t>Consultation paper</w:t>
      </w:r>
    </w:p>
    <w:p w14:paraId="5BFD400C" w14:textId="43A592AD" w:rsidR="00F06E14" w:rsidRDefault="00E64EE1" w:rsidP="00D47AEB">
      <w:pPr>
        <w:pStyle w:val="ACMAReportDate"/>
        <w:spacing w:after="720"/>
      </w:pPr>
      <w:r>
        <w:t xml:space="preserve">March </w:t>
      </w:r>
      <w:r w:rsidR="00E06433">
        <w:t>201</w:t>
      </w:r>
      <w:r>
        <w:t>9</w:t>
      </w:r>
    </w:p>
    <w:p w14:paraId="75D70CA8" w14:textId="77777777" w:rsidR="00C97736" w:rsidRPr="000D76E0" w:rsidRDefault="00C97736" w:rsidP="0041071D">
      <w:pPr>
        <w:rPr>
          <w:rFonts w:cs="Arial"/>
        </w:rPr>
      </w:pPr>
    </w:p>
    <w:p w14:paraId="43FAF316"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0D4C6305" w14:textId="77777777" w:rsidR="0005011A" w:rsidRPr="00F44F3A" w:rsidRDefault="0005011A" w:rsidP="00FC07B9">
      <w:pPr>
        <w:pStyle w:val="ACMACorporateAddressHeader"/>
      </w:pPr>
      <w:r w:rsidRPr="00F44F3A">
        <w:lastRenderedPageBreak/>
        <w:t>Canberra</w:t>
      </w:r>
    </w:p>
    <w:p w14:paraId="467F69FE"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1121170" w14:textId="77777777" w:rsidR="0005011A" w:rsidRPr="00FC07B9" w:rsidRDefault="0005011A" w:rsidP="00FC07B9">
      <w:pPr>
        <w:pStyle w:val="ACMACorporateAddresses"/>
      </w:pPr>
      <w:r w:rsidRPr="00FC07B9">
        <w:t>PO Box 78</w:t>
      </w:r>
      <w:r w:rsidRPr="00FC07B9">
        <w:br/>
        <w:t>Belconnen ACT 2616</w:t>
      </w:r>
    </w:p>
    <w:p w14:paraId="4D33B933"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454A641" w14:textId="77777777" w:rsidR="0005011A" w:rsidRPr="00F44F3A" w:rsidRDefault="0005011A" w:rsidP="00FC07B9">
      <w:pPr>
        <w:pStyle w:val="ACMACorporateAddressHeader"/>
      </w:pPr>
      <w:r w:rsidRPr="00F44F3A">
        <w:t>Melbourne</w:t>
      </w:r>
    </w:p>
    <w:p w14:paraId="4E7AE574"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BC164D0"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54558F4"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07256DD" w14:textId="77777777" w:rsidR="0005011A" w:rsidRPr="00F44F3A" w:rsidRDefault="0005011A" w:rsidP="00FC07B9">
      <w:pPr>
        <w:pStyle w:val="ACMACorporateAddressHeader"/>
      </w:pPr>
      <w:r w:rsidRPr="00F44F3A">
        <w:t>Sydney</w:t>
      </w:r>
    </w:p>
    <w:p w14:paraId="6D7B4E66"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E7B9179"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55889085"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731D15AE" w14:textId="77777777" w:rsidR="00140318" w:rsidRPr="006D46E5" w:rsidRDefault="00140318" w:rsidP="00FC07B9">
      <w:pPr>
        <w:pStyle w:val="ACMACopyrightHeader"/>
      </w:pPr>
      <w:r w:rsidRPr="00140318">
        <w:t>Copyright notice</w:t>
      </w:r>
    </w:p>
    <w:p w14:paraId="3DD5AC79" w14:textId="77777777" w:rsidR="00140318" w:rsidRPr="006D46E5" w:rsidRDefault="00623FF9" w:rsidP="00623FF9">
      <w:pPr>
        <w:pStyle w:val="ACMACClogo"/>
      </w:pPr>
      <w:r w:rsidRPr="00623FF9">
        <w:rPr>
          <w:noProof/>
        </w:rPr>
        <w:drawing>
          <wp:inline distT="0" distB="0" distL="0" distR="0" wp14:anchorId="3EB7370E" wp14:editId="15C7DD3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94665F6" w14:textId="77777777" w:rsidR="00AA2DE5" w:rsidRDefault="008D786C" w:rsidP="00AA2DE5">
      <w:pPr>
        <w:pStyle w:val="ACMACorporateAddresses"/>
        <w:rPr>
          <w:rStyle w:val="Hyperlink"/>
        </w:rPr>
      </w:pPr>
      <w:hyperlink r:id="rId13" w:history="1">
        <w:r w:rsidR="00AA2DE5">
          <w:rPr>
            <w:rStyle w:val="Hyperlink"/>
          </w:rPr>
          <w:t>https://creativecommons.org/licenses/by/4.0//</w:t>
        </w:r>
      </w:hyperlink>
    </w:p>
    <w:p w14:paraId="2CC27D90"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3C57C612" w14:textId="0059ADE6" w:rsidR="00AA2DE5" w:rsidRDefault="00AA2DE5" w:rsidP="00AA2DE5">
      <w:pPr>
        <w:pStyle w:val="ACMACorporateAddresses"/>
      </w:pPr>
      <w:r>
        <w:t>We request attribution as © Commonwealth of Australia (Australian Communications and Media Authority) 201</w:t>
      </w:r>
      <w:r w:rsidR="00E64EE1">
        <w:t>9</w:t>
      </w:r>
      <w:r>
        <w:t>.</w:t>
      </w:r>
    </w:p>
    <w:p w14:paraId="0E566254" w14:textId="77777777" w:rsidR="00AA2DE5" w:rsidRDefault="00AA2DE5" w:rsidP="00AA2DE5">
      <w:pPr>
        <w:pStyle w:val="ACMACorporateAddresses"/>
      </w:pPr>
      <w:r>
        <w:t>All other rights are reserved.</w:t>
      </w:r>
    </w:p>
    <w:p w14:paraId="2306F66D"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D287921" w14:textId="77777777" w:rsidR="00AA2DE5" w:rsidRDefault="00AA2DE5" w:rsidP="00AA2DE5">
      <w:pPr>
        <w:pStyle w:val="ACMACorporateAddresses"/>
      </w:pPr>
      <w:r>
        <w:t>Written enquiries may be sent to:</w:t>
      </w:r>
    </w:p>
    <w:p w14:paraId="74BBD667" w14:textId="77777777" w:rsidR="00AA2DE5" w:rsidRDefault="00AA2DE5" w:rsidP="00AA2DE5">
      <w:pPr>
        <w:pStyle w:val="ACMACorporateAddresses"/>
        <w:rPr>
          <w:rStyle w:val="Hyperlink"/>
        </w:rPr>
      </w:pPr>
      <w:r>
        <w:t>Manager, Editorial and Design</w:t>
      </w:r>
      <w:r>
        <w:br/>
        <w:t>PO Box 13112</w:t>
      </w:r>
      <w:r>
        <w:br/>
        <w:t>Law Courts</w:t>
      </w:r>
      <w:r>
        <w:br/>
        <w:t>Melbourne VIC 8010</w:t>
      </w:r>
      <w:r>
        <w:br/>
        <w:t xml:space="preserve">Email: </w:t>
      </w:r>
      <w:hyperlink r:id="rId14" w:history="1">
        <w:r>
          <w:rPr>
            <w:rStyle w:val="Hyperlink"/>
          </w:rPr>
          <w:t>info@acma.gov.au</w:t>
        </w:r>
      </w:hyperlink>
    </w:p>
    <w:p w14:paraId="651D3171" w14:textId="77777777" w:rsidR="00D16FE3" w:rsidRDefault="00D16FE3" w:rsidP="00D16FE3">
      <w:pPr>
        <w:pStyle w:val="ACMACorporateAddresses"/>
        <w:rPr>
          <w:rStyle w:val="Hyperlink"/>
        </w:rPr>
      </w:pPr>
    </w:p>
    <w:p w14:paraId="4A0C8B27"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577387A" w14:textId="404A8625" w:rsidR="00C0306C"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C0306C">
        <w:t>Executive summary</w:t>
      </w:r>
      <w:r w:rsidR="00C0306C">
        <w:tab/>
      </w:r>
      <w:r w:rsidR="00C0306C">
        <w:fldChar w:fldCharType="begin"/>
      </w:r>
      <w:r w:rsidR="00C0306C">
        <w:instrText xml:space="preserve"> PAGEREF _Toc3383558 \h </w:instrText>
      </w:r>
      <w:r w:rsidR="00C0306C">
        <w:fldChar w:fldCharType="separate"/>
      </w:r>
      <w:r w:rsidR="00C0306C">
        <w:t>1</w:t>
      </w:r>
      <w:r w:rsidR="00C0306C">
        <w:fldChar w:fldCharType="end"/>
      </w:r>
    </w:p>
    <w:p w14:paraId="29BE9A28" w14:textId="442EB6AB" w:rsidR="00C0306C" w:rsidRDefault="00C0306C">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_Toc3383559 \h </w:instrText>
      </w:r>
      <w:r>
        <w:fldChar w:fldCharType="separate"/>
      </w:r>
      <w:r>
        <w:t>2</w:t>
      </w:r>
      <w:r>
        <w:fldChar w:fldCharType="end"/>
      </w:r>
    </w:p>
    <w:p w14:paraId="102CB159" w14:textId="79477D4E" w:rsidR="00C0306C" w:rsidRDefault="00C0306C">
      <w:pPr>
        <w:pStyle w:val="TOC1"/>
        <w:rPr>
          <w:rFonts w:asciiTheme="minorHAnsi" w:eastAsiaTheme="minorEastAsia" w:hAnsiTheme="minorHAnsi" w:cstheme="minorBidi"/>
          <w:b w:val="0"/>
          <w:spacing w:val="0"/>
          <w:sz w:val="22"/>
          <w:szCs w:val="22"/>
        </w:rPr>
      </w:pPr>
      <w:r>
        <w:t>Legislative framework</w:t>
      </w:r>
      <w:r>
        <w:tab/>
      </w:r>
      <w:r>
        <w:fldChar w:fldCharType="begin"/>
      </w:r>
      <w:r>
        <w:instrText xml:space="preserve"> PAGEREF _Toc3383560 \h </w:instrText>
      </w:r>
      <w:r>
        <w:fldChar w:fldCharType="separate"/>
      </w:r>
      <w:r>
        <w:t>3</w:t>
      </w:r>
      <w:r>
        <w:fldChar w:fldCharType="end"/>
      </w:r>
    </w:p>
    <w:p w14:paraId="1D9C5B61" w14:textId="062EEC5B" w:rsidR="00C0306C" w:rsidRDefault="00C0306C">
      <w:pPr>
        <w:pStyle w:val="TOC2"/>
        <w:rPr>
          <w:rFonts w:asciiTheme="minorHAnsi" w:eastAsiaTheme="minorEastAsia" w:hAnsiTheme="minorHAnsi" w:cstheme="minorBidi"/>
          <w:spacing w:val="0"/>
          <w:sz w:val="22"/>
          <w:szCs w:val="22"/>
        </w:rPr>
      </w:pPr>
      <w:r>
        <w:t>Devices prohibited by the ACMA</w:t>
      </w:r>
      <w:r>
        <w:tab/>
      </w:r>
      <w:r>
        <w:fldChar w:fldCharType="begin"/>
      </w:r>
      <w:r>
        <w:instrText xml:space="preserve"> PAGEREF _Toc3383561 \h </w:instrText>
      </w:r>
      <w:r>
        <w:fldChar w:fldCharType="separate"/>
      </w:r>
      <w:r>
        <w:t>3</w:t>
      </w:r>
      <w:r>
        <w:fldChar w:fldCharType="end"/>
      </w:r>
    </w:p>
    <w:p w14:paraId="126A6CFC" w14:textId="3B5A6BA9" w:rsidR="00C0306C" w:rsidRDefault="00C0306C">
      <w:pPr>
        <w:pStyle w:val="TOC2"/>
        <w:rPr>
          <w:rFonts w:asciiTheme="minorHAnsi" w:eastAsiaTheme="minorEastAsia" w:hAnsiTheme="minorHAnsi" w:cstheme="minorBidi"/>
          <w:spacing w:val="0"/>
          <w:sz w:val="22"/>
          <w:szCs w:val="22"/>
        </w:rPr>
      </w:pPr>
      <w:r>
        <w:t>Drones and counter-drone technologies</w:t>
      </w:r>
      <w:r>
        <w:tab/>
      </w:r>
      <w:r>
        <w:fldChar w:fldCharType="begin"/>
      </w:r>
      <w:r>
        <w:instrText xml:space="preserve"> PAGEREF _Toc3383562 \h </w:instrText>
      </w:r>
      <w:r>
        <w:fldChar w:fldCharType="separate"/>
      </w:r>
      <w:r>
        <w:t>3</w:t>
      </w:r>
      <w:r>
        <w:fldChar w:fldCharType="end"/>
      </w:r>
    </w:p>
    <w:p w14:paraId="17E3C3BC" w14:textId="1A379DEB" w:rsidR="00C0306C" w:rsidRDefault="00C0306C">
      <w:pPr>
        <w:pStyle w:val="TOC2"/>
        <w:rPr>
          <w:rFonts w:asciiTheme="minorHAnsi" w:eastAsiaTheme="minorEastAsia" w:hAnsiTheme="minorHAnsi" w:cstheme="minorBidi"/>
          <w:spacing w:val="0"/>
          <w:sz w:val="22"/>
          <w:szCs w:val="22"/>
        </w:rPr>
      </w:pPr>
      <w:r>
        <w:t>Drone jamming devices</w:t>
      </w:r>
      <w:r>
        <w:tab/>
      </w:r>
      <w:r>
        <w:fldChar w:fldCharType="begin"/>
      </w:r>
      <w:r>
        <w:instrText xml:space="preserve"> PAGEREF _Toc3383563 \h </w:instrText>
      </w:r>
      <w:r>
        <w:fldChar w:fldCharType="separate"/>
      </w:r>
      <w:r>
        <w:t>3</w:t>
      </w:r>
      <w:r>
        <w:fldChar w:fldCharType="end"/>
      </w:r>
    </w:p>
    <w:p w14:paraId="17D8C204" w14:textId="7BF57BE4" w:rsidR="00C0306C" w:rsidRDefault="00C0306C">
      <w:pPr>
        <w:pStyle w:val="TOC2"/>
        <w:rPr>
          <w:rFonts w:asciiTheme="minorHAnsi" w:eastAsiaTheme="minorEastAsia" w:hAnsiTheme="minorHAnsi" w:cstheme="minorBidi"/>
          <w:spacing w:val="0"/>
          <w:sz w:val="22"/>
          <w:szCs w:val="22"/>
        </w:rPr>
      </w:pPr>
      <w:r>
        <w:t>Exemptions determined by the ACMA</w:t>
      </w:r>
      <w:r>
        <w:tab/>
      </w:r>
      <w:r>
        <w:fldChar w:fldCharType="begin"/>
      </w:r>
      <w:r>
        <w:instrText xml:space="preserve"> PAGEREF _Toc3383564 \h </w:instrText>
      </w:r>
      <w:r>
        <w:fldChar w:fldCharType="separate"/>
      </w:r>
      <w:r>
        <w:t>4</w:t>
      </w:r>
      <w:r>
        <w:fldChar w:fldCharType="end"/>
      </w:r>
    </w:p>
    <w:p w14:paraId="7197C833" w14:textId="1D41BF30" w:rsidR="00C0306C" w:rsidRDefault="00C0306C">
      <w:pPr>
        <w:pStyle w:val="TOC1"/>
        <w:rPr>
          <w:rFonts w:asciiTheme="minorHAnsi" w:eastAsiaTheme="minorEastAsia" w:hAnsiTheme="minorHAnsi" w:cstheme="minorBidi"/>
          <w:b w:val="0"/>
          <w:spacing w:val="0"/>
          <w:sz w:val="22"/>
          <w:szCs w:val="22"/>
        </w:rPr>
      </w:pPr>
      <w:r>
        <w:t>Relevant radiocommunications considerations</w:t>
      </w:r>
      <w:r>
        <w:tab/>
      </w:r>
      <w:r>
        <w:fldChar w:fldCharType="begin"/>
      </w:r>
      <w:r>
        <w:instrText xml:space="preserve"> PAGEREF _Toc3383565 \h </w:instrText>
      </w:r>
      <w:r>
        <w:fldChar w:fldCharType="separate"/>
      </w:r>
      <w:r>
        <w:t>5</w:t>
      </w:r>
      <w:r>
        <w:fldChar w:fldCharType="end"/>
      </w:r>
    </w:p>
    <w:p w14:paraId="66E847EF" w14:textId="638E0B82" w:rsidR="00C0306C" w:rsidRDefault="00C0306C">
      <w:pPr>
        <w:pStyle w:val="TOC1"/>
        <w:rPr>
          <w:rFonts w:asciiTheme="minorHAnsi" w:eastAsiaTheme="minorEastAsia" w:hAnsiTheme="minorHAnsi" w:cstheme="minorBidi"/>
          <w:b w:val="0"/>
          <w:spacing w:val="0"/>
          <w:sz w:val="22"/>
          <w:szCs w:val="22"/>
        </w:rPr>
      </w:pPr>
      <w:r>
        <w:t>Proposed exemption arrangements</w:t>
      </w:r>
      <w:r>
        <w:tab/>
      </w:r>
      <w:r>
        <w:fldChar w:fldCharType="begin"/>
      </w:r>
      <w:r>
        <w:instrText xml:space="preserve"> PAGEREF _Toc3383566 \h </w:instrText>
      </w:r>
      <w:r>
        <w:fldChar w:fldCharType="separate"/>
      </w:r>
      <w:r>
        <w:t>6</w:t>
      </w:r>
      <w:r>
        <w:fldChar w:fldCharType="end"/>
      </w:r>
    </w:p>
    <w:p w14:paraId="781C7BF4" w14:textId="6248247A" w:rsidR="00C0306C" w:rsidRDefault="00C0306C">
      <w:pPr>
        <w:pStyle w:val="TOC2"/>
        <w:rPr>
          <w:rFonts w:asciiTheme="minorHAnsi" w:eastAsiaTheme="minorEastAsia" w:hAnsiTheme="minorHAnsi" w:cstheme="minorBidi"/>
          <w:spacing w:val="0"/>
          <w:sz w:val="22"/>
          <w:szCs w:val="22"/>
        </w:rPr>
      </w:pPr>
      <w:r>
        <w:t>Persons to whom the proposed exemption would apply</w:t>
      </w:r>
      <w:r>
        <w:tab/>
      </w:r>
      <w:r>
        <w:fldChar w:fldCharType="begin"/>
      </w:r>
      <w:r>
        <w:instrText xml:space="preserve"> PAGEREF _Toc3383567 \h </w:instrText>
      </w:r>
      <w:r>
        <w:fldChar w:fldCharType="separate"/>
      </w:r>
      <w:r>
        <w:t>6</w:t>
      </w:r>
      <w:r>
        <w:fldChar w:fldCharType="end"/>
      </w:r>
    </w:p>
    <w:p w14:paraId="77CC4190" w14:textId="0AA91995" w:rsidR="00C0306C" w:rsidRDefault="00C0306C">
      <w:pPr>
        <w:pStyle w:val="TOC2"/>
        <w:rPr>
          <w:rFonts w:asciiTheme="minorHAnsi" w:eastAsiaTheme="minorEastAsia" w:hAnsiTheme="minorHAnsi" w:cstheme="minorBidi"/>
          <w:spacing w:val="0"/>
          <w:sz w:val="22"/>
          <w:szCs w:val="22"/>
        </w:rPr>
      </w:pPr>
      <w:r>
        <w:t>Period for which the exemption would apply</w:t>
      </w:r>
      <w:r>
        <w:tab/>
      </w:r>
      <w:r>
        <w:fldChar w:fldCharType="begin"/>
      </w:r>
      <w:r>
        <w:instrText xml:space="preserve"> PAGEREF _Toc3383568 \h </w:instrText>
      </w:r>
      <w:r>
        <w:fldChar w:fldCharType="separate"/>
      </w:r>
      <w:r>
        <w:t>6</w:t>
      </w:r>
      <w:r>
        <w:fldChar w:fldCharType="end"/>
      </w:r>
    </w:p>
    <w:p w14:paraId="71FC3050" w14:textId="514FF758" w:rsidR="00C0306C" w:rsidRDefault="00C0306C">
      <w:pPr>
        <w:pStyle w:val="TOC2"/>
        <w:rPr>
          <w:rFonts w:asciiTheme="minorHAnsi" w:eastAsiaTheme="minorEastAsia" w:hAnsiTheme="minorHAnsi" w:cstheme="minorBidi"/>
          <w:spacing w:val="0"/>
          <w:sz w:val="22"/>
          <w:szCs w:val="22"/>
        </w:rPr>
      </w:pPr>
      <w:r>
        <w:t>Circumstances in which the exemption would apply</w:t>
      </w:r>
      <w:r>
        <w:tab/>
      </w:r>
      <w:r>
        <w:fldChar w:fldCharType="begin"/>
      </w:r>
      <w:r>
        <w:instrText xml:space="preserve"> PAGEREF _Toc3383569 \h </w:instrText>
      </w:r>
      <w:r>
        <w:fldChar w:fldCharType="separate"/>
      </w:r>
      <w:r>
        <w:t>6</w:t>
      </w:r>
      <w:r>
        <w:fldChar w:fldCharType="end"/>
      </w:r>
    </w:p>
    <w:p w14:paraId="72D668C4" w14:textId="7A739E30" w:rsidR="00C0306C" w:rsidRDefault="00C0306C">
      <w:pPr>
        <w:pStyle w:val="TOC2"/>
        <w:rPr>
          <w:rFonts w:asciiTheme="minorHAnsi" w:eastAsiaTheme="minorEastAsia" w:hAnsiTheme="minorHAnsi" w:cstheme="minorBidi"/>
          <w:spacing w:val="0"/>
          <w:sz w:val="22"/>
          <w:szCs w:val="22"/>
        </w:rPr>
      </w:pPr>
      <w:r>
        <w:t>Impact on other radiocommunications users</w:t>
      </w:r>
      <w:r>
        <w:tab/>
      </w:r>
      <w:r>
        <w:fldChar w:fldCharType="begin"/>
      </w:r>
      <w:r>
        <w:instrText xml:space="preserve"> PAGEREF _Toc3383570 \h </w:instrText>
      </w:r>
      <w:r>
        <w:fldChar w:fldCharType="separate"/>
      </w:r>
      <w:r>
        <w:t>6</w:t>
      </w:r>
      <w:r>
        <w:fldChar w:fldCharType="end"/>
      </w:r>
    </w:p>
    <w:p w14:paraId="267E2336" w14:textId="6F34E443" w:rsidR="00C0306C" w:rsidRDefault="00C0306C">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_Toc3383571 \h </w:instrText>
      </w:r>
      <w:r>
        <w:fldChar w:fldCharType="separate"/>
      </w:r>
      <w:r>
        <w:t>8</w:t>
      </w:r>
      <w:r>
        <w:fldChar w:fldCharType="end"/>
      </w:r>
    </w:p>
    <w:p w14:paraId="501999C5" w14:textId="5405C498" w:rsidR="00C0306C" w:rsidRDefault="00C0306C">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_Toc3383572 \h </w:instrText>
      </w:r>
      <w:r>
        <w:fldChar w:fldCharType="separate"/>
      </w:r>
      <w:r>
        <w:t>8</w:t>
      </w:r>
      <w:r>
        <w:fldChar w:fldCharType="end"/>
      </w:r>
    </w:p>
    <w:p w14:paraId="343C9B14" w14:textId="7B9E19A0" w:rsidR="000A4A51" w:rsidRPr="000D76E0" w:rsidRDefault="007A6CC0">
      <w:pPr>
        <w:rPr>
          <w:rFonts w:cs="Arial"/>
        </w:rPr>
      </w:pPr>
      <w:r>
        <w:rPr>
          <w:rFonts w:cs="Arial"/>
          <w:b/>
          <w:noProof/>
          <w:spacing w:val="-14"/>
          <w:sz w:val="28"/>
        </w:rPr>
        <w:fldChar w:fldCharType="end"/>
      </w:r>
    </w:p>
    <w:p w14:paraId="1A84E965" w14:textId="77777777" w:rsidR="004D56FF" w:rsidRPr="000D76E0" w:rsidRDefault="004D56F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p>
    <w:p w14:paraId="77FA874D" w14:textId="2B7139F2" w:rsidR="009D6C71" w:rsidRPr="009174F3" w:rsidRDefault="009D6C71" w:rsidP="009174F3">
      <w:pPr>
        <w:pStyle w:val="ACMAExecSummaryHeading"/>
      </w:pPr>
      <w:bookmarkStart w:id="0" w:name="_Toc3383558"/>
      <w:r w:rsidRPr="009174F3">
        <w:lastRenderedPageBreak/>
        <w:t>Executive summary</w:t>
      </w:r>
      <w:bookmarkEnd w:id="0"/>
      <w:r w:rsidR="007E7683" w:rsidRPr="009174F3">
        <w:t xml:space="preserve"> </w:t>
      </w:r>
    </w:p>
    <w:p w14:paraId="02E60762" w14:textId="700AD114" w:rsidR="007750D7" w:rsidRDefault="00832E6E" w:rsidP="007750D7">
      <w:bookmarkStart w:id="1" w:name="_Toc348105631"/>
      <w:bookmarkStart w:id="2" w:name="_Toc433122124"/>
      <w:r>
        <w:t xml:space="preserve">Drone technology is </w:t>
      </w:r>
      <w:r w:rsidR="00494DF8">
        <w:t xml:space="preserve">growing in use, with </w:t>
      </w:r>
      <w:r>
        <w:t xml:space="preserve">recent examples of </w:t>
      </w:r>
      <w:r w:rsidR="0074194F">
        <w:t xml:space="preserve">drones used for malicious purposes </w:t>
      </w:r>
      <w:r w:rsidR="00494DF8">
        <w:t>raising concerns about the risk of drone operations to public safety.</w:t>
      </w:r>
      <w:r w:rsidR="007750D7" w:rsidRPr="007750D7">
        <w:t xml:space="preserve"> </w:t>
      </w:r>
    </w:p>
    <w:p w14:paraId="4932CE7C" w14:textId="25AE59D2" w:rsidR="006D4E10" w:rsidRDefault="006D02BF" w:rsidP="00494DF8">
      <w:r>
        <w:t xml:space="preserve">In </w:t>
      </w:r>
      <w:r w:rsidR="004832B0">
        <w:t xml:space="preserve">September </w:t>
      </w:r>
      <w:r>
        <w:t xml:space="preserve">2018, the ACMA </w:t>
      </w:r>
      <w:r w:rsidR="00CB24FC">
        <w:t xml:space="preserve">made </w:t>
      </w:r>
      <w:hyperlink r:id="rId24" w:history="1">
        <w:r w:rsidRPr="009052DF">
          <w:rPr>
            <w:rStyle w:val="Hyperlink"/>
          </w:rPr>
          <w:t>the Radiocommunications (Invictus Games Anti-Drone Technology/RNSS Jamming Devices) Exemption Determination 2018</w:t>
        </w:r>
      </w:hyperlink>
      <w:r>
        <w:t xml:space="preserve"> under section 27 of the </w:t>
      </w:r>
      <w:hyperlink r:id="rId25" w:history="1">
        <w:r w:rsidRPr="009052DF">
          <w:rPr>
            <w:rStyle w:val="Hyperlink"/>
            <w:i/>
          </w:rPr>
          <w:t>Radiocommunications Act 1992</w:t>
        </w:r>
      </w:hyperlink>
      <w:r w:rsidR="00433D41">
        <w:rPr>
          <w:i/>
        </w:rPr>
        <w:t xml:space="preserve"> </w:t>
      </w:r>
      <w:r w:rsidR="00433D41">
        <w:t>(the Act)</w:t>
      </w:r>
      <w:r>
        <w:t>.</w:t>
      </w:r>
      <w:r w:rsidR="0033471F">
        <w:t xml:space="preserve"> The instrument </w:t>
      </w:r>
      <w:r w:rsidR="006D4E10">
        <w:t xml:space="preserve">allowed the </w:t>
      </w:r>
      <w:r w:rsidR="00CE6917">
        <w:t>Australian Federal Police (AFP)</w:t>
      </w:r>
      <w:r w:rsidR="006D4E10">
        <w:t xml:space="preserve"> to use drone jamming devices </w:t>
      </w:r>
      <w:r w:rsidR="000C7303">
        <w:t xml:space="preserve">for </w:t>
      </w:r>
      <w:r w:rsidR="006D4E10">
        <w:t xml:space="preserve">the provision of security for the Invictus Games. The instrument </w:t>
      </w:r>
      <w:r w:rsidR="004832B0">
        <w:t xml:space="preserve">authorised </w:t>
      </w:r>
      <w:r w:rsidR="006D4E10">
        <w:t xml:space="preserve">AFP deployment of the devices within temporary restricted areas (TRAs) </w:t>
      </w:r>
      <w:r w:rsidR="004832B0">
        <w:t xml:space="preserve">declared </w:t>
      </w:r>
      <w:r w:rsidR="006D4E10">
        <w:rPr>
          <w:lang w:val="en-GB"/>
        </w:rPr>
        <w:t xml:space="preserve">by the Civil Aviation Safety Authority (CASA) </w:t>
      </w:r>
      <w:r w:rsidR="006D4E10">
        <w:t xml:space="preserve">under the </w:t>
      </w:r>
      <w:hyperlink r:id="rId26" w:history="1">
        <w:r w:rsidR="006D4E10" w:rsidRPr="009C4FDC">
          <w:rPr>
            <w:rStyle w:val="Hyperlink"/>
            <w:iCs/>
          </w:rPr>
          <w:t>Airspace Regulations 2007</w:t>
        </w:r>
      </w:hyperlink>
      <w:r w:rsidR="006D4E10">
        <w:t xml:space="preserve"> and expired on 9 November 2018.</w:t>
      </w:r>
    </w:p>
    <w:p w14:paraId="077AFF17" w14:textId="7091E69B" w:rsidR="007B1682" w:rsidRDefault="00CE6917" w:rsidP="00C36FDC">
      <w:pPr>
        <w:rPr>
          <w:lang w:val="en-GB"/>
        </w:rPr>
      </w:pPr>
      <w:r>
        <w:t>The</w:t>
      </w:r>
      <w:r w:rsidR="00CC4F51">
        <w:t xml:space="preserve"> AFP is seeking </w:t>
      </w:r>
      <w:r w:rsidR="00830EAC">
        <w:t xml:space="preserve">access to drone jamming devices on a </w:t>
      </w:r>
      <w:r w:rsidR="007C154C">
        <w:t>broader</w:t>
      </w:r>
      <w:r w:rsidR="00830EAC">
        <w:t xml:space="preserve"> basis</w:t>
      </w:r>
      <w:r w:rsidR="00F00D73">
        <w:t xml:space="preserve">. The </w:t>
      </w:r>
      <w:r w:rsidR="007E23F9">
        <w:t xml:space="preserve">ACMA </w:t>
      </w:r>
      <w:r w:rsidR="00F00D73">
        <w:t xml:space="preserve">has worked </w:t>
      </w:r>
      <w:r w:rsidR="00F00D73">
        <w:rPr>
          <w:lang w:val="en-GB"/>
        </w:rPr>
        <w:t>closely with the AFP on its operational requirements, and we are</w:t>
      </w:r>
      <w:r w:rsidR="007E23F9">
        <w:t xml:space="preserve"> proposing to make the </w:t>
      </w:r>
      <w:r w:rsidR="007E23F9" w:rsidRPr="007653C0">
        <w:t>Radiocommunications (</w:t>
      </w:r>
      <w:r w:rsidR="007C1919" w:rsidRPr="007653C0">
        <w:t>Unmanned Aircraft and Unmanned Aircraft Systems) Exemption Determination</w:t>
      </w:r>
      <w:r w:rsidR="007E23F9" w:rsidRPr="007653C0">
        <w:t xml:space="preserve"> 2019</w:t>
      </w:r>
      <w:r w:rsidR="00F00D73" w:rsidRPr="007653C0">
        <w:t>.</w:t>
      </w:r>
      <w:r w:rsidR="006D4E10" w:rsidRPr="006D4E10">
        <w:rPr>
          <w:lang w:val="en-GB"/>
        </w:rPr>
        <w:t xml:space="preserve"> </w:t>
      </w:r>
      <w:r w:rsidR="004A5CD9">
        <w:rPr>
          <w:lang w:val="en-GB"/>
        </w:rPr>
        <w:t>If made, t</w:t>
      </w:r>
      <w:r w:rsidR="006D4E10">
        <w:rPr>
          <w:lang w:val="en-GB"/>
        </w:rPr>
        <w:t>he proposed determination w</w:t>
      </w:r>
      <w:r w:rsidR="00667A56">
        <w:rPr>
          <w:lang w:val="en-GB"/>
        </w:rPr>
        <w:t>ould</w:t>
      </w:r>
      <w:r w:rsidR="00494DF8">
        <w:rPr>
          <w:lang w:val="en-GB"/>
        </w:rPr>
        <w:t xml:space="preserve"> </w:t>
      </w:r>
      <w:r w:rsidR="006D4E10">
        <w:rPr>
          <w:lang w:val="en-GB"/>
        </w:rPr>
        <w:t>be used by the AFP to deploy the devices at major events and in other AFP operations, including where counter-drone capability is required at short notice.</w:t>
      </w:r>
      <w:r w:rsidR="00DC2486">
        <w:rPr>
          <w:lang w:val="en-GB"/>
        </w:rPr>
        <w:t xml:space="preserve"> </w:t>
      </w:r>
      <w:r w:rsidR="0050039F">
        <w:rPr>
          <w:lang w:val="en-GB"/>
        </w:rPr>
        <w:t xml:space="preserve">The proposed </w:t>
      </w:r>
      <w:r w:rsidR="00B34AD4">
        <w:rPr>
          <w:lang w:val="en-GB"/>
        </w:rPr>
        <w:t xml:space="preserve">determination </w:t>
      </w:r>
      <w:r w:rsidR="007B1682">
        <w:rPr>
          <w:lang w:val="en-GB"/>
        </w:rPr>
        <w:t xml:space="preserve">allows </w:t>
      </w:r>
      <w:r w:rsidR="00C352B7">
        <w:rPr>
          <w:lang w:val="en-GB"/>
        </w:rPr>
        <w:t xml:space="preserve">the </w:t>
      </w:r>
      <w:r w:rsidR="007B1682">
        <w:rPr>
          <w:lang w:val="en-GB"/>
        </w:rPr>
        <w:t xml:space="preserve">operation of drone jamming devices </w:t>
      </w:r>
      <w:r w:rsidR="007C154C">
        <w:rPr>
          <w:lang w:val="en-GB"/>
        </w:rPr>
        <w:t>in the frequency bands</w:t>
      </w:r>
      <w:r w:rsidR="007B1682">
        <w:rPr>
          <w:lang w:val="en-GB"/>
        </w:rPr>
        <w:t xml:space="preserve"> 2400</w:t>
      </w:r>
      <w:r w:rsidR="000C7303">
        <w:rPr>
          <w:lang w:val="en-GB"/>
        </w:rPr>
        <w:t>–</w:t>
      </w:r>
      <w:r w:rsidR="007B1682">
        <w:rPr>
          <w:lang w:val="en-GB"/>
        </w:rPr>
        <w:t>2483</w:t>
      </w:r>
      <w:r w:rsidR="00906B05">
        <w:rPr>
          <w:lang w:val="en-GB"/>
        </w:rPr>
        <w:t>.5</w:t>
      </w:r>
      <w:r w:rsidR="00452803">
        <w:rPr>
          <w:lang w:val="en-GB"/>
        </w:rPr>
        <w:t xml:space="preserve"> MHz and </w:t>
      </w:r>
      <w:r w:rsidR="006C38EF">
        <w:rPr>
          <w:lang w:val="en-GB"/>
        </w:rPr>
        <w:t>5725</w:t>
      </w:r>
      <w:r w:rsidR="000C7303">
        <w:rPr>
          <w:lang w:val="en-GB"/>
        </w:rPr>
        <w:t>–</w:t>
      </w:r>
      <w:r w:rsidR="00E75940">
        <w:rPr>
          <w:lang w:val="en-GB"/>
        </w:rPr>
        <w:t>5850</w:t>
      </w:r>
      <w:r w:rsidR="00E64EE1">
        <w:rPr>
          <w:lang w:val="en-GB"/>
        </w:rPr>
        <w:t xml:space="preserve"> </w:t>
      </w:r>
      <w:r w:rsidR="00790F63">
        <w:rPr>
          <w:lang w:val="en-GB"/>
        </w:rPr>
        <w:t>MHz.</w:t>
      </w:r>
    </w:p>
    <w:p w14:paraId="0A61DCB7" w14:textId="00673D56" w:rsidR="007C154C" w:rsidRDefault="007C154C" w:rsidP="00494DF8">
      <w:pPr>
        <w:rPr>
          <w:lang w:val="en-GB"/>
        </w:rPr>
      </w:pPr>
      <w:r>
        <w:rPr>
          <w:lang w:val="en-GB"/>
        </w:rPr>
        <w:t>Drone jamming devices operate on frequencies used to communicate between a drone and its operator</w:t>
      </w:r>
      <w:r w:rsidR="00A13F4C">
        <w:rPr>
          <w:lang w:val="en-GB"/>
        </w:rPr>
        <w:t>. A</w:t>
      </w:r>
      <w:r>
        <w:rPr>
          <w:lang w:val="en-GB"/>
        </w:rPr>
        <w:t xml:space="preserve"> break of</w:t>
      </w:r>
      <w:r w:rsidRPr="007C0C6B">
        <w:rPr>
          <w:lang w:val="en-GB"/>
        </w:rPr>
        <w:t xml:space="preserve"> communications commonly result</w:t>
      </w:r>
      <w:r>
        <w:rPr>
          <w:lang w:val="en-GB"/>
        </w:rPr>
        <w:t>s</w:t>
      </w:r>
      <w:r w:rsidRPr="007C0C6B">
        <w:rPr>
          <w:lang w:val="en-GB"/>
        </w:rPr>
        <w:t xml:space="preserve"> in a drone returning to its point of origin, or landing.</w:t>
      </w:r>
    </w:p>
    <w:p w14:paraId="2ED386F9" w14:textId="5EA9357F" w:rsidR="00F8619C" w:rsidRDefault="008F2D0F" w:rsidP="00C36FDC">
      <w:pPr>
        <w:rPr>
          <w:lang w:val="en-GB"/>
        </w:rPr>
      </w:pPr>
      <w:r>
        <w:rPr>
          <w:lang w:val="en-GB"/>
        </w:rPr>
        <w:t xml:space="preserve">The proposed instrument </w:t>
      </w:r>
      <w:r w:rsidR="00EF1232">
        <w:rPr>
          <w:lang w:val="en-GB"/>
        </w:rPr>
        <w:t>w</w:t>
      </w:r>
      <w:r w:rsidR="00494DF8">
        <w:rPr>
          <w:lang w:val="en-GB"/>
        </w:rPr>
        <w:t>ill, if made,</w:t>
      </w:r>
      <w:r w:rsidR="00EF1232">
        <w:rPr>
          <w:lang w:val="en-GB"/>
        </w:rPr>
        <w:t xml:space="preserve"> </w:t>
      </w:r>
      <w:r>
        <w:rPr>
          <w:lang w:val="en-GB"/>
        </w:rPr>
        <w:t>exempt relevant AFP officers and</w:t>
      </w:r>
      <w:r w:rsidR="00A13F4C">
        <w:rPr>
          <w:lang w:val="en-GB"/>
        </w:rPr>
        <w:t>—</w:t>
      </w:r>
      <w:r>
        <w:rPr>
          <w:lang w:val="en-GB"/>
        </w:rPr>
        <w:t xml:space="preserve">in relation to </w:t>
      </w:r>
      <w:r w:rsidR="00110875">
        <w:rPr>
          <w:lang w:val="en-GB"/>
        </w:rPr>
        <w:t>training, testing and maintenance activities</w:t>
      </w:r>
      <w:r w:rsidR="00A13F4C">
        <w:rPr>
          <w:lang w:val="en-GB"/>
        </w:rPr>
        <w:t>—</w:t>
      </w:r>
      <w:r w:rsidR="00713DFA">
        <w:rPr>
          <w:lang w:val="en-GB"/>
        </w:rPr>
        <w:t xml:space="preserve">a </w:t>
      </w:r>
      <w:r w:rsidR="00A13F4C">
        <w:rPr>
          <w:lang w:val="en-GB"/>
        </w:rPr>
        <w:t>small number o</w:t>
      </w:r>
      <w:r w:rsidR="00713DFA">
        <w:rPr>
          <w:lang w:val="en-GB"/>
        </w:rPr>
        <w:t>f related persons</w:t>
      </w:r>
      <w:r w:rsidR="00110875">
        <w:rPr>
          <w:lang w:val="en-GB"/>
        </w:rPr>
        <w:t>.</w:t>
      </w:r>
      <w:r w:rsidR="00160C75">
        <w:rPr>
          <w:lang w:val="en-GB"/>
        </w:rPr>
        <w:t xml:space="preserve"> </w:t>
      </w:r>
    </w:p>
    <w:p w14:paraId="053CDFB5" w14:textId="1F2E19E6" w:rsidR="004D7415" w:rsidRDefault="003E2D68" w:rsidP="00C36FDC">
      <w:pPr>
        <w:rPr>
          <w:lang w:val="en-GB"/>
        </w:rPr>
      </w:pPr>
      <w:r>
        <w:rPr>
          <w:lang w:val="en-GB"/>
        </w:rPr>
        <w:t xml:space="preserve">The proposed exemption </w:t>
      </w:r>
      <w:r w:rsidR="00424D53">
        <w:rPr>
          <w:lang w:val="en-GB"/>
        </w:rPr>
        <w:t xml:space="preserve">determination </w:t>
      </w:r>
      <w:r>
        <w:rPr>
          <w:lang w:val="en-GB"/>
        </w:rPr>
        <w:t>relates to the radiocommunications aspects of c</w:t>
      </w:r>
      <w:r w:rsidR="00002BDB">
        <w:rPr>
          <w:lang w:val="en-GB"/>
        </w:rPr>
        <w:t xml:space="preserve">ounter-drone </w:t>
      </w:r>
      <w:r w:rsidR="00A13F4C">
        <w:rPr>
          <w:lang w:val="en-GB"/>
        </w:rPr>
        <w:t>regulation</w:t>
      </w:r>
      <w:r>
        <w:rPr>
          <w:lang w:val="en-GB"/>
        </w:rPr>
        <w:t xml:space="preserve">. Because drones are </w:t>
      </w:r>
      <w:r w:rsidR="00014A7A">
        <w:rPr>
          <w:lang w:val="en-GB"/>
        </w:rPr>
        <w:t xml:space="preserve">remotely piloted </w:t>
      </w:r>
      <w:r>
        <w:rPr>
          <w:lang w:val="en-GB"/>
        </w:rPr>
        <w:t xml:space="preserve">aircraft </w:t>
      </w:r>
      <w:r w:rsidR="00014A7A">
        <w:rPr>
          <w:lang w:val="en-GB"/>
        </w:rPr>
        <w:t>for the purposes of</w:t>
      </w:r>
      <w:r w:rsidR="004356B3">
        <w:rPr>
          <w:lang w:val="en-GB"/>
        </w:rPr>
        <w:t xml:space="preserve"> the aviation regulatory framework,</w:t>
      </w:r>
      <w:r w:rsidR="001F76E6">
        <w:rPr>
          <w:lang w:val="en-GB"/>
        </w:rPr>
        <w:t xml:space="preserve"> the deployment of counter-drone operations by the AFP would also be subject to </w:t>
      </w:r>
      <w:r w:rsidR="00B71DE8">
        <w:rPr>
          <w:lang w:val="en-GB"/>
        </w:rPr>
        <w:t xml:space="preserve">arrangements </w:t>
      </w:r>
      <w:r w:rsidR="00D12EFF">
        <w:rPr>
          <w:lang w:val="en-GB"/>
        </w:rPr>
        <w:t xml:space="preserve">made by CASA </w:t>
      </w:r>
      <w:r w:rsidR="00A90351">
        <w:rPr>
          <w:lang w:val="en-GB"/>
        </w:rPr>
        <w:t xml:space="preserve">in </w:t>
      </w:r>
      <w:r w:rsidR="00D12EFF">
        <w:rPr>
          <w:lang w:val="en-GB"/>
        </w:rPr>
        <w:t xml:space="preserve">relation to </w:t>
      </w:r>
      <w:r w:rsidR="001F76E6">
        <w:rPr>
          <w:lang w:val="en-GB"/>
        </w:rPr>
        <w:t xml:space="preserve">the </w:t>
      </w:r>
      <w:hyperlink r:id="rId27" w:history="1">
        <w:r w:rsidR="00F51160" w:rsidRPr="00820F24">
          <w:rPr>
            <w:rStyle w:val="Hyperlink"/>
            <w:lang w:val="en-GB"/>
          </w:rPr>
          <w:t>Civil Aviation Regulations 1988</w:t>
        </w:r>
      </w:hyperlink>
      <w:r w:rsidR="00F51160">
        <w:rPr>
          <w:i/>
          <w:lang w:val="en-GB"/>
        </w:rPr>
        <w:t xml:space="preserve"> </w:t>
      </w:r>
      <w:r w:rsidR="00F51160">
        <w:rPr>
          <w:lang w:val="en-GB"/>
        </w:rPr>
        <w:t xml:space="preserve">and </w:t>
      </w:r>
      <w:hyperlink r:id="rId28" w:history="1">
        <w:r w:rsidR="00E23A9A" w:rsidRPr="00820F24">
          <w:rPr>
            <w:rStyle w:val="Hyperlink"/>
            <w:lang w:val="en-GB"/>
          </w:rPr>
          <w:t>Civil Aviation</w:t>
        </w:r>
        <w:r w:rsidR="0010535A" w:rsidRPr="00820F24">
          <w:rPr>
            <w:rStyle w:val="Hyperlink"/>
            <w:lang w:val="en-GB"/>
          </w:rPr>
          <w:t xml:space="preserve"> Safety Regulations 1998</w:t>
        </w:r>
      </w:hyperlink>
      <w:r w:rsidR="00A65D02">
        <w:rPr>
          <w:lang w:val="en-GB"/>
        </w:rPr>
        <w:t xml:space="preserve">. </w:t>
      </w:r>
    </w:p>
    <w:p w14:paraId="173DC44B" w14:textId="3479B023" w:rsidR="00514CE9" w:rsidRDefault="00514CE9" w:rsidP="00052162">
      <w:pPr>
        <w:shd w:val="clear" w:color="auto" w:fill="FFFFFF"/>
        <w:jc w:val="both"/>
        <w:rPr>
          <w:lang w:val="en-GB"/>
        </w:rPr>
      </w:pPr>
    </w:p>
    <w:p w14:paraId="55A9A679" w14:textId="77777777" w:rsidR="00715722" w:rsidRDefault="00715722" w:rsidP="00715722">
      <w:pPr>
        <w:pStyle w:val="Heading1"/>
      </w:pPr>
      <w:bookmarkStart w:id="3" w:name="_Toc433122125"/>
      <w:bookmarkStart w:id="4" w:name="_Toc3383559"/>
      <w:bookmarkEnd w:id="1"/>
      <w:bookmarkEnd w:id="2"/>
      <w:r>
        <w:lastRenderedPageBreak/>
        <w:t>Issue</w:t>
      </w:r>
      <w:r w:rsidR="00291917">
        <w:t>s</w:t>
      </w:r>
      <w:r>
        <w:t xml:space="preserve"> for comment</w:t>
      </w:r>
      <w:bookmarkEnd w:id="3"/>
      <w:bookmarkEnd w:id="4"/>
    </w:p>
    <w:p w14:paraId="68644C1E" w14:textId="5904EA56" w:rsidR="00715722" w:rsidRDefault="00424D53" w:rsidP="00715722">
      <w:r>
        <w:t>The</w:t>
      </w:r>
      <w:r w:rsidR="00715722">
        <w:t xml:space="preserve"> ACMA welcomes comment from interested stakeholders on the issues raised in this </w:t>
      </w:r>
      <w:r w:rsidR="003545E8">
        <w:t>consultation</w:t>
      </w:r>
      <w:r w:rsidR="00715722">
        <w:t xml:space="preserve"> </w:t>
      </w:r>
      <w:r w:rsidR="00C537F4">
        <w:t xml:space="preserve">and </w:t>
      </w:r>
      <w:r w:rsidR="00715722">
        <w:t xml:space="preserve">any other issues relevant to </w:t>
      </w:r>
      <w:r w:rsidR="00291917">
        <w:t>radiocommunications arrangements for drone jamming devices.</w:t>
      </w:r>
    </w:p>
    <w:p w14:paraId="6AC904C5" w14:textId="77777777" w:rsidR="00BE4C11" w:rsidRPr="000D76E0" w:rsidRDefault="00717339" w:rsidP="00777BA2">
      <w:pPr>
        <w:pStyle w:val="Heading1"/>
      </w:pPr>
      <w:bookmarkStart w:id="5" w:name="_Toc3383560"/>
      <w:r>
        <w:lastRenderedPageBreak/>
        <w:t>Legislative framework</w:t>
      </w:r>
      <w:bookmarkEnd w:id="5"/>
    </w:p>
    <w:p w14:paraId="056CCC9D" w14:textId="22E4BAA2" w:rsidR="00867AAA" w:rsidRDefault="00867AAA" w:rsidP="00867AAA">
      <w:pPr>
        <w:pStyle w:val="Heading2"/>
      </w:pPr>
      <w:bookmarkStart w:id="6" w:name="_Toc3383561"/>
      <w:bookmarkStart w:id="7" w:name="_Toc348105634"/>
      <w:r>
        <w:t>Devices prohibited by the ACMA</w:t>
      </w:r>
      <w:bookmarkEnd w:id="6"/>
    </w:p>
    <w:p w14:paraId="6BA05EEB" w14:textId="3AAD7377" w:rsidR="005B0363" w:rsidRDefault="005B0363" w:rsidP="00052162">
      <w:r>
        <w:t>The ACMA has made two declarations under section 190 of the Act</w:t>
      </w:r>
      <w:r w:rsidR="0020763E">
        <w:t>,</w:t>
      </w:r>
      <w:r>
        <w:t xml:space="preserve"> which have the effect of prohibiting the operation</w:t>
      </w:r>
      <w:r w:rsidR="0020763E">
        <w:t xml:space="preserve"> or</w:t>
      </w:r>
      <w:r w:rsidR="00C537F4">
        <w:t xml:space="preserve"> </w:t>
      </w:r>
      <w:r>
        <w:t>supply</w:t>
      </w:r>
      <w:r w:rsidR="0020763E">
        <w:t>,</w:t>
      </w:r>
      <w:r>
        <w:t xml:space="preserve"> </w:t>
      </w:r>
      <w:r w:rsidR="00CB1C4E">
        <w:t>and</w:t>
      </w:r>
      <w:r>
        <w:t xml:space="preserve"> possession for purpose of operation or supply</w:t>
      </w:r>
      <w:r w:rsidR="0020763E">
        <w:t>,</w:t>
      </w:r>
      <w:r>
        <w:t xml:space="preserve"> </w:t>
      </w:r>
      <w:r w:rsidR="00867AAA">
        <w:t xml:space="preserve">of </w:t>
      </w:r>
      <w:r>
        <w:t>two types of jamming devices</w:t>
      </w:r>
      <w:r w:rsidR="00C537F4">
        <w:t xml:space="preserve">. These are </w:t>
      </w:r>
      <w:r>
        <w:t xml:space="preserve">the </w:t>
      </w:r>
      <w:hyperlink r:id="rId29" w:history="1">
        <w:r w:rsidRPr="002641A9">
          <w:rPr>
            <w:rStyle w:val="Hyperlink"/>
            <w:iCs/>
          </w:rPr>
          <w:t>Radiocommunications (Prohibited Device) (RNSS Jamming Devices) Declaration 2014</w:t>
        </w:r>
      </w:hyperlink>
      <w:r w:rsidR="00BA517E">
        <w:rPr>
          <w:rFonts w:cs="Arial"/>
          <w:szCs w:val="20"/>
          <w:lang w:val="en-GB"/>
        </w:rPr>
        <w:t xml:space="preserve"> (</w:t>
      </w:r>
      <w:r w:rsidR="00A07FE7" w:rsidRPr="000A50B6">
        <w:rPr>
          <w:rFonts w:cs="Arial"/>
          <w:szCs w:val="20"/>
          <w:lang w:val="en-GB"/>
        </w:rPr>
        <w:t xml:space="preserve">RNSS Jamming Device Prohibition) </w:t>
      </w:r>
      <w:r w:rsidRPr="002641A9">
        <w:t xml:space="preserve">and the </w:t>
      </w:r>
      <w:hyperlink r:id="rId30" w:history="1">
        <w:r w:rsidRPr="002641A9">
          <w:rPr>
            <w:rStyle w:val="Hyperlink"/>
            <w:iCs/>
          </w:rPr>
          <w:t>Radiocommunications (Prohibition of PMTS Jamming Devices) Declaration 2011</w:t>
        </w:r>
      </w:hyperlink>
      <w:r w:rsidR="00BA517E">
        <w:rPr>
          <w:rFonts w:cs="Arial"/>
          <w:szCs w:val="20"/>
          <w:lang w:val="en-GB"/>
        </w:rPr>
        <w:t xml:space="preserve"> (</w:t>
      </w:r>
      <w:r w:rsidR="00A07FE7" w:rsidRPr="000A50B6">
        <w:rPr>
          <w:rFonts w:cs="Arial"/>
          <w:szCs w:val="20"/>
          <w:lang w:val="en-GB"/>
        </w:rPr>
        <w:t>PMTS Jamming Device Prohibition)</w:t>
      </w:r>
      <w:r w:rsidRPr="000A50B6">
        <w:rPr>
          <w:rFonts w:cs="Arial"/>
          <w:szCs w:val="20"/>
          <w:lang w:val="en-GB"/>
        </w:rPr>
        <w:t>.</w:t>
      </w:r>
      <w:r w:rsidR="001F2458">
        <w:rPr>
          <w:rStyle w:val="CommentReference"/>
        </w:rPr>
        <w:t xml:space="preserve"> </w:t>
      </w:r>
    </w:p>
    <w:p w14:paraId="0B9CB99D" w14:textId="4B290393" w:rsidR="001F2458" w:rsidRPr="00AE03F8" w:rsidRDefault="001F2458" w:rsidP="001F2458">
      <w:pPr>
        <w:rPr>
          <w:rFonts w:cs="Arial"/>
          <w:szCs w:val="20"/>
          <w:lang w:val="en-GB"/>
        </w:rPr>
      </w:pPr>
      <w:r>
        <w:rPr>
          <w:rFonts w:eastAsiaTheme="minorHAnsi"/>
          <w:szCs w:val="20"/>
        </w:rPr>
        <w:t>The r</w:t>
      </w:r>
      <w:r w:rsidR="001D38C2" w:rsidRPr="00AE03F8">
        <w:rPr>
          <w:rFonts w:cs="Arial"/>
          <w:szCs w:val="20"/>
        </w:rPr>
        <w:t>adionavigation-satellite service (</w:t>
      </w:r>
      <w:r w:rsidR="001D38C2" w:rsidRPr="001D38C2">
        <w:rPr>
          <w:rFonts w:cs="Arial"/>
          <w:szCs w:val="20"/>
          <w:lang w:val="en-GB"/>
        </w:rPr>
        <w:t>RNSS</w:t>
      </w:r>
      <w:r w:rsidR="001D38C2" w:rsidRPr="0093587D">
        <w:rPr>
          <w:rFonts w:cs="Arial"/>
          <w:szCs w:val="20"/>
          <w:lang w:val="en-GB"/>
        </w:rPr>
        <w:t>)</w:t>
      </w:r>
      <w:r w:rsidR="001D38C2" w:rsidRPr="005E331A">
        <w:rPr>
          <w:rFonts w:cs="Arial"/>
          <w:szCs w:val="20"/>
          <w:lang w:val="en-GB"/>
        </w:rPr>
        <w:t xml:space="preserve"> </w:t>
      </w:r>
      <w:r w:rsidR="001D38C2">
        <w:rPr>
          <w:rFonts w:cs="Arial"/>
          <w:szCs w:val="20"/>
          <w:lang w:val="en-GB"/>
        </w:rPr>
        <w:t>is a system of satellites which</w:t>
      </w:r>
      <w:r w:rsidR="00C76805">
        <w:rPr>
          <w:rFonts w:cs="Arial"/>
          <w:szCs w:val="20"/>
          <w:lang w:val="en-GB"/>
        </w:rPr>
        <w:t>—</w:t>
      </w:r>
      <w:r w:rsidR="001D38C2">
        <w:rPr>
          <w:rFonts w:cs="Arial"/>
          <w:szCs w:val="20"/>
          <w:lang w:val="en-GB"/>
        </w:rPr>
        <w:t>together with supporting infrastructure</w:t>
      </w:r>
      <w:r w:rsidR="00C76805">
        <w:rPr>
          <w:rFonts w:cs="Arial"/>
          <w:szCs w:val="20"/>
          <w:lang w:val="en-GB"/>
        </w:rPr>
        <w:t>—</w:t>
      </w:r>
      <w:r w:rsidR="001D38C2">
        <w:rPr>
          <w:rFonts w:cs="Arial"/>
          <w:szCs w:val="20"/>
          <w:lang w:val="en-GB"/>
        </w:rPr>
        <w:t>provide</w:t>
      </w:r>
      <w:r w:rsidR="00C76805">
        <w:rPr>
          <w:rFonts w:cs="Arial"/>
          <w:szCs w:val="20"/>
          <w:lang w:val="en-GB"/>
        </w:rPr>
        <w:t>s</w:t>
      </w:r>
      <w:r w:rsidR="001D38C2">
        <w:rPr>
          <w:rFonts w:cs="Arial"/>
          <w:szCs w:val="20"/>
          <w:lang w:val="en-GB"/>
        </w:rPr>
        <w:t xml:space="preserve"> accurate positioning, velocity and timing data. The most </w:t>
      </w:r>
      <w:r w:rsidR="00254696">
        <w:rPr>
          <w:rFonts w:cs="Arial"/>
          <w:szCs w:val="20"/>
          <w:lang w:val="en-GB"/>
        </w:rPr>
        <w:t>well-known</w:t>
      </w:r>
      <w:r w:rsidR="001D38C2">
        <w:rPr>
          <w:rFonts w:cs="Arial"/>
          <w:szCs w:val="20"/>
          <w:lang w:val="en-GB"/>
        </w:rPr>
        <w:t xml:space="preserve"> RNSS is the Global Positioning System (GPS). </w:t>
      </w:r>
      <w:r w:rsidRPr="007B1682">
        <w:rPr>
          <w:rFonts w:eastAsiaTheme="minorHAnsi"/>
        </w:rPr>
        <w:t xml:space="preserve">A device is an RNSS </w:t>
      </w:r>
      <w:r w:rsidR="00C76805">
        <w:rPr>
          <w:rFonts w:eastAsiaTheme="minorHAnsi"/>
        </w:rPr>
        <w:t>j</w:t>
      </w:r>
      <w:r w:rsidRPr="007B1682">
        <w:rPr>
          <w:rFonts w:eastAsiaTheme="minorHAnsi"/>
        </w:rPr>
        <w:t xml:space="preserve">amming </w:t>
      </w:r>
      <w:r w:rsidR="00C76805">
        <w:rPr>
          <w:rFonts w:eastAsiaTheme="minorHAnsi"/>
        </w:rPr>
        <w:t>d</w:t>
      </w:r>
      <w:r w:rsidRPr="007B1682">
        <w:rPr>
          <w:rFonts w:eastAsiaTheme="minorHAnsi"/>
        </w:rPr>
        <w:t>evice if it is designed to have an adverse effect on radiocommunications or would be likely to substantially interfere with, disrupt or disturb radiocommunications transmitted on RNSS frequencies.</w:t>
      </w:r>
    </w:p>
    <w:p w14:paraId="02E97CD9" w14:textId="30CAA917" w:rsidR="001F2458" w:rsidRDefault="001F2458" w:rsidP="00052162">
      <w:pPr>
        <w:rPr>
          <w:rFonts w:eastAsiaTheme="minorHAnsi"/>
        </w:rPr>
      </w:pPr>
      <w:r>
        <w:t>A public mobile telecommunications service (PMTS) jamming device is commonly known as a mobile phone jammer.</w:t>
      </w:r>
      <w:r>
        <w:rPr>
          <w:rStyle w:val="FootnoteReference"/>
        </w:rPr>
        <w:footnoteReference w:id="2"/>
      </w:r>
      <w:r>
        <w:t xml:space="preserve"> A device is a PMTS jamming device if </w:t>
      </w:r>
      <w:r w:rsidR="00F76FBA">
        <w:t xml:space="preserve">it </w:t>
      </w:r>
      <w:r>
        <w:t>is designed to have an adverse effect on radiocommunications</w:t>
      </w:r>
      <w:r w:rsidR="00F76FBA">
        <w:t>—</w:t>
      </w:r>
      <w:r>
        <w:t xml:space="preserve">or would be likely </w:t>
      </w:r>
      <w:r w:rsidR="00C352B7">
        <w:t xml:space="preserve">to </w:t>
      </w:r>
      <w:r>
        <w:t>substantially</w:t>
      </w:r>
      <w:r w:rsidR="00C352B7">
        <w:t xml:space="preserve"> </w:t>
      </w:r>
      <w:r>
        <w:t>interfere with, disrupt or disturb radiocommunications</w:t>
      </w:r>
      <w:r w:rsidR="00F76FBA">
        <w:t>—</w:t>
      </w:r>
      <w:r>
        <w:t xml:space="preserve">and operates within one or more frequency bands used for a public mobile telecommunications service. </w:t>
      </w:r>
    </w:p>
    <w:p w14:paraId="026659FB" w14:textId="3598035D" w:rsidR="005B0363" w:rsidRPr="00052162" w:rsidRDefault="001F2458" w:rsidP="000A50B6">
      <w:pPr>
        <w:rPr>
          <w:rFonts w:cs="Arial"/>
        </w:rPr>
      </w:pPr>
      <w:r>
        <w:t>U</w:t>
      </w:r>
      <w:r w:rsidR="005B0363">
        <w:t xml:space="preserve">nder </w:t>
      </w:r>
      <w:r w:rsidR="002512C7">
        <w:t>sub</w:t>
      </w:r>
      <w:r w:rsidR="005B0363">
        <w:t xml:space="preserve">regulation 4(2) of the </w:t>
      </w:r>
      <w:hyperlink r:id="rId31" w:history="1">
        <w:r w:rsidR="005B0363" w:rsidRPr="00CB1C4E">
          <w:rPr>
            <w:rStyle w:val="Hyperlink"/>
            <w:iCs/>
          </w:rPr>
          <w:t>Customs (Prohibited Imports) Regulations 1956</w:t>
        </w:r>
      </w:hyperlink>
      <w:r w:rsidR="005B0363">
        <w:rPr>
          <w:i/>
          <w:iCs/>
        </w:rPr>
        <w:t>,</w:t>
      </w:r>
      <w:r w:rsidR="005B0363">
        <w:t xml:space="preserve"> the importation of specified items is prohibited. </w:t>
      </w:r>
      <w:r w:rsidR="00A311DE">
        <w:t>These i</w:t>
      </w:r>
      <w:r w:rsidR="005B0363">
        <w:t xml:space="preserve">nclude devices </w:t>
      </w:r>
      <w:r w:rsidR="005B0363" w:rsidRPr="00052162">
        <w:rPr>
          <w:rFonts w:cs="Arial"/>
        </w:rPr>
        <w:t>whose operation or supply</w:t>
      </w:r>
      <w:r w:rsidR="00A311DE">
        <w:rPr>
          <w:rFonts w:cs="Arial"/>
        </w:rPr>
        <w:t>—</w:t>
      </w:r>
      <w:r w:rsidR="005B0363" w:rsidRPr="00052162">
        <w:rPr>
          <w:rFonts w:cs="Arial"/>
        </w:rPr>
        <w:t>or whose possession for the purpose of operation or supply</w:t>
      </w:r>
      <w:r w:rsidR="00A311DE">
        <w:rPr>
          <w:rFonts w:cs="Arial"/>
        </w:rPr>
        <w:t>—</w:t>
      </w:r>
      <w:r w:rsidR="005B0363" w:rsidRPr="00052162">
        <w:rPr>
          <w:rFonts w:cs="Arial"/>
        </w:rPr>
        <w:t xml:space="preserve">is prohibited by a declaration under section 190 of the Act. </w:t>
      </w:r>
    </w:p>
    <w:p w14:paraId="08F67295" w14:textId="19AAE4EB" w:rsidR="00CB1C4E" w:rsidRDefault="006F4D78" w:rsidP="00CB1C4E">
      <w:pPr>
        <w:pStyle w:val="Heading2"/>
      </w:pPr>
      <w:bookmarkStart w:id="8" w:name="_Toc3383562"/>
      <w:r>
        <w:t xml:space="preserve">Drones and </w:t>
      </w:r>
      <w:r w:rsidR="00546298">
        <w:t>counter-drone technologies</w:t>
      </w:r>
      <w:bookmarkEnd w:id="8"/>
    </w:p>
    <w:p w14:paraId="3300C157" w14:textId="0FDC8B85" w:rsidR="006F4D78" w:rsidRDefault="006F4D78" w:rsidP="00C36FDC">
      <w:r>
        <w:t xml:space="preserve">Drones are commonly referred to as </w:t>
      </w:r>
      <w:r w:rsidRPr="00CE49A5">
        <w:t>remotely</w:t>
      </w:r>
      <w:r>
        <w:t xml:space="preserve"> piloted aircraft systems (RPAS), unmanned </w:t>
      </w:r>
      <w:r w:rsidR="00B14395">
        <w:t xml:space="preserve">aircraft </w:t>
      </w:r>
      <w:r>
        <w:t xml:space="preserve">systems (UAS) and unmanned </w:t>
      </w:r>
      <w:r w:rsidR="00B14395">
        <w:t xml:space="preserve">aircraft </w:t>
      </w:r>
      <w:r>
        <w:t>(UA).</w:t>
      </w:r>
    </w:p>
    <w:p w14:paraId="1BAF2192" w14:textId="465251CF" w:rsidR="00CA6FC0" w:rsidRDefault="00546298" w:rsidP="00C36FDC">
      <w:r>
        <w:t>C</w:t>
      </w:r>
      <w:r w:rsidR="006F4D78">
        <w:t>ounter-drone technologies</w:t>
      </w:r>
      <w:r w:rsidR="000A50B6">
        <w:t xml:space="preserve"> </w:t>
      </w:r>
      <w:r w:rsidR="006F4D78">
        <w:t xml:space="preserve">can broadly be categorised </w:t>
      </w:r>
      <w:r w:rsidR="00B25E32">
        <w:t xml:space="preserve">as either </w:t>
      </w:r>
      <w:r w:rsidR="006F4D78" w:rsidRPr="00763625">
        <w:t xml:space="preserve">detection </w:t>
      </w:r>
      <w:r w:rsidR="00B25E32">
        <w:t xml:space="preserve">or </w:t>
      </w:r>
      <w:r w:rsidR="00763625" w:rsidRPr="00763625">
        <w:t>response</w:t>
      </w:r>
      <w:r w:rsidR="00763625">
        <w:t xml:space="preserve">. Detection technologies include </w:t>
      </w:r>
      <w:r w:rsidR="006F4D78" w:rsidRPr="00A1441E">
        <w:t>radar, audio, visual, infrared</w:t>
      </w:r>
      <w:r w:rsidR="00B25E32">
        <w:t xml:space="preserve"> and</w:t>
      </w:r>
      <w:r w:rsidR="006F4D78" w:rsidRPr="00A1441E">
        <w:t xml:space="preserve"> radiofrequency scanners</w:t>
      </w:r>
      <w:r w:rsidR="00763625">
        <w:t xml:space="preserve"> </w:t>
      </w:r>
      <w:r w:rsidR="00B25E32">
        <w:t xml:space="preserve">designed </w:t>
      </w:r>
      <w:r w:rsidR="006F4D78">
        <w:t>to detect a potential drone threat to safety and security</w:t>
      </w:r>
      <w:r w:rsidR="00763625">
        <w:t>.</w:t>
      </w:r>
      <w:r w:rsidR="006F4D78">
        <w:t xml:space="preserve"> </w:t>
      </w:r>
      <w:r w:rsidR="00763625">
        <w:t>R</w:t>
      </w:r>
      <w:r w:rsidR="006F4D78" w:rsidRPr="00763625">
        <w:t>esponse</w:t>
      </w:r>
      <w:r w:rsidR="006F4D78">
        <w:t xml:space="preserve"> technologies</w:t>
      </w:r>
      <w:r w:rsidR="00763625">
        <w:t>, which include drone jamming devices,</w:t>
      </w:r>
      <w:r w:rsidR="006F4D78">
        <w:t xml:space="preserve"> aim to intercept or mitigate the potential threat posed by a drone</w:t>
      </w:r>
      <w:r w:rsidR="00763625">
        <w:t xml:space="preserve">. Geofences (virtual barriers) are another type of response technology and </w:t>
      </w:r>
      <w:r w:rsidR="00CA6FC0">
        <w:t>can prevent drones from entering certain locations</w:t>
      </w:r>
      <w:r w:rsidR="000A50B6">
        <w:t>.</w:t>
      </w:r>
      <w:r w:rsidR="00CA6FC0">
        <w:t xml:space="preserve"> </w:t>
      </w:r>
    </w:p>
    <w:p w14:paraId="2B70A591" w14:textId="394E956D" w:rsidR="00546298" w:rsidRDefault="00546298" w:rsidP="00AE03F8">
      <w:pPr>
        <w:pStyle w:val="Heading2"/>
      </w:pPr>
      <w:bookmarkStart w:id="9" w:name="_Toc3383563"/>
      <w:r>
        <w:t>Drone jamming devices</w:t>
      </w:r>
      <w:bookmarkEnd w:id="9"/>
    </w:p>
    <w:p w14:paraId="31426D4A" w14:textId="6E16C7F9" w:rsidR="00FC6206" w:rsidRDefault="00CA6FC0" w:rsidP="00C840A7">
      <w:pPr>
        <w:shd w:val="clear" w:color="auto" w:fill="FFFFFF"/>
      </w:pPr>
      <w:r>
        <w:t xml:space="preserve">Drone jamming devices are a response technology that use </w:t>
      </w:r>
      <w:r w:rsidR="00BE4E27">
        <w:t xml:space="preserve">the </w:t>
      </w:r>
      <w:r>
        <w:t xml:space="preserve">radiofrequency spectrum and </w:t>
      </w:r>
      <w:r w:rsidR="00243825">
        <w:t>sit within a broader range of devices designed to cause interference to radiocommunications</w:t>
      </w:r>
      <w:r>
        <w:t>. Drone jamming devices operate on the frequencies used by drones and interfere with their control signals.</w:t>
      </w:r>
    </w:p>
    <w:p w14:paraId="79D6CA18" w14:textId="213E26D5" w:rsidR="00243825" w:rsidRDefault="00867AAA" w:rsidP="00052162">
      <w:pPr>
        <w:rPr>
          <w:rFonts w:cs="Arial"/>
        </w:rPr>
      </w:pPr>
      <w:r w:rsidRPr="00052162">
        <w:rPr>
          <w:rFonts w:cs="Arial"/>
        </w:rPr>
        <w:lastRenderedPageBreak/>
        <w:t>D</w:t>
      </w:r>
      <w:r w:rsidR="005B0363" w:rsidRPr="00052162">
        <w:rPr>
          <w:rFonts w:cs="Arial"/>
        </w:rPr>
        <w:t>rone jamming device</w:t>
      </w:r>
      <w:r w:rsidR="002512C7">
        <w:rPr>
          <w:rFonts w:cs="Arial"/>
        </w:rPr>
        <w:t>s</w:t>
      </w:r>
      <w:r w:rsidR="005B0363" w:rsidRPr="00052162">
        <w:rPr>
          <w:rFonts w:cs="Arial"/>
        </w:rPr>
        <w:t xml:space="preserve"> </w:t>
      </w:r>
      <w:r w:rsidRPr="00052162">
        <w:rPr>
          <w:rFonts w:cs="Arial"/>
        </w:rPr>
        <w:t xml:space="preserve">that have the capability to jam </w:t>
      </w:r>
      <w:r w:rsidR="005B0363" w:rsidRPr="00052162">
        <w:rPr>
          <w:rFonts w:cs="Arial"/>
        </w:rPr>
        <w:t>RNSS or PMTS frequencies</w:t>
      </w:r>
      <w:r w:rsidRPr="00052162">
        <w:rPr>
          <w:rFonts w:cs="Arial"/>
        </w:rPr>
        <w:t xml:space="preserve"> are, </w:t>
      </w:r>
      <w:r w:rsidR="00243825">
        <w:rPr>
          <w:rFonts w:cs="Arial"/>
        </w:rPr>
        <w:t xml:space="preserve">for </w:t>
      </w:r>
      <w:r w:rsidR="005B0363" w:rsidRPr="00052162">
        <w:rPr>
          <w:rFonts w:cs="Arial"/>
        </w:rPr>
        <w:t xml:space="preserve">the purposes of the RNSS and PMTS </w:t>
      </w:r>
      <w:r w:rsidR="00A7173B">
        <w:rPr>
          <w:rFonts w:cs="Arial"/>
        </w:rPr>
        <w:t>j</w:t>
      </w:r>
      <w:r w:rsidR="000A50B6">
        <w:rPr>
          <w:rFonts w:cs="Arial"/>
        </w:rPr>
        <w:t xml:space="preserve">amming </w:t>
      </w:r>
      <w:r w:rsidR="00A7173B">
        <w:rPr>
          <w:rFonts w:cs="Arial"/>
        </w:rPr>
        <w:t>d</w:t>
      </w:r>
      <w:r w:rsidR="000A50B6">
        <w:rPr>
          <w:rFonts w:cs="Arial"/>
        </w:rPr>
        <w:t xml:space="preserve">evice </w:t>
      </w:r>
      <w:r w:rsidR="00A7173B">
        <w:rPr>
          <w:rFonts w:cs="Arial"/>
        </w:rPr>
        <w:t>p</w:t>
      </w:r>
      <w:r w:rsidR="000A50B6">
        <w:rPr>
          <w:rFonts w:cs="Arial"/>
        </w:rPr>
        <w:t>rohibitions</w:t>
      </w:r>
      <w:r w:rsidR="005B0363" w:rsidRPr="00052162">
        <w:rPr>
          <w:rFonts w:cs="Arial"/>
        </w:rPr>
        <w:t>, RNSS or PMTS jamming device</w:t>
      </w:r>
      <w:r w:rsidR="00243825">
        <w:rPr>
          <w:rFonts w:cs="Arial"/>
        </w:rPr>
        <w:t>s</w:t>
      </w:r>
      <w:r w:rsidR="005B0363" w:rsidRPr="00052162">
        <w:rPr>
          <w:rFonts w:cs="Arial"/>
        </w:rPr>
        <w:t xml:space="preserve">. </w:t>
      </w:r>
    </w:p>
    <w:p w14:paraId="323DB3D0" w14:textId="4B914AEF" w:rsidR="00A07FE7" w:rsidRDefault="00961D0B" w:rsidP="00A07FE7">
      <w:pPr>
        <w:rPr>
          <w:lang w:val="en-GB"/>
        </w:rPr>
      </w:pPr>
      <w:r>
        <w:rPr>
          <w:lang w:val="en-GB"/>
        </w:rPr>
        <w:t xml:space="preserve">The </w:t>
      </w:r>
      <w:r w:rsidR="00A07FE7">
        <w:rPr>
          <w:lang w:val="en-GB"/>
        </w:rPr>
        <w:t xml:space="preserve">devices </w:t>
      </w:r>
      <w:r w:rsidR="00546298">
        <w:rPr>
          <w:lang w:val="en-GB"/>
        </w:rPr>
        <w:t xml:space="preserve">to which the </w:t>
      </w:r>
      <w:r w:rsidR="000A50B6">
        <w:rPr>
          <w:lang w:val="en-GB"/>
        </w:rPr>
        <w:t xml:space="preserve">proposed </w:t>
      </w:r>
      <w:r w:rsidR="00546298">
        <w:rPr>
          <w:lang w:val="en-GB"/>
        </w:rPr>
        <w:t xml:space="preserve">determination would apply </w:t>
      </w:r>
      <w:r w:rsidR="00A07FE7">
        <w:rPr>
          <w:lang w:val="en-GB"/>
        </w:rPr>
        <w:t>are RNSS jamming devices</w:t>
      </w:r>
      <w:r w:rsidR="00A7173B">
        <w:rPr>
          <w:lang w:val="en-GB"/>
        </w:rPr>
        <w:t>. T</w:t>
      </w:r>
      <w:r>
        <w:rPr>
          <w:lang w:val="en-GB"/>
        </w:rPr>
        <w:t xml:space="preserve">he </w:t>
      </w:r>
      <w:r w:rsidR="00A07FE7">
        <w:rPr>
          <w:lang w:val="en-GB"/>
        </w:rPr>
        <w:t xml:space="preserve">proposed determination </w:t>
      </w:r>
      <w:r>
        <w:rPr>
          <w:lang w:val="en-GB"/>
        </w:rPr>
        <w:t>would</w:t>
      </w:r>
      <w:r w:rsidR="00A07FE7">
        <w:rPr>
          <w:lang w:val="en-GB"/>
        </w:rPr>
        <w:t xml:space="preserve"> </w:t>
      </w:r>
      <w:r w:rsidR="00A07FE7" w:rsidRPr="008B67F4">
        <w:rPr>
          <w:lang w:val="en-GB"/>
        </w:rPr>
        <w:t>exempt</w:t>
      </w:r>
      <w:r w:rsidR="00A7173B">
        <w:rPr>
          <w:lang w:val="en-GB"/>
        </w:rPr>
        <w:t>—</w:t>
      </w:r>
      <w:r w:rsidR="005B2A63" w:rsidRPr="008B67F4">
        <w:rPr>
          <w:lang w:val="en-GB"/>
        </w:rPr>
        <w:t>in the circumstances specified</w:t>
      </w:r>
      <w:r w:rsidR="00A7173B">
        <w:rPr>
          <w:lang w:val="en-GB"/>
        </w:rPr>
        <w:t>—</w:t>
      </w:r>
      <w:r w:rsidR="00A07FE7" w:rsidRPr="008B67F4">
        <w:rPr>
          <w:lang w:val="en-GB"/>
        </w:rPr>
        <w:t xml:space="preserve">AFP officers </w:t>
      </w:r>
      <w:r w:rsidR="002756A4">
        <w:rPr>
          <w:lang w:val="en-GB"/>
        </w:rPr>
        <w:t xml:space="preserve">and certain contractors to the AFP, from the operation of Parts 3.1, 4.1 and 4.2 of the Act </w:t>
      </w:r>
      <w:r w:rsidR="002756A4" w:rsidRPr="008B67F4">
        <w:rPr>
          <w:lang w:val="en-GB"/>
        </w:rPr>
        <w:t>in re</w:t>
      </w:r>
      <w:r w:rsidR="002756A4">
        <w:rPr>
          <w:lang w:val="en-GB"/>
        </w:rPr>
        <w:t xml:space="preserve">spect </w:t>
      </w:r>
      <w:r w:rsidR="00A7173B">
        <w:rPr>
          <w:lang w:val="en-GB"/>
        </w:rPr>
        <w:t xml:space="preserve">to </w:t>
      </w:r>
      <w:r w:rsidR="002756A4">
        <w:rPr>
          <w:lang w:val="en-GB"/>
        </w:rPr>
        <w:t xml:space="preserve">certain </w:t>
      </w:r>
      <w:r w:rsidR="002756A4" w:rsidRPr="008B67F4">
        <w:rPr>
          <w:lang w:val="en-GB"/>
        </w:rPr>
        <w:t>acts or omissions regarding drone jamming devices that are RNSS</w:t>
      </w:r>
      <w:r w:rsidR="002756A4">
        <w:rPr>
          <w:lang w:val="en-GB"/>
        </w:rPr>
        <w:t xml:space="preserve"> jamming devices</w:t>
      </w:r>
      <w:r w:rsidR="005B2A63">
        <w:rPr>
          <w:lang w:val="en-GB"/>
        </w:rPr>
        <w:t>.</w:t>
      </w:r>
      <w:r w:rsidR="002261BF">
        <w:rPr>
          <w:lang w:val="en-GB"/>
        </w:rPr>
        <w:t xml:space="preserve"> </w:t>
      </w:r>
      <w:r w:rsidR="004E5728">
        <w:rPr>
          <w:lang w:val="en-GB"/>
        </w:rPr>
        <w:t xml:space="preserve">Although the devices are not proposed to be used in RNSS bands, they are nonetheless prohibited devices because of their capacity to jam </w:t>
      </w:r>
      <w:r w:rsidR="00C352B7">
        <w:rPr>
          <w:lang w:val="en-GB"/>
        </w:rPr>
        <w:t xml:space="preserve">frequencies in </w:t>
      </w:r>
      <w:r w:rsidR="004E5728">
        <w:rPr>
          <w:lang w:val="en-GB"/>
        </w:rPr>
        <w:t>those bands.</w:t>
      </w:r>
      <w:r w:rsidR="002422B3">
        <w:rPr>
          <w:lang w:val="en-GB"/>
        </w:rPr>
        <w:t xml:space="preserve"> An exemption is therefore required to allow </w:t>
      </w:r>
      <w:r w:rsidR="00487354">
        <w:rPr>
          <w:lang w:val="en-GB"/>
        </w:rPr>
        <w:t>the AFP and rel</w:t>
      </w:r>
      <w:r w:rsidR="00473894">
        <w:rPr>
          <w:lang w:val="en-GB"/>
        </w:rPr>
        <w:t>evant</w:t>
      </w:r>
      <w:r w:rsidR="00487354">
        <w:rPr>
          <w:lang w:val="en-GB"/>
        </w:rPr>
        <w:t xml:space="preserve"> persons </w:t>
      </w:r>
      <w:r w:rsidR="002422B3">
        <w:rPr>
          <w:lang w:val="en-GB"/>
        </w:rPr>
        <w:t>to import and possess the devices.</w:t>
      </w:r>
    </w:p>
    <w:p w14:paraId="23FF5ACF" w14:textId="1A9FF08B" w:rsidR="00A07FE7" w:rsidRDefault="001F2458" w:rsidP="001F2458">
      <w:pPr>
        <w:rPr>
          <w:lang w:val="en-GB"/>
        </w:rPr>
      </w:pPr>
      <w:r>
        <w:rPr>
          <w:lang w:val="en-GB"/>
        </w:rPr>
        <w:t xml:space="preserve">The </w:t>
      </w:r>
      <w:r w:rsidR="002C1573">
        <w:rPr>
          <w:lang w:val="en-GB"/>
        </w:rPr>
        <w:t xml:space="preserve">proposed determination does not exempt AFP officers </w:t>
      </w:r>
      <w:r w:rsidR="00A07FE7">
        <w:rPr>
          <w:lang w:val="en-GB"/>
        </w:rPr>
        <w:t xml:space="preserve">from the PMTS Jamming Device Prohibition. </w:t>
      </w:r>
    </w:p>
    <w:p w14:paraId="4C47BC7A" w14:textId="7AEB9ECC" w:rsidR="00867AAA" w:rsidRDefault="00867AAA" w:rsidP="00867AAA">
      <w:pPr>
        <w:pStyle w:val="Heading2"/>
      </w:pPr>
      <w:bookmarkStart w:id="10" w:name="_Toc3383564"/>
      <w:r>
        <w:t>Exemptions determined by the ACMA</w:t>
      </w:r>
      <w:bookmarkEnd w:id="10"/>
    </w:p>
    <w:p w14:paraId="4DC5916A" w14:textId="017643DF" w:rsidR="005B0363" w:rsidRDefault="005B0363" w:rsidP="00052162">
      <w:r>
        <w:t xml:space="preserve">Under </w:t>
      </w:r>
      <w:r w:rsidR="005762F9">
        <w:t>sub</w:t>
      </w:r>
      <w:r>
        <w:t>section 27(2) of the Act, the ACMA may determine that acts or omissions b</w:t>
      </w:r>
      <w:r w:rsidR="00243825">
        <w:t>y members of a class of persons</w:t>
      </w:r>
      <w:r>
        <w:t xml:space="preserve"> to whom section 27 applies are exempt from any or all of Parts 3.1, 4.1 and 4.2 of the Act, or from</w:t>
      </w:r>
      <w:r w:rsidR="00E3296E">
        <w:t xml:space="preserve"> specified provisions of those P</w:t>
      </w:r>
      <w:r>
        <w:t>arts.</w:t>
      </w:r>
    </w:p>
    <w:p w14:paraId="2F685EA2" w14:textId="1BF8CB4F" w:rsidR="005B0363" w:rsidRDefault="005B0363" w:rsidP="00052162">
      <w:r>
        <w:t>Section 27 provides that the ACMA may provide exemptions through written determinations for:</w:t>
      </w:r>
    </w:p>
    <w:p w14:paraId="52033F7F" w14:textId="5C616221" w:rsidR="005B0363" w:rsidRPr="00867AAA" w:rsidRDefault="00744141" w:rsidP="007339D1">
      <w:pPr>
        <w:pStyle w:val="ListBullet"/>
        <w:numPr>
          <w:ilvl w:val="0"/>
          <w:numId w:val="11"/>
        </w:numPr>
        <w:tabs>
          <w:tab w:val="num" w:pos="295"/>
        </w:tabs>
        <w:ind w:left="295" w:hanging="295"/>
        <w:rPr>
          <w:rFonts w:cs="Arial"/>
        </w:rPr>
      </w:pPr>
      <w:r>
        <w:rPr>
          <w:rFonts w:cs="Arial"/>
        </w:rPr>
        <w:t>p</w:t>
      </w:r>
      <w:r w:rsidR="005B0363" w:rsidRPr="00867AAA">
        <w:rPr>
          <w:rFonts w:cs="Arial"/>
        </w:rPr>
        <w:t>ersons performing certain functions or duties in relation to defence, security or international relations</w:t>
      </w:r>
    </w:p>
    <w:p w14:paraId="61A7D263" w14:textId="308EF481" w:rsidR="005B0363" w:rsidRPr="00867AAA" w:rsidRDefault="00744141" w:rsidP="007339D1">
      <w:pPr>
        <w:pStyle w:val="ListBullet"/>
        <w:numPr>
          <w:ilvl w:val="0"/>
          <w:numId w:val="11"/>
        </w:numPr>
        <w:tabs>
          <w:tab w:val="num" w:pos="295"/>
        </w:tabs>
        <w:ind w:left="295" w:hanging="295"/>
        <w:rPr>
          <w:rFonts w:cs="Arial"/>
        </w:rPr>
      </w:pPr>
      <w:r>
        <w:rPr>
          <w:rFonts w:cs="Arial"/>
        </w:rPr>
        <w:t>p</w:t>
      </w:r>
      <w:r w:rsidR="005B0363" w:rsidRPr="00867AAA">
        <w:rPr>
          <w:rFonts w:cs="Arial"/>
        </w:rPr>
        <w:t xml:space="preserve">ersons performing certain functions or duties in relation to a limited number of specified bodies, concerned with defence, law enforcement and emergency services. </w:t>
      </w:r>
    </w:p>
    <w:p w14:paraId="52BCD197" w14:textId="4B0CEC35" w:rsidR="005B0363" w:rsidRDefault="005B0363" w:rsidP="00052162">
      <w:r>
        <w:t xml:space="preserve">There are a range of scenarios in which use of jamming devices may be warranted. The ACMA </w:t>
      </w:r>
      <w:r w:rsidR="00494DF8">
        <w:t xml:space="preserve">previously </w:t>
      </w:r>
      <w:r>
        <w:t xml:space="preserve">has determined a number of exemptions, </w:t>
      </w:r>
      <w:r w:rsidR="00DF41E7">
        <w:t xml:space="preserve">which </w:t>
      </w:r>
      <w:r>
        <w:t xml:space="preserve">exempt specified persons from parts, or specified provisions of parts, of the Act </w:t>
      </w:r>
      <w:r w:rsidR="00DA52BF">
        <w:t xml:space="preserve">in relation </w:t>
      </w:r>
      <w:r>
        <w:t>to operation (and supply) of prohibited or unlicensed devices, and to causing interference in specified circumstances. Examples of such determinations include:</w:t>
      </w:r>
    </w:p>
    <w:p w14:paraId="30C178C8" w14:textId="49CE8033" w:rsidR="005B0363" w:rsidRPr="009C4FDC" w:rsidRDefault="008D786C" w:rsidP="007339D1">
      <w:pPr>
        <w:pStyle w:val="ListParagraph"/>
        <w:numPr>
          <w:ilvl w:val="0"/>
          <w:numId w:val="12"/>
        </w:numPr>
        <w:spacing w:after="80" w:line="240" w:lineRule="atLeast"/>
        <w:ind w:left="284" w:hanging="284"/>
        <w:rPr>
          <w:rFonts w:ascii="Arial" w:hAnsi="Arial" w:cs="Arial"/>
          <w:sz w:val="20"/>
        </w:rPr>
      </w:pPr>
      <w:hyperlink r:id="rId32" w:history="1">
        <w:r w:rsidR="005B0363" w:rsidRPr="009C4FDC">
          <w:rPr>
            <w:rStyle w:val="Hyperlink"/>
            <w:rFonts w:ascii="Arial" w:hAnsi="Arial" w:cs="Arial"/>
            <w:iCs/>
            <w:sz w:val="20"/>
          </w:rPr>
          <w:t>Radiocommunications (PMTS Jamming Devices – Visiting Forces and Suppliers) Exemption Determination 2011</w:t>
        </w:r>
      </w:hyperlink>
    </w:p>
    <w:p w14:paraId="09434BDA" w14:textId="1219014B" w:rsidR="005B0363" w:rsidRPr="009C4FDC" w:rsidRDefault="008D786C" w:rsidP="007339D1">
      <w:pPr>
        <w:pStyle w:val="ListBullet"/>
        <w:numPr>
          <w:ilvl w:val="0"/>
          <w:numId w:val="11"/>
        </w:numPr>
        <w:tabs>
          <w:tab w:val="num" w:pos="295"/>
        </w:tabs>
        <w:ind w:left="295" w:hanging="295"/>
        <w:rPr>
          <w:rFonts w:cs="Arial"/>
        </w:rPr>
      </w:pPr>
      <w:hyperlink r:id="rId33" w:history="1">
        <w:r w:rsidR="005B0363" w:rsidRPr="009C4FDC">
          <w:rPr>
            <w:rStyle w:val="Hyperlink"/>
            <w:rFonts w:cs="Arial"/>
          </w:rPr>
          <w:t>Radiocommunications (Prohibited Device) (RNSS Jamming Devices) Exemption Determination 2014</w:t>
        </w:r>
      </w:hyperlink>
    </w:p>
    <w:p w14:paraId="6176C786" w14:textId="44275281" w:rsidR="00052162" w:rsidRPr="00052162" w:rsidRDefault="008D786C" w:rsidP="007339D1">
      <w:pPr>
        <w:pStyle w:val="ListParagraph"/>
        <w:numPr>
          <w:ilvl w:val="0"/>
          <w:numId w:val="12"/>
        </w:numPr>
        <w:spacing w:after="80" w:line="240" w:lineRule="atLeast"/>
        <w:ind w:left="284" w:hanging="284"/>
        <w:rPr>
          <w:rStyle w:val="Hyperlink"/>
          <w:rFonts w:ascii="Arial" w:hAnsi="Arial" w:cs="Arial"/>
          <w:i/>
          <w:iCs/>
          <w:sz w:val="20"/>
        </w:rPr>
      </w:pPr>
      <w:hyperlink r:id="rId34" w:history="1">
        <w:r w:rsidR="005B0363" w:rsidRPr="009C4FDC">
          <w:rPr>
            <w:rStyle w:val="Hyperlink"/>
            <w:rFonts w:ascii="Arial" w:hAnsi="Arial" w:cs="Arial"/>
            <w:iCs/>
            <w:sz w:val="20"/>
          </w:rPr>
          <w:t>Radiocommunications (Prohibited Devices) (Use of Electronic Counter Measures for Bomb Disposal Activities) Exemption Determination 2010</w:t>
        </w:r>
      </w:hyperlink>
      <w:r w:rsidR="00052162">
        <w:rPr>
          <w:rFonts w:ascii="Arial" w:hAnsi="Arial" w:cs="Arial"/>
          <w:sz w:val="20"/>
        </w:rPr>
        <w:t>.</w:t>
      </w:r>
    </w:p>
    <w:p w14:paraId="37E137B4" w14:textId="77777777" w:rsidR="005B0363" w:rsidRPr="001E2715" w:rsidRDefault="005B0363" w:rsidP="00291917">
      <w:pPr>
        <w:shd w:val="clear" w:color="auto" w:fill="FFFFFF"/>
        <w:spacing w:after="80" w:line="240" w:lineRule="auto"/>
        <w:jc w:val="both"/>
        <w:rPr>
          <w:lang w:val="en-GB"/>
        </w:rPr>
      </w:pPr>
    </w:p>
    <w:p w14:paraId="335CBB45" w14:textId="3D77D7EB" w:rsidR="001C62B8" w:rsidRDefault="001C62B8" w:rsidP="001C62B8">
      <w:pPr>
        <w:pStyle w:val="Heading1"/>
      </w:pPr>
      <w:bookmarkStart w:id="11" w:name="_Toc3383565"/>
      <w:bookmarkEnd w:id="7"/>
      <w:r>
        <w:lastRenderedPageBreak/>
        <w:t>Relevant radiocommunications considerations</w:t>
      </w:r>
      <w:bookmarkEnd w:id="11"/>
    </w:p>
    <w:p w14:paraId="0C5E78CB" w14:textId="294D3AE9" w:rsidR="00746767" w:rsidRDefault="009D324A" w:rsidP="00052162">
      <w:pPr>
        <w:rPr>
          <w:rFonts w:cs="Arial"/>
        </w:rPr>
      </w:pPr>
      <w:r>
        <w:rPr>
          <w:rFonts w:cs="Arial"/>
        </w:rPr>
        <w:t>We have</w:t>
      </w:r>
      <w:r w:rsidR="00D46D44">
        <w:rPr>
          <w:rFonts w:cs="Arial"/>
        </w:rPr>
        <w:t xml:space="preserve"> assessed the AFP’s application for an exemption </w:t>
      </w:r>
      <w:r w:rsidR="0020261E">
        <w:rPr>
          <w:rFonts w:cs="Arial"/>
        </w:rPr>
        <w:t xml:space="preserve">determination </w:t>
      </w:r>
      <w:r w:rsidR="007A3503">
        <w:rPr>
          <w:rFonts w:cs="Arial"/>
        </w:rPr>
        <w:t xml:space="preserve">made pursuant to subsection 27(2) of the Act </w:t>
      </w:r>
      <w:r w:rsidR="00D46D44">
        <w:rPr>
          <w:rFonts w:cs="Arial"/>
        </w:rPr>
        <w:t xml:space="preserve">against the </w:t>
      </w:r>
      <w:hyperlink r:id="rId35" w:history="1">
        <w:r w:rsidR="00D46D44" w:rsidRPr="00D46D44">
          <w:rPr>
            <w:rStyle w:val="Hyperlink"/>
            <w:rFonts w:cs="Arial"/>
          </w:rPr>
          <w:t>Principles for Spectrum Management</w:t>
        </w:r>
      </w:hyperlink>
      <w:r w:rsidR="00D46D44">
        <w:rPr>
          <w:rFonts w:cs="Arial"/>
        </w:rPr>
        <w:t xml:space="preserve">. </w:t>
      </w:r>
      <w:r w:rsidR="003E6549" w:rsidRPr="0083367B">
        <w:rPr>
          <w:rFonts w:cs="Arial"/>
        </w:rPr>
        <w:t xml:space="preserve">There is a public interest in providing </w:t>
      </w:r>
      <w:r w:rsidR="008A70F6">
        <w:rPr>
          <w:rFonts w:cs="Arial"/>
        </w:rPr>
        <w:t xml:space="preserve">counter-drone capability </w:t>
      </w:r>
      <w:r w:rsidR="00552BC6">
        <w:rPr>
          <w:rFonts w:cs="Arial"/>
        </w:rPr>
        <w:t xml:space="preserve">for AFP operations, both pre-planned </w:t>
      </w:r>
      <w:r w:rsidR="008A70F6">
        <w:rPr>
          <w:rFonts w:cs="Arial"/>
        </w:rPr>
        <w:t xml:space="preserve">at major </w:t>
      </w:r>
      <w:r w:rsidR="00552BC6">
        <w:rPr>
          <w:rFonts w:cs="Arial"/>
        </w:rPr>
        <w:t>events and in response to immediate threats.</w:t>
      </w:r>
      <w:r w:rsidR="001C62B8">
        <w:rPr>
          <w:rFonts w:cs="Arial"/>
        </w:rPr>
        <w:t xml:space="preserve"> The radiocommunications </w:t>
      </w:r>
      <w:r w:rsidR="00C62262">
        <w:rPr>
          <w:rFonts w:cs="Arial"/>
        </w:rPr>
        <w:t xml:space="preserve">exemption </w:t>
      </w:r>
      <w:r w:rsidR="001C62B8">
        <w:rPr>
          <w:rFonts w:cs="Arial"/>
        </w:rPr>
        <w:t xml:space="preserve">framework can play an enabling role in </w:t>
      </w:r>
      <w:r w:rsidR="00C62262">
        <w:rPr>
          <w:rFonts w:cs="Arial"/>
        </w:rPr>
        <w:t>facilitating that capacity</w:t>
      </w:r>
      <w:r w:rsidR="001C62B8">
        <w:rPr>
          <w:rFonts w:cs="Arial"/>
        </w:rPr>
        <w:t xml:space="preserve"> while managing the risks associated with the interference potential of the devices.</w:t>
      </w:r>
    </w:p>
    <w:p w14:paraId="02538CEA" w14:textId="6A3D8AE7" w:rsidR="00E1314D" w:rsidRDefault="00D46D44" w:rsidP="00052162">
      <w:pPr>
        <w:rPr>
          <w:rFonts w:cs="Arial"/>
        </w:rPr>
      </w:pPr>
      <w:r w:rsidRPr="000A50B6">
        <w:rPr>
          <w:rFonts w:cs="Arial"/>
        </w:rPr>
        <w:t xml:space="preserve">In examining the proposal, </w:t>
      </w:r>
      <w:r w:rsidR="009D324A" w:rsidRPr="000A50B6">
        <w:rPr>
          <w:rFonts w:cs="Arial"/>
        </w:rPr>
        <w:t>we have</w:t>
      </w:r>
      <w:r w:rsidRPr="000A50B6">
        <w:rPr>
          <w:rFonts w:cs="Arial"/>
        </w:rPr>
        <w:t xml:space="preserve"> </w:t>
      </w:r>
      <w:r w:rsidR="003E6549" w:rsidRPr="000A50B6">
        <w:rPr>
          <w:rFonts w:cs="Arial"/>
        </w:rPr>
        <w:t xml:space="preserve">weighed the low likelihood of the devices being activated against the potential </w:t>
      </w:r>
      <w:r w:rsidR="009D324A" w:rsidRPr="000A50B6">
        <w:rPr>
          <w:rFonts w:cs="Arial"/>
        </w:rPr>
        <w:t>impact on</w:t>
      </w:r>
      <w:r w:rsidR="003E6549" w:rsidRPr="000A50B6">
        <w:rPr>
          <w:rFonts w:cs="Arial"/>
        </w:rPr>
        <w:t xml:space="preserve"> other spectrum users</w:t>
      </w:r>
      <w:r w:rsidR="00F93205">
        <w:rPr>
          <w:rFonts w:cs="Arial"/>
        </w:rPr>
        <w:t xml:space="preserve"> </w:t>
      </w:r>
      <w:r w:rsidR="005C2520">
        <w:rPr>
          <w:rFonts w:cs="Arial"/>
        </w:rPr>
        <w:t>in</w:t>
      </w:r>
      <w:r w:rsidR="00F93205">
        <w:rPr>
          <w:rFonts w:cs="Arial"/>
        </w:rPr>
        <w:t xml:space="preserve"> the event that the jamming devices </w:t>
      </w:r>
      <w:r w:rsidR="005C2520">
        <w:rPr>
          <w:rFonts w:cs="Arial"/>
        </w:rPr>
        <w:t>are</w:t>
      </w:r>
      <w:r w:rsidR="00F93205">
        <w:rPr>
          <w:rFonts w:cs="Arial"/>
        </w:rPr>
        <w:t xml:space="preserve"> triggered</w:t>
      </w:r>
      <w:r w:rsidR="003E6549" w:rsidRPr="000A50B6">
        <w:rPr>
          <w:rFonts w:cs="Arial"/>
        </w:rPr>
        <w:t xml:space="preserve">. We have also taken into consideration the </w:t>
      </w:r>
      <w:r w:rsidR="00FD59A3">
        <w:rPr>
          <w:rFonts w:cs="Arial"/>
        </w:rPr>
        <w:t xml:space="preserve">operational </w:t>
      </w:r>
      <w:r w:rsidR="00D877E7">
        <w:rPr>
          <w:rFonts w:cs="Arial"/>
        </w:rPr>
        <w:t>and procedural steps that</w:t>
      </w:r>
      <w:r w:rsidR="00C45895">
        <w:rPr>
          <w:rFonts w:cs="Arial"/>
        </w:rPr>
        <w:t xml:space="preserve"> the</w:t>
      </w:r>
      <w:r w:rsidR="00D877E7">
        <w:rPr>
          <w:rFonts w:cs="Arial"/>
        </w:rPr>
        <w:t xml:space="preserve"> </w:t>
      </w:r>
      <w:r w:rsidR="003E6549" w:rsidRPr="000A50B6">
        <w:rPr>
          <w:rFonts w:cs="Arial"/>
        </w:rPr>
        <w:t xml:space="preserve">AFP </w:t>
      </w:r>
      <w:r w:rsidR="00D877E7">
        <w:rPr>
          <w:rFonts w:cs="Arial"/>
        </w:rPr>
        <w:t>has proposed to manage the devices and limit their use</w:t>
      </w:r>
      <w:r w:rsidR="00A86526">
        <w:rPr>
          <w:rFonts w:cs="Arial"/>
        </w:rPr>
        <w:t xml:space="preserve">. </w:t>
      </w:r>
      <w:r w:rsidR="00995078">
        <w:rPr>
          <w:rFonts w:cs="Arial"/>
        </w:rPr>
        <w:t xml:space="preserve">We note that at </w:t>
      </w:r>
      <w:r w:rsidR="008817ED">
        <w:rPr>
          <w:rFonts w:cs="Arial"/>
        </w:rPr>
        <w:t xml:space="preserve">the </w:t>
      </w:r>
      <w:r w:rsidR="00995078">
        <w:rPr>
          <w:rFonts w:cs="Arial"/>
        </w:rPr>
        <w:t xml:space="preserve">major events at which the jamming devices </w:t>
      </w:r>
      <w:r w:rsidR="00C36FDC">
        <w:rPr>
          <w:rFonts w:cs="Arial"/>
        </w:rPr>
        <w:t>could</w:t>
      </w:r>
      <w:r w:rsidR="00995078">
        <w:rPr>
          <w:rFonts w:cs="Arial"/>
        </w:rPr>
        <w:t xml:space="preserve"> be deployed</w:t>
      </w:r>
      <w:r w:rsidR="008817ED">
        <w:rPr>
          <w:rFonts w:cs="Arial"/>
        </w:rPr>
        <w:t>,</w:t>
      </w:r>
      <w:r w:rsidR="00995078">
        <w:rPr>
          <w:rFonts w:cs="Arial"/>
        </w:rPr>
        <w:t xml:space="preserve"> public awareness campaigns and event-specific airspace arrangements that restrict the operation of drones are typically in force. We have also considered </w:t>
      </w:r>
      <w:r w:rsidR="005C2520">
        <w:rPr>
          <w:rFonts w:cs="Arial"/>
        </w:rPr>
        <w:t xml:space="preserve">the fact that </w:t>
      </w:r>
      <w:r w:rsidR="00B557C5">
        <w:rPr>
          <w:rFonts w:cs="Arial"/>
        </w:rPr>
        <w:t>the AFP will also be bound by additional regulatory arrangements to be determined by CASA</w:t>
      </w:r>
      <w:r w:rsidR="00995078">
        <w:rPr>
          <w:rFonts w:cs="Arial"/>
        </w:rPr>
        <w:t xml:space="preserve">, and the AFP would be operating </w:t>
      </w:r>
      <w:r w:rsidR="008817ED">
        <w:rPr>
          <w:rFonts w:cs="Arial"/>
        </w:rPr>
        <w:t xml:space="preserve">to counter </w:t>
      </w:r>
      <w:r w:rsidR="00995078">
        <w:rPr>
          <w:rFonts w:cs="Arial"/>
        </w:rPr>
        <w:t xml:space="preserve">drones that may be committing offences in relation to the </w:t>
      </w:r>
      <w:r w:rsidR="00995078" w:rsidRPr="00D913C6">
        <w:rPr>
          <w:rFonts w:cs="Arial"/>
        </w:rPr>
        <w:t>Civil Aviation Safety Regulations 1998</w:t>
      </w:r>
      <w:r w:rsidR="00B557C5">
        <w:rPr>
          <w:rFonts w:cs="Arial"/>
        </w:rPr>
        <w:t>.</w:t>
      </w:r>
    </w:p>
    <w:p w14:paraId="0D74E9F7" w14:textId="57CF188F" w:rsidR="005F5FB7" w:rsidRDefault="00E1314D" w:rsidP="003E6549">
      <w:pPr>
        <w:rPr>
          <w:rFonts w:cs="Arial"/>
        </w:rPr>
      </w:pPr>
      <w:r>
        <w:rPr>
          <w:rFonts w:cs="Arial"/>
        </w:rPr>
        <w:t xml:space="preserve">We have </w:t>
      </w:r>
      <w:r w:rsidR="00587A3E">
        <w:rPr>
          <w:rFonts w:cs="Arial"/>
        </w:rPr>
        <w:t xml:space="preserve">also </w:t>
      </w:r>
      <w:r>
        <w:rPr>
          <w:rFonts w:cs="Arial"/>
        </w:rPr>
        <w:t xml:space="preserve">considered </w:t>
      </w:r>
      <w:r w:rsidR="005F5FB7">
        <w:rPr>
          <w:rFonts w:cs="Arial"/>
        </w:rPr>
        <w:t xml:space="preserve">the evolving policy landscape in relation to </w:t>
      </w:r>
      <w:r w:rsidR="00D36CA1">
        <w:rPr>
          <w:rFonts w:cs="Arial"/>
        </w:rPr>
        <w:t xml:space="preserve">the management of </w:t>
      </w:r>
      <w:r w:rsidR="005F5FB7">
        <w:rPr>
          <w:rFonts w:cs="Arial"/>
        </w:rPr>
        <w:t>drones</w:t>
      </w:r>
      <w:r w:rsidR="00D36CA1">
        <w:rPr>
          <w:rFonts w:cs="Arial"/>
        </w:rPr>
        <w:t>, both in Australia and overseas.</w:t>
      </w:r>
    </w:p>
    <w:p w14:paraId="627BECA1" w14:textId="3C4E9532" w:rsidR="00C45895" w:rsidRDefault="00CF6715" w:rsidP="003E6549">
      <w:pPr>
        <w:rPr>
          <w:rFonts w:cs="Arial"/>
        </w:rPr>
      </w:pPr>
      <w:r>
        <w:rPr>
          <w:rFonts w:cs="Arial"/>
        </w:rPr>
        <w:t xml:space="preserve">In November 2018, the Australian Government released its </w:t>
      </w:r>
      <w:hyperlink r:id="rId36" w:history="1">
        <w:r w:rsidRPr="007C1919">
          <w:rPr>
            <w:rStyle w:val="Hyperlink"/>
            <w:rFonts w:cs="Arial"/>
          </w:rPr>
          <w:t>response</w:t>
        </w:r>
      </w:hyperlink>
      <w:r>
        <w:rPr>
          <w:rFonts w:cs="Arial"/>
        </w:rPr>
        <w:t xml:space="preserve"> to the Senate Standing Committee on Rural and Regional Affairs and Transport report</w:t>
      </w:r>
      <w:r w:rsidR="008817ED">
        <w:rPr>
          <w:rFonts w:cs="Arial"/>
        </w:rPr>
        <w:t xml:space="preserve">, </w:t>
      </w:r>
      <w:hyperlink r:id="rId37" w:history="1">
        <w:r w:rsidRPr="007C1919">
          <w:rPr>
            <w:rStyle w:val="Hyperlink"/>
            <w:rFonts w:cs="Arial"/>
            <w:i/>
          </w:rPr>
          <w:t>Regulatory requirements that impact on the safe use of Remotely Piloted Aircraft Systems, Unmanned Aerial Systems and associated systems</w:t>
        </w:r>
      </w:hyperlink>
      <w:r w:rsidR="001F5B37">
        <w:rPr>
          <w:rFonts w:cs="Arial"/>
        </w:rPr>
        <w:t xml:space="preserve">. </w:t>
      </w:r>
      <w:r w:rsidR="00CE6C92">
        <w:rPr>
          <w:rFonts w:cs="Arial"/>
        </w:rPr>
        <w:t>T</w:t>
      </w:r>
      <w:r w:rsidR="001F5B37">
        <w:rPr>
          <w:rFonts w:cs="Arial"/>
        </w:rPr>
        <w:t xml:space="preserve">he </w:t>
      </w:r>
      <w:r w:rsidR="008817ED">
        <w:rPr>
          <w:rFonts w:cs="Arial"/>
        </w:rPr>
        <w:t>g</w:t>
      </w:r>
      <w:r w:rsidR="001F5B37">
        <w:rPr>
          <w:rFonts w:cs="Arial"/>
        </w:rPr>
        <w:t>overnment agreed in principle with the report’s recommendation that CASA, in cooperation with the AFP and other relevant authorities, prohibit the use of drones in the airspace about significant p</w:t>
      </w:r>
      <w:r w:rsidR="00CE6C92">
        <w:rPr>
          <w:rFonts w:cs="Arial"/>
        </w:rPr>
        <w:t>ublic buildings, critical infrastructure and other vulnerable areas.</w:t>
      </w:r>
      <w:r w:rsidR="00E907CE">
        <w:rPr>
          <w:rFonts w:cs="Arial"/>
        </w:rPr>
        <w:t xml:space="preserve"> </w:t>
      </w:r>
      <w:r w:rsidR="00C0080B">
        <w:rPr>
          <w:rFonts w:cs="Arial"/>
        </w:rPr>
        <w:t>T</w:t>
      </w:r>
      <w:r w:rsidR="00E907CE">
        <w:rPr>
          <w:rFonts w:cs="Arial"/>
        </w:rPr>
        <w:t xml:space="preserve">he proposed exemption could facilitate </w:t>
      </w:r>
      <w:r w:rsidR="00503352">
        <w:rPr>
          <w:rFonts w:cs="Arial"/>
        </w:rPr>
        <w:t>outcomes associated with that recommendation.</w:t>
      </w:r>
    </w:p>
    <w:p w14:paraId="694F983E" w14:textId="12D9CF98" w:rsidR="007418DE" w:rsidRDefault="007418DE" w:rsidP="007418DE">
      <w:pPr>
        <w:spacing w:after="0"/>
        <w:rPr>
          <w:color w:val="000000" w:themeColor="text1"/>
        </w:rPr>
      </w:pPr>
      <w:r>
        <w:rPr>
          <w:color w:val="000000" w:themeColor="text1"/>
        </w:rPr>
        <w:t>The U</w:t>
      </w:r>
      <w:r w:rsidR="00793DD2">
        <w:rPr>
          <w:color w:val="000000" w:themeColor="text1"/>
        </w:rPr>
        <w:t xml:space="preserve">nited </w:t>
      </w:r>
      <w:r>
        <w:rPr>
          <w:color w:val="000000" w:themeColor="text1"/>
        </w:rPr>
        <w:t>S</w:t>
      </w:r>
      <w:r w:rsidR="00793DD2">
        <w:rPr>
          <w:color w:val="000000" w:themeColor="text1"/>
        </w:rPr>
        <w:t>tates</w:t>
      </w:r>
      <w:r>
        <w:rPr>
          <w:color w:val="000000" w:themeColor="text1"/>
        </w:rPr>
        <w:t xml:space="preserve"> has recently enacted the </w:t>
      </w:r>
      <w:hyperlink r:id="rId38" w:anchor="toc-HD2A0483793E44C0CA59630A12C2F8AF1" w:history="1">
        <w:r w:rsidRPr="006F7F68">
          <w:rPr>
            <w:rStyle w:val="Hyperlink"/>
            <w:i/>
          </w:rPr>
          <w:t>Preventing Emerging Threats Act 2018</w:t>
        </w:r>
      </w:hyperlink>
      <w:r>
        <w:rPr>
          <w:color w:val="000000" w:themeColor="text1"/>
        </w:rPr>
        <w:t xml:space="preserve"> to address the threat posed by </w:t>
      </w:r>
      <w:r w:rsidR="00763625">
        <w:rPr>
          <w:color w:val="000000" w:themeColor="text1"/>
        </w:rPr>
        <w:t>drones</w:t>
      </w:r>
      <w:r>
        <w:rPr>
          <w:color w:val="000000" w:themeColor="text1"/>
        </w:rPr>
        <w:t xml:space="preserve">. The </w:t>
      </w:r>
      <w:r w:rsidR="00763625" w:rsidRPr="009B4F4E">
        <w:rPr>
          <w:color w:val="000000" w:themeColor="text1"/>
        </w:rPr>
        <w:t>Preventing Emerging Threats Act</w:t>
      </w:r>
      <w:r w:rsidR="00763625">
        <w:rPr>
          <w:i/>
          <w:color w:val="000000" w:themeColor="text1"/>
        </w:rPr>
        <w:t xml:space="preserve"> </w:t>
      </w:r>
      <w:r>
        <w:rPr>
          <w:color w:val="000000" w:themeColor="text1"/>
        </w:rPr>
        <w:t>permits the Department of Homeland Security (DHS) and the Department of Justice (DOJ) to use counter-UAS technology in a broad range of circumstances where a UAS threatens public safety or national security.</w:t>
      </w:r>
      <w:r w:rsidR="0049302B">
        <w:rPr>
          <w:color w:val="000000" w:themeColor="text1"/>
        </w:rPr>
        <w:t xml:space="preserve"> The use of radiofrequency jamming technology would be authorised under the legislation.</w:t>
      </w:r>
    </w:p>
    <w:p w14:paraId="73597E98" w14:textId="77777777" w:rsidR="007418DE" w:rsidRDefault="007418DE" w:rsidP="007418DE">
      <w:pPr>
        <w:spacing w:after="0"/>
        <w:rPr>
          <w:b/>
          <w:color w:val="000000" w:themeColor="text1"/>
        </w:rPr>
      </w:pPr>
    </w:p>
    <w:p w14:paraId="33A13AB9" w14:textId="17420996" w:rsidR="007418DE" w:rsidRDefault="007418DE" w:rsidP="007418DE">
      <w:pPr>
        <w:spacing w:after="0"/>
        <w:rPr>
          <w:color w:val="000000" w:themeColor="text1"/>
        </w:rPr>
      </w:pPr>
      <w:r>
        <w:rPr>
          <w:color w:val="000000" w:themeColor="text1"/>
        </w:rPr>
        <w:t>The U</w:t>
      </w:r>
      <w:r w:rsidR="00793DD2">
        <w:rPr>
          <w:color w:val="000000" w:themeColor="text1"/>
        </w:rPr>
        <w:t xml:space="preserve">nited </w:t>
      </w:r>
      <w:r>
        <w:rPr>
          <w:color w:val="000000" w:themeColor="text1"/>
        </w:rPr>
        <w:t>K</w:t>
      </w:r>
      <w:r w:rsidR="00793DD2">
        <w:rPr>
          <w:color w:val="000000" w:themeColor="text1"/>
        </w:rPr>
        <w:t xml:space="preserve">ingdom </w:t>
      </w:r>
      <w:r w:rsidR="009F123E">
        <w:rPr>
          <w:color w:val="000000" w:themeColor="text1"/>
        </w:rPr>
        <w:t>G</w:t>
      </w:r>
      <w:r>
        <w:rPr>
          <w:color w:val="000000" w:themeColor="text1"/>
        </w:rPr>
        <w:t xml:space="preserve">overnment is developing counter-drone policy and regulation. In 2018, the Department </w:t>
      </w:r>
      <w:r w:rsidR="00763625">
        <w:rPr>
          <w:color w:val="000000" w:themeColor="text1"/>
        </w:rPr>
        <w:t>for</w:t>
      </w:r>
      <w:r>
        <w:rPr>
          <w:color w:val="000000" w:themeColor="text1"/>
        </w:rPr>
        <w:t xml:space="preserve"> Transport published its consultation </w:t>
      </w:r>
      <w:hyperlink r:id="rId39" w:history="1">
        <w:r w:rsidR="00757BCD">
          <w:rPr>
            <w:rStyle w:val="Hyperlink"/>
          </w:rPr>
          <w:t>Taking Flight</w:t>
        </w:r>
        <w:r w:rsidR="009F123E">
          <w:rPr>
            <w:rStyle w:val="Hyperlink"/>
          </w:rPr>
          <w:t>:</w:t>
        </w:r>
        <w:r w:rsidR="00757BCD">
          <w:rPr>
            <w:rStyle w:val="Hyperlink"/>
          </w:rPr>
          <w:t xml:space="preserve"> The Future of Drones in the UK</w:t>
        </w:r>
      </w:hyperlink>
      <w:r>
        <w:rPr>
          <w:color w:val="000000" w:themeColor="text1"/>
        </w:rPr>
        <w:t>. Th</w:t>
      </w:r>
      <w:r w:rsidR="00763625">
        <w:rPr>
          <w:color w:val="000000" w:themeColor="text1"/>
        </w:rPr>
        <w:t>e consultation</w:t>
      </w:r>
      <w:r>
        <w:rPr>
          <w:color w:val="000000" w:themeColor="text1"/>
        </w:rPr>
        <w:t xml:space="preserve"> covered various aspects of drone policy, including </w:t>
      </w:r>
      <w:r w:rsidR="0049302B">
        <w:rPr>
          <w:color w:val="000000" w:themeColor="text1"/>
        </w:rPr>
        <w:t xml:space="preserve">use of </w:t>
      </w:r>
      <w:r>
        <w:rPr>
          <w:color w:val="000000" w:themeColor="text1"/>
        </w:rPr>
        <w:t xml:space="preserve">counter-drone technologies to respond to </w:t>
      </w:r>
      <w:r w:rsidR="00763625">
        <w:rPr>
          <w:color w:val="000000" w:themeColor="text1"/>
        </w:rPr>
        <w:t xml:space="preserve">drone </w:t>
      </w:r>
      <w:r>
        <w:rPr>
          <w:color w:val="000000" w:themeColor="text1"/>
        </w:rPr>
        <w:t xml:space="preserve">misuse. The </w:t>
      </w:r>
      <w:r w:rsidR="009F123E">
        <w:rPr>
          <w:color w:val="000000" w:themeColor="text1"/>
        </w:rPr>
        <w:t>g</w:t>
      </w:r>
      <w:r w:rsidR="0049302B">
        <w:rPr>
          <w:color w:val="000000" w:themeColor="text1"/>
        </w:rPr>
        <w:t xml:space="preserve">overnment’s response noted views that use of counter-drone technology for responding in a live security situation may be appropriate and </w:t>
      </w:r>
      <w:r w:rsidR="001C31B3">
        <w:rPr>
          <w:color w:val="000000" w:themeColor="text1"/>
        </w:rPr>
        <w:t>indicated that it will undertake detailed policy work to develop standards and safeguards for authorising use of counter-drone technology in the UK.</w:t>
      </w:r>
      <w:r>
        <w:rPr>
          <w:color w:val="000000" w:themeColor="text1"/>
        </w:rPr>
        <w:t xml:space="preserve"> </w:t>
      </w:r>
    </w:p>
    <w:p w14:paraId="4B56AC77" w14:textId="77777777" w:rsidR="007418DE" w:rsidRDefault="007418DE" w:rsidP="007418DE">
      <w:pPr>
        <w:rPr>
          <w:color w:val="000000" w:themeColor="text1"/>
        </w:rPr>
      </w:pPr>
    </w:p>
    <w:p w14:paraId="25A9582E" w14:textId="77777777" w:rsidR="007418DE" w:rsidRPr="001F5B37" w:rsidRDefault="007418DE" w:rsidP="003E6549">
      <w:pPr>
        <w:rPr>
          <w:rFonts w:cs="Arial"/>
        </w:rPr>
      </w:pPr>
    </w:p>
    <w:p w14:paraId="7160CB0B" w14:textId="77777777" w:rsidR="001C62B8" w:rsidRPr="000D76E0" w:rsidRDefault="001C62B8" w:rsidP="001C62B8">
      <w:pPr>
        <w:pStyle w:val="Heading1"/>
      </w:pPr>
      <w:bookmarkStart w:id="12" w:name="_Toc3383566"/>
      <w:r>
        <w:lastRenderedPageBreak/>
        <w:t>Proposed exemption arrangements</w:t>
      </w:r>
      <w:bookmarkEnd w:id="12"/>
    </w:p>
    <w:p w14:paraId="4ADFA66C" w14:textId="761CA913" w:rsidR="00782397" w:rsidRDefault="00DE2CFB" w:rsidP="00052162">
      <w:pPr>
        <w:rPr>
          <w:rFonts w:cs="Arial"/>
        </w:rPr>
      </w:pPr>
      <w:r>
        <w:rPr>
          <w:rFonts w:cs="Arial"/>
        </w:rPr>
        <w:t xml:space="preserve">The ACMA is proposing </w:t>
      </w:r>
      <w:r w:rsidR="009B4F4E">
        <w:t>to make the determination to facilitate the AFP’s use of drone jamming devices</w:t>
      </w:r>
      <w:r>
        <w:rPr>
          <w:rFonts w:cs="Arial"/>
        </w:rPr>
        <w:t>.</w:t>
      </w:r>
    </w:p>
    <w:p w14:paraId="73496136" w14:textId="0F66CD48" w:rsidR="006700FC" w:rsidRDefault="008D2E64" w:rsidP="00052162">
      <w:pPr>
        <w:rPr>
          <w:rFonts w:cs="Arial"/>
        </w:rPr>
      </w:pPr>
      <w:r>
        <w:rPr>
          <w:rFonts w:cs="Arial"/>
        </w:rPr>
        <w:t xml:space="preserve">To support the AFP’s development and maintenance of counter-drone capability, the proposed determination would exempt possession and operation of the devices by specified AFP persons and related contractors to facilitate training, testing and maintenance activities. </w:t>
      </w:r>
      <w:r w:rsidR="006700FC">
        <w:rPr>
          <w:rFonts w:cs="Arial"/>
        </w:rPr>
        <w:t xml:space="preserve">We have taken into account that the AFP can take practical steps to </w:t>
      </w:r>
      <w:r w:rsidR="003D3A17">
        <w:rPr>
          <w:rFonts w:cs="Arial"/>
        </w:rPr>
        <w:t xml:space="preserve">effectively manage and </w:t>
      </w:r>
      <w:r w:rsidR="006700FC">
        <w:rPr>
          <w:rFonts w:cs="Arial"/>
        </w:rPr>
        <w:t>mitigate any potential incidental interference during these activities.</w:t>
      </w:r>
    </w:p>
    <w:p w14:paraId="615F3E99" w14:textId="436C7AE1" w:rsidR="0019040C" w:rsidRDefault="0019040C" w:rsidP="0019040C">
      <w:pPr>
        <w:keepNext/>
        <w:keepLines/>
        <w:spacing w:after="80"/>
        <w:rPr>
          <w:lang w:val="en-GB"/>
        </w:rPr>
      </w:pPr>
      <w:r>
        <w:rPr>
          <w:lang w:val="en-GB"/>
        </w:rPr>
        <w:t xml:space="preserve">The proposed determination would </w:t>
      </w:r>
      <w:r w:rsidRPr="008B67F4">
        <w:rPr>
          <w:lang w:val="en-GB"/>
        </w:rPr>
        <w:t>exempt</w:t>
      </w:r>
      <w:r>
        <w:rPr>
          <w:lang w:val="en-GB"/>
        </w:rPr>
        <w:t xml:space="preserve"> </w:t>
      </w:r>
      <w:r w:rsidRPr="008B67F4">
        <w:rPr>
          <w:lang w:val="en-GB"/>
        </w:rPr>
        <w:t xml:space="preserve">AFP officers </w:t>
      </w:r>
      <w:r>
        <w:rPr>
          <w:lang w:val="en-GB"/>
        </w:rPr>
        <w:t xml:space="preserve">and certain contractors to the AFP, from the operation of all of Parts 3.1, 4.1 and 4.2 of the Act, but only </w:t>
      </w:r>
      <w:r w:rsidRPr="008B67F4">
        <w:rPr>
          <w:lang w:val="en-GB"/>
        </w:rPr>
        <w:t xml:space="preserve">in </w:t>
      </w:r>
      <w:r w:rsidR="00211176">
        <w:rPr>
          <w:lang w:val="en-GB"/>
        </w:rPr>
        <w:t>relation to activation of devices for jamming of radiocommunications to drones, or related testing, training and maintenance</w:t>
      </w:r>
      <w:r>
        <w:rPr>
          <w:lang w:val="en-GB"/>
        </w:rPr>
        <w:t>.</w:t>
      </w:r>
    </w:p>
    <w:p w14:paraId="036A8155" w14:textId="44AF359D" w:rsidR="005B0363" w:rsidRPr="00052162" w:rsidRDefault="006B424F" w:rsidP="00052162">
      <w:pPr>
        <w:pStyle w:val="Heading2"/>
      </w:pPr>
      <w:bookmarkStart w:id="13" w:name="_Toc3383567"/>
      <w:r>
        <w:t>Persons t</w:t>
      </w:r>
      <w:r w:rsidR="005B0363">
        <w:t>o whom the proposed exemption would apply</w:t>
      </w:r>
      <w:bookmarkEnd w:id="13"/>
    </w:p>
    <w:p w14:paraId="5DCAA38E" w14:textId="1A0641BB" w:rsidR="006B424F" w:rsidRDefault="00744141" w:rsidP="006B424F">
      <w:pPr>
        <w:rPr>
          <w:rFonts w:cs="Arial"/>
        </w:rPr>
      </w:pPr>
      <w:r>
        <w:rPr>
          <w:rFonts w:cs="Arial"/>
        </w:rPr>
        <w:t xml:space="preserve">Under </w:t>
      </w:r>
      <w:r w:rsidR="005762F9">
        <w:rPr>
          <w:rFonts w:cs="Arial"/>
        </w:rPr>
        <w:t>sub</w:t>
      </w:r>
      <w:r>
        <w:rPr>
          <w:rFonts w:cs="Arial"/>
        </w:rPr>
        <w:t>section 27(2)</w:t>
      </w:r>
      <w:r w:rsidR="008D2E64">
        <w:rPr>
          <w:rFonts w:cs="Arial"/>
        </w:rPr>
        <w:t xml:space="preserve"> of the Act</w:t>
      </w:r>
      <w:r>
        <w:rPr>
          <w:rFonts w:cs="Arial"/>
        </w:rPr>
        <w:t>, t</w:t>
      </w:r>
      <w:r w:rsidR="006B424F">
        <w:rPr>
          <w:rFonts w:cs="Arial"/>
        </w:rPr>
        <w:t>he ACMA may determine exemptions in favour of members of a class of persons to whom section 27 applies</w:t>
      </w:r>
      <w:r w:rsidR="005762F9">
        <w:rPr>
          <w:rFonts w:cs="Arial"/>
        </w:rPr>
        <w:t>. S</w:t>
      </w:r>
      <w:r w:rsidR="006B424F">
        <w:rPr>
          <w:rFonts w:cs="Arial"/>
        </w:rPr>
        <w:t>ection 27 applies to persons performing a function or duty in relation to the AFP</w:t>
      </w:r>
      <w:r>
        <w:rPr>
          <w:rFonts w:cs="Arial"/>
        </w:rPr>
        <w:t xml:space="preserve"> (</w:t>
      </w:r>
      <w:r w:rsidR="005762F9">
        <w:rPr>
          <w:rFonts w:cs="Arial"/>
        </w:rPr>
        <w:t>paragraph</w:t>
      </w:r>
      <w:r>
        <w:rPr>
          <w:rFonts w:cs="Arial"/>
        </w:rPr>
        <w:t xml:space="preserve"> 27(1)(b))</w:t>
      </w:r>
      <w:r w:rsidR="006B424F">
        <w:rPr>
          <w:rFonts w:cs="Arial"/>
        </w:rPr>
        <w:t xml:space="preserve">. </w:t>
      </w:r>
    </w:p>
    <w:p w14:paraId="62958301" w14:textId="2CF48E5E" w:rsidR="00714318" w:rsidRDefault="0020261E" w:rsidP="00714318">
      <w:r w:rsidRPr="00EC0D45">
        <w:rPr>
          <w:rFonts w:cs="Arial"/>
        </w:rPr>
        <w:t>T</w:t>
      </w:r>
      <w:r w:rsidR="00744141" w:rsidRPr="00EC0D45">
        <w:rPr>
          <w:rFonts w:cs="Arial"/>
        </w:rPr>
        <w:t xml:space="preserve">he proposed </w:t>
      </w:r>
      <w:r w:rsidRPr="00EC0D45">
        <w:rPr>
          <w:rFonts w:cs="Arial"/>
        </w:rPr>
        <w:t xml:space="preserve">determination </w:t>
      </w:r>
      <w:r w:rsidR="00744141" w:rsidRPr="00EC0D45">
        <w:rPr>
          <w:rFonts w:cs="Arial"/>
        </w:rPr>
        <w:t xml:space="preserve">would </w:t>
      </w:r>
      <w:r w:rsidR="005B0363" w:rsidRPr="00EC0D45">
        <w:rPr>
          <w:rFonts w:cs="Arial"/>
        </w:rPr>
        <w:t xml:space="preserve">apply </w:t>
      </w:r>
      <w:r w:rsidR="00FB72A2" w:rsidRPr="00EC0D45">
        <w:rPr>
          <w:rFonts w:cs="Arial"/>
        </w:rPr>
        <w:t>only</w:t>
      </w:r>
      <w:r w:rsidR="009F123E">
        <w:rPr>
          <w:rFonts w:cs="Arial"/>
        </w:rPr>
        <w:t xml:space="preserve"> to</w:t>
      </w:r>
      <w:r w:rsidR="00FB72A2">
        <w:rPr>
          <w:rFonts w:cs="Arial"/>
        </w:rPr>
        <w:t xml:space="preserve"> ‘relevant persons’</w:t>
      </w:r>
      <w:r w:rsidR="009F123E">
        <w:rPr>
          <w:rFonts w:cs="Arial"/>
        </w:rPr>
        <w:t>—</w:t>
      </w:r>
      <w:r w:rsidR="00FB72A2">
        <w:rPr>
          <w:rFonts w:cs="Arial"/>
        </w:rPr>
        <w:t>those persons being</w:t>
      </w:r>
      <w:r w:rsidR="00FB72A2" w:rsidRPr="00EC0D45">
        <w:rPr>
          <w:rFonts w:cs="Arial"/>
        </w:rPr>
        <w:t xml:space="preserve"> </w:t>
      </w:r>
      <w:r w:rsidR="00FB72A2" w:rsidRPr="00EC0D45">
        <w:t xml:space="preserve">a member of the AFP, and to a person who has entered into a contract with the AFP to perform a function or duty in relation to the </w:t>
      </w:r>
      <w:r w:rsidR="00FB72A2">
        <w:t xml:space="preserve">AFP that consists of one or more of the following: </w:t>
      </w:r>
    </w:p>
    <w:p w14:paraId="50B45EDB" w14:textId="6DDC8444" w:rsidR="005B69D4" w:rsidRDefault="005B69D4" w:rsidP="00714318">
      <w:pPr>
        <w:pStyle w:val="ListBullet"/>
        <w:numPr>
          <w:ilvl w:val="0"/>
          <w:numId w:val="11"/>
        </w:numPr>
        <w:tabs>
          <w:tab w:val="num" w:pos="295"/>
        </w:tabs>
        <w:ind w:left="295" w:hanging="295"/>
        <w:rPr>
          <w:rFonts w:cs="Arial"/>
        </w:rPr>
      </w:pPr>
      <w:r>
        <w:rPr>
          <w:rFonts w:cs="Arial"/>
        </w:rPr>
        <w:t>supply o</w:t>
      </w:r>
      <w:r w:rsidR="00D05A0B">
        <w:rPr>
          <w:rFonts w:cs="Arial"/>
        </w:rPr>
        <w:t>f</w:t>
      </w:r>
      <w:r>
        <w:rPr>
          <w:rFonts w:cs="Arial"/>
        </w:rPr>
        <w:t xml:space="preserve"> a drone jamming device</w:t>
      </w:r>
    </w:p>
    <w:p w14:paraId="1CCFB8B3" w14:textId="38A16BBD" w:rsidR="00714318" w:rsidRPr="00714318" w:rsidRDefault="00714318" w:rsidP="00714318">
      <w:pPr>
        <w:pStyle w:val="ListBullet"/>
        <w:numPr>
          <w:ilvl w:val="0"/>
          <w:numId w:val="11"/>
        </w:numPr>
        <w:tabs>
          <w:tab w:val="num" w:pos="295"/>
        </w:tabs>
        <w:ind w:left="295" w:hanging="295"/>
        <w:rPr>
          <w:rFonts w:cs="Arial"/>
        </w:rPr>
      </w:pPr>
      <w:r w:rsidRPr="00714318">
        <w:rPr>
          <w:rFonts w:cs="Arial"/>
        </w:rPr>
        <w:t xml:space="preserve">testing of </w:t>
      </w:r>
      <w:r w:rsidR="00C27CD0">
        <w:rPr>
          <w:rFonts w:cs="Arial"/>
        </w:rPr>
        <w:t>a</w:t>
      </w:r>
      <w:r w:rsidRPr="00714318">
        <w:rPr>
          <w:rFonts w:cs="Arial"/>
        </w:rPr>
        <w:t xml:space="preserve"> drone jamming device</w:t>
      </w:r>
    </w:p>
    <w:p w14:paraId="67ED5DC0" w14:textId="23AF025C" w:rsidR="00714318" w:rsidRPr="00714318" w:rsidRDefault="00714318" w:rsidP="00714318">
      <w:pPr>
        <w:pStyle w:val="ListBullet"/>
        <w:numPr>
          <w:ilvl w:val="0"/>
          <w:numId w:val="11"/>
        </w:numPr>
        <w:tabs>
          <w:tab w:val="num" w:pos="295"/>
        </w:tabs>
        <w:ind w:left="295" w:hanging="295"/>
        <w:rPr>
          <w:rFonts w:cs="Arial"/>
        </w:rPr>
      </w:pPr>
      <w:r w:rsidRPr="00714318">
        <w:rPr>
          <w:rFonts w:cs="Arial"/>
        </w:rPr>
        <w:t xml:space="preserve">training a member of the AFP in relation to </w:t>
      </w:r>
      <w:r w:rsidR="00C27CD0">
        <w:rPr>
          <w:rFonts w:cs="Arial"/>
        </w:rPr>
        <w:t>a</w:t>
      </w:r>
      <w:r w:rsidRPr="00714318">
        <w:rPr>
          <w:rFonts w:cs="Arial"/>
        </w:rPr>
        <w:t xml:space="preserve"> drone jamming device</w:t>
      </w:r>
    </w:p>
    <w:p w14:paraId="3F73B186" w14:textId="475AC454" w:rsidR="00714318" w:rsidRPr="00714318" w:rsidRDefault="00714318" w:rsidP="00714318">
      <w:pPr>
        <w:pStyle w:val="ListBullet"/>
        <w:numPr>
          <w:ilvl w:val="0"/>
          <w:numId w:val="11"/>
        </w:numPr>
        <w:tabs>
          <w:tab w:val="num" w:pos="295"/>
        </w:tabs>
        <w:ind w:left="295" w:hanging="295"/>
        <w:rPr>
          <w:rFonts w:cs="Arial"/>
        </w:rPr>
      </w:pPr>
      <w:r w:rsidRPr="00714318">
        <w:rPr>
          <w:rFonts w:cs="Arial"/>
        </w:rPr>
        <w:t>maintenance of a drone jamming device.</w:t>
      </w:r>
    </w:p>
    <w:p w14:paraId="20705D60" w14:textId="6465D365" w:rsidR="005B0363" w:rsidRDefault="008813C2" w:rsidP="00052162">
      <w:pPr>
        <w:pStyle w:val="Heading2"/>
      </w:pPr>
      <w:bookmarkStart w:id="14" w:name="_Toc3383568"/>
      <w:r>
        <w:t>P</w:t>
      </w:r>
      <w:r w:rsidR="005B0363">
        <w:t xml:space="preserve">eriod for which the </w:t>
      </w:r>
      <w:r w:rsidR="006B424F">
        <w:t>exemption</w:t>
      </w:r>
      <w:r w:rsidR="005B0363">
        <w:t xml:space="preserve"> would apply</w:t>
      </w:r>
      <w:bookmarkEnd w:id="14"/>
    </w:p>
    <w:p w14:paraId="18D8D3FD" w14:textId="45F3961B" w:rsidR="002C049B" w:rsidRDefault="002C049B" w:rsidP="00EB6ACA">
      <w:pPr>
        <w:rPr>
          <w:rFonts w:cs="Arial"/>
        </w:rPr>
      </w:pPr>
      <w:r>
        <w:rPr>
          <w:rFonts w:cs="Arial"/>
        </w:rPr>
        <w:t xml:space="preserve">Drones are a </w:t>
      </w:r>
      <w:r w:rsidR="004E5728">
        <w:rPr>
          <w:rFonts w:cs="Arial"/>
        </w:rPr>
        <w:t>new</w:t>
      </w:r>
      <w:r>
        <w:rPr>
          <w:rFonts w:cs="Arial"/>
        </w:rPr>
        <w:t xml:space="preserve"> and rapidly evolving technology, presenting a range of policy and regulatory cha</w:t>
      </w:r>
      <w:r w:rsidR="00C352B7">
        <w:rPr>
          <w:rFonts w:cs="Arial"/>
        </w:rPr>
        <w:t>llenges</w:t>
      </w:r>
      <w:r>
        <w:rPr>
          <w:rFonts w:cs="Arial"/>
        </w:rPr>
        <w:t>.</w:t>
      </w:r>
      <w:r w:rsidR="0019040C">
        <w:rPr>
          <w:rFonts w:cs="Arial"/>
        </w:rPr>
        <w:t xml:space="preserve"> </w:t>
      </w:r>
      <w:r w:rsidR="00C352B7">
        <w:rPr>
          <w:rFonts w:cs="Arial"/>
        </w:rPr>
        <w:t xml:space="preserve">The ACMA expects </w:t>
      </w:r>
      <w:r>
        <w:rPr>
          <w:rFonts w:cs="Arial"/>
        </w:rPr>
        <w:t xml:space="preserve">that counter-drone technology and regulatory arrangements will </w:t>
      </w:r>
      <w:r w:rsidR="00C352B7">
        <w:rPr>
          <w:rFonts w:cs="Arial"/>
        </w:rPr>
        <w:t xml:space="preserve">continue to </w:t>
      </w:r>
      <w:r>
        <w:rPr>
          <w:rFonts w:cs="Arial"/>
        </w:rPr>
        <w:t>evolve</w:t>
      </w:r>
      <w:r w:rsidR="00C352B7">
        <w:rPr>
          <w:rFonts w:cs="Arial"/>
        </w:rPr>
        <w:t xml:space="preserve"> over time</w:t>
      </w:r>
      <w:r>
        <w:rPr>
          <w:rFonts w:cs="Arial"/>
        </w:rPr>
        <w:t xml:space="preserve">. </w:t>
      </w:r>
    </w:p>
    <w:p w14:paraId="2B22DAE0" w14:textId="42F30DDB" w:rsidR="002261BF" w:rsidRPr="00FE7796" w:rsidRDefault="009B296A" w:rsidP="00FE7796">
      <w:pPr>
        <w:rPr>
          <w:rFonts w:cs="Arial"/>
        </w:rPr>
      </w:pPr>
      <w:r>
        <w:rPr>
          <w:rFonts w:cs="Arial"/>
        </w:rPr>
        <w:t xml:space="preserve">The proposed determination would expire after a two-year period, </w:t>
      </w:r>
      <w:r w:rsidR="00980B36">
        <w:rPr>
          <w:rFonts w:cs="Arial"/>
        </w:rPr>
        <w:t xml:space="preserve">at </w:t>
      </w:r>
      <w:r>
        <w:rPr>
          <w:rFonts w:cs="Arial"/>
        </w:rPr>
        <w:t>which time the AFP, the ACMA and stakeholders w</w:t>
      </w:r>
      <w:r w:rsidR="000A7E1A">
        <w:rPr>
          <w:rFonts w:cs="Arial"/>
        </w:rPr>
        <w:t>ould</w:t>
      </w:r>
      <w:r>
        <w:rPr>
          <w:rFonts w:cs="Arial"/>
        </w:rPr>
        <w:t xml:space="preserve"> review the operation of the instrument and the AFP’s requirements.</w:t>
      </w:r>
    </w:p>
    <w:p w14:paraId="4D02843B" w14:textId="5BE7281E" w:rsidR="005B0363" w:rsidRDefault="005B0363" w:rsidP="00052162">
      <w:pPr>
        <w:pStyle w:val="Heading2"/>
      </w:pPr>
      <w:bookmarkStart w:id="15" w:name="_Toc3383569"/>
      <w:r>
        <w:lastRenderedPageBreak/>
        <w:t xml:space="preserve">Circumstances </w:t>
      </w:r>
      <w:r w:rsidR="00DA52BF">
        <w:t>in</w:t>
      </w:r>
      <w:r>
        <w:t xml:space="preserve"> which </w:t>
      </w:r>
      <w:r w:rsidR="006B424F">
        <w:t xml:space="preserve">the </w:t>
      </w:r>
      <w:r>
        <w:t xml:space="preserve">exemption </w:t>
      </w:r>
      <w:r w:rsidR="003E6549">
        <w:t xml:space="preserve">would </w:t>
      </w:r>
      <w:r>
        <w:t>apply</w:t>
      </w:r>
      <w:bookmarkEnd w:id="15"/>
    </w:p>
    <w:p w14:paraId="7B0321BF" w14:textId="5CA2606B" w:rsidR="005B69D4" w:rsidRPr="005B69D4" w:rsidRDefault="00BA4149" w:rsidP="00E06675">
      <w:pPr>
        <w:keepNext/>
        <w:keepLines/>
        <w:spacing w:after="80"/>
        <w:rPr>
          <w:rFonts w:cs="Arial"/>
        </w:rPr>
      </w:pPr>
      <w:r w:rsidRPr="005B69D4">
        <w:rPr>
          <w:rFonts w:cs="Arial"/>
        </w:rPr>
        <w:t xml:space="preserve">The </w:t>
      </w:r>
      <w:r w:rsidR="0007193B">
        <w:rPr>
          <w:rFonts w:cs="Arial"/>
        </w:rPr>
        <w:t xml:space="preserve">proposed </w:t>
      </w:r>
      <w:r w:rsidRPr="005B69D4">
        <w:rPr>
          <w:rFonts w:cs="Arial"/>
        </w:rPr>
        <w:t xml:space="preserve">determination </w:t>
      </w:r>
      <w:r w:rsidR="0007193B">
        <w:rPr>
          <w:rFonts w:cs="Arial"/>
        </w:rPr>
        <w:t xml:space="preserve">would </w:t>
      </w:r>
      <w:r w:rsidRPr="005B69D4">
        <w:rPr>
          <w:rFonts w:cs="Arial"/>
        </w:rPr>
        <w:t xml:space="preserve">apply </w:t>
      </w:r>
      <w:r w:rsidR="001D718C" w:rsidRPr="005B69D4">
        <w:rPr>
          <w:rFonts w:cs="Arial"/>
        </w:rPr>
        <w:t xml:space="preserve">to members of the AFP, and to </w:t>
      </w:r>
      <w:r w:rsidR="005B69D4" w:rsidRPr="005B69D4">
        <w:rPr>
          <w:rFonts w:cs="Arial"/>
        </w:rPr>
        <w:t xml:space="preserve">a </w:t>
      </w:r>
      <w:r w:rsidR="001D718C" w:rsidRPr="005B69D4">
        <w:rPr>
          <w:rFonts w:cs="Arial"/>
        </w:rPr>
        <w:t xml:space="preserve">person </w:t>
      </w:r>
      <w:r w:rsidR="00980D81">
        <w:rPr>
          <w:rFonts w:cs="Arial"/>
        </w:rPr>
        <w:t>who</w:t>
      </w:r>
      <w:r w:rsidR="00980D81" w:rsidRPr="005B69D4">
        <w:rPr>
          <w:rFonts w:cs="Arial"/>
        </w:rPr>
        <w:t xml:space="preserve"> </w:t>
      </w:r>
      <w:r w:rsidR="001D718C" w:rsidRPr="005B69D4">
        <w:rPr>
          <w:rFonts w:cs="Arial"/>
        </w:rPr>
        <w:t xml:space="preserve">has entered into a contract </w:t>
      </w:r>
      <w:r w:rsidR="005B69D4" w:rsidRPr="005B69D4">
        <w:rPr>
          <w:rFonts w:cs="Arial"/>
        </w:rPr>
        <w:t>with the AFP, in circumstances involving procurement or supply, testing, and maintenance of drone jamming devices, and involving training with the device. The proposed exemption would also apply to members of the AFP operating the device to disable a drone.</w:t>
      </w:r>
    </w:p>
    <w:p w14:paraId="4F6B2AFB" w14:textId="6C7ACF4E" w:rsidR="0083367B" w:rsidRDefault="0083367B" w:rsidP="0083367B">
      <w:pPr>
        <w:pStyle w:val="Heading2"/>
      </w:pPr>
      <w:bookmarkStart w:id="16" w:name="_Toc3383570"/>
      <w:r>
        <w:t>Impact on other radiocommunications users</w:t>
      </w:r>
      <w:bookmarkEnd w:id="16"/>
    </w:p>
    <w:p w14:paraId="4F406BF1" w14:textId="26ACA20F" w:rsidR="000A50B6" w:rsidRDefault="003E6549" w:rsidP="003E6549">
      <w:pPr>
        <w:rPr>
          <w:rFonts w:cs="Arial"/>
        </w:rPr>
      </w:pPr>
      <w:r w:rsidRPr="00052162">
        <w:rPr>
          <w:rFonts w:cs="Arial"/>
        </w:rPr>
        <w:t xml:space="preserve">Under the </w:t>
      </w:r>
      <w:r w:rsidR="00995069">
        <w:rPr>
          <w:rFonts w:cs="Arial"/>
        </w:rPr>
        <w:t xml:space="preserve">proposed </w:t>
      </w:r>
      <w:r w:rsidR="0020261E">
        <w:rPr>
          <w:rFonts w:cs="Arial"/>
        </w:rPr>
        <w:t>determination</w:t>
      </w:r>
      <w:r>
        <w:rPr>
          <w:rFonts w:cs="Arial"/>
        </w:rPr>
        <w:t>,</w:t>
      </w:r>
      <w:r w:rsidRPr="00052162">
        <w:rPr>
          <w:rFonts w:cs="Arial"/>
        </w:rPr>
        <w:t xml:space="preserve"> the devices can </w:t>
      </w:r>
      <w:r>
        <w:rPr>
          <w:rFonts w:cs="Arial"/>
        </w:rPr>
        <w:t xml:space="preserve">be operated </w:t>
      </w:r>
      <w:r w:rsidR="0020261E">
        <w:rPr>
          <w:rFonts w:cs="Arial"/>
        </w:rPr>
        <w:t xml:space="preserve">in specific circumstances </w:t>
      </w:r>
      <w:r w:rsidRPr="00052162">
        <w:rPr>
          <w:rFonts w:cs="Arial"/>
        </w:rPr>
        <w:t xml:space="preserve">on frequencies used to communicate between </w:t>
      </w:r>
      <w:r w:rsidR="00DD35EC">
        <w:rPr>
          <w:rFonts w:cs="Arial"/>
        </w:rPr>
        <w:t>a</w:t>
      </w:r>
      <w:r w:rsidR="00DD35EC" w:rsidRPr="00052162">
        <w:rPr>
          <w:rFonts w:cs="Arial"/>
        </w:rPr>
        <w:t xml:space="preserve"> </w:t>
      </w:r>
      <w:r w:rsidRPr="00052162">
        <w:rPr>
          <w:rFonts w:cs="Arial"/>
        </w:rPr>
        <w:t>drone and its operator</w:t>
      </w:r>
      <w:r w:rsidR="00FD1EF3">
        <w:rPr>
          <w:rFonts w:cs="Arial"/>
        </w:rPr>
        <w:t xml:space="preserve"> (2400</w:t>
      </w:r>
      <w:r w:rsidR="00980D81">
        <w:rPr>
          <w:rFonts w:cs="Arial"/>
        </w:rPr>
        <w:t>–</w:t>
      </w:r>
      <w:r w:rsidR="00FD1EF3">
        <w:rPr>
          <w:rFonts w:cs="Arial"/>
        </w:rPr>
        <w:t>2483</w:t>
      </w:r>
      <w:r w:rsidR="009B296A">
        <w:rPr>
          <w:rFonts w:cs="Arial"/>
        </w:rPr>
        <w:t>.5</w:t>
      </w:r>
      <w:r w:rsidR="00FD1EF3">
        <w:rPr>
          <w:rFonts w:cs="Arial"/>
        </w:rPr>
        <w:t xml:space="preserve"> MHz and 5</w:t>
      </w:r>
      <w:r w:rsidR="00836573">
        <w:rPr>
          <w:rFonts w:cs="Arial"/>
        </w:rPr>
        <w:t>72</w:t>
      </w:r>
      <w:r w:rsidR="00FD1EF3">
        <w:rPr>
          <w:rFonts w:cs="Arial"/>
        </w:rPr>
        <w:t>5</w:t>
      </w:r>
      <w:r w:rsidR="00980D81">
        <w:rPr>
          <w:rFonts w:cs="Arial"/>
        </w:rPr>
        <w:t>–</w:t>
      </w:r>
      <w:r w:rsidR="00FD1EF3">
        <w:rPr>
          <w:rFonts w:cs="Arial"/>
        </w:rPr>
        <w:t>5850 MHz).</w:t>
      </w:r>
      <w:r w:rsidR="0020261E">
        <w:rPr>
          <w:rFonts w:cs="Arial"/>
        </w:rPr>
        <w:t xml:space="preserve"> </w:t>
      </w:r>
    </w:p>
    <w:p w14:paraId="0059282F" w14:textId="269DC07F" w:rsidR="00FD1EF3" w:rsidRPr="005718C1" w:rsidRDefault="0020261E" w:rsidP="003E6549">
      <w:pPr>
        <w:rPr>
          <w:lang w:val="en-GB"/>
        </w:rPr>
      </w:pPr>
      <w:r>
        <w:rPr>
          <w:rFonts w:cs="Arial"/>
        </w:rPr>
        <w:t>The proposed determination would not apply to operation on RNSS frequencies</w:t>
      </w:r>
      <w:r w:rsidR="00162B27">
        <w:rPr>
          <w:rFonts w:cs="Arial"/>
        </w:rPr>
        <w:t>, which include those frequencies used by GPS</w:t>
      </w:r>
      <w:r>
        <w:rPr>
          <w:rFonts w:cs="Arial"/>
        </w:rPr>
        <w:t>.</w:t>
      </w:r>
      <w:r w:rsidR="00162B27" w:rsidRPr="00162B27">
        <w:rPr>
          <w:lang w:val="en-GB"/>
        </w:rPr>
        <w:t xml:space="preserve"> </w:t>
      </w:r>
      <w:r w:rsidR="00162B27">
        <w:rPr>
          <w:lang w:val="en-GB"/>
        </w:rPr>
        <w:t>The proposed determination does not exempt activation of the device’s GPS jamming capability</w:t>
      </w:r>
      <w:r w:rsidR="00C352B7">
        <w:rPr>
          <w:lang w:val="en-GB"/>
        </w:rPr>
        <w:t>.  T</w:t>
      </w:r>
      <w:r w:rsidR="00162B27">
        <w:rPr>
          <w:lang w:val="en-GB"/>
        </w:rPr>
        <w:t xml:space="preserve">herefore </w:t>
      </w:r>
      <w:r w:rsidR="00C352B7">
        <w:rPr>
          <w:lang w:val="en-GB"/>
        </w:rPr>
        <w:t xml:space="preserve">it does </w:t>
      </w:r>
      <w:r w:rsidR="00162B27">
        <w:rPr>
          <w:lang w:val="en-GB"/>
        </w:rPr>
        <w:t xml:space="preserve"> not authorise activation of the device to jam a drone that  also operat</w:t>
      </w:r>
      <w:r w:rsidR="00C352B7">
        <w:rPr>
          <w:lang w:val="en-GB"/>
        </w:rPr>
        <w:t>es</w:t>
      </w:r>
      <w:r w:rsidR="00162B27">
        <w:rPr>
          <w:lang w:val="en-GB"/>
        </w:rPr>
        <w:t xml:space="preserve"> on GPS frequencies. </w:t>
      </w:r>
    </w:p>
    <w:p w14:paraId="0B24AA67" w14:textId="7F50C262" w:rsidR="00C36FDC" w:rsidRPr="00C36FDC" w:rsidRDefault="00C36FDC" w:rsidP="00C36FDC">
      <w:pPr>
        <w:rPr>
          <w:rFonts w:cs="Arial"/>
        </w:rPr>
      </w:pPr>
      <w:r>
        <w:t xml:space="preserve">Were the drone jamming devices to be activated, a potentially wide range of devices and services (including Wi-Fi) operating under the </w:t>
      </w:r>
      <w:hyperlink r:id="rId40" w:history="1">
        <w:r>
          <w:rPr>
            <w:rStyle w:val="Hyperlink"/>
          </w:rPr>
          <w:t>Radiocommunications (Low Interference Potential Devices) Class Licence 2015</w:t>
        </w:r>
      </w:hyperlink>
      <w:r>
        <w:t xml:space="preserve"> (the </w:t>
      </w:r>
      <w:r w:rsidR="005718C1">
        <w:t>c</w:t>
      </w:r>
      <w:r>
        <w:t xml:space="preserve">lass </w:t>
      </w:r>
      <w:r w:rsidR="005718C1">
        <w:t>l</w:t>
      </w:r>
      <w:r>
        <w:t>icence)</w:t>
      </w:r>
      <w:r w:rsidR="0007193B">
        <w:t xml:space="preserve"> would be affected</w:t>
      </w:r>
      <w:r>
        <w:t xml:space="preserve">. The operating frequencies for the devices also overlap with bands designated for industrial, scientific </w:t>
      </w:r>
      <w:r w:rsidRPr="00C36FDC">
        <w:rPr>
          <w:rFonts w:cs="Arial"/>
        </w:rPr>
        <w:t xml:space="preserve">and medical (ISM) applications. </w:t>
      </w:r>
    </w:p>
    <w:p w14:paraId="4BDB330A" w14:textId="3CBD0FD3" w:rsidR="00C36FDC" w:rsidRPr="00C36FDC" w:rsidRDefault="00C36FDC" w:rsidP="00C36FDC">
      <w:pPr>
        <w:rPr>
          <w:rFonts w:cs="Arial"/>
        </w:rPr>
      </w:pPr>
      <w:r w:rsidRPr="00C36FDC">
        <w:rPr>
          <w:rFonts w:cs="Arial"/>
        </w:rPr>
        <w:t>Given the ubiquity of Wi-Fi and other devices authorised by the class licence, we have considered that these are the devices that would be most likely to be affected by incidental interference caused by activation of the jamming device.</w:t>
      </w:r>
    </w:p>
    <w:p w14:paraId="286B3330" w14:textId="21EDCBBA" w:rsidR="00C36FDC" w:rsidRPr="005B5A82" w:rsidRDefault="00C36FDC" w:rsidP="00C47E0B">
      <w:r w:rsidRPr="00C36FDC">
        <w:rPr>
          <w:rFonts w:cs="Arial"/>
        </w:rPr>
        <w:t xml:space="preserve">We have considered the consequences associated with those services suffering incidental interference. </w:t>
      </w:r>
      <w:r w:rsidR="0052509C">
        <w:rPr>
          <w:rFonts w:cs="Arial"/>
        </w:rPr>
        <w:t>A</w:t>
      </w:r>
      <w:r w:rsidR="00647800">
        <w:rPr>
          <w:rFonts w:cs="Arial"/>
        </w:rPr>
        <w:t>lthough a</w:t>
      </w:r>
      <w:r w:rsidR="00C80771">
        <w:rPr>
          <w:rFonts w:cs="Arial"/>
        </w:rPr>
        <w:t xml:space="preserve"> </w:t>
      </w:r>
      <w:r w:rsidRPr="00C36FDC">
        <w:rPr>
          <w:rFonts w:cs="Arial"/>
        </w:rPr>
        <w:t xml:space="preserve">device operated under the </w:t>
      </w:r>
      <w:r w:rsidR="00980D81">
        <w:rPr>
          <w:rFonts w:cs="Arial"/>
        </w:rPr>
        <w:t>c</w:t>
      </w:r>
      <w:r w:rsidRPr="00C36FDC">
        <w:rPr>
          <w:rFonts w:cs="Arial"/>
        </w:rPr>
        <w:t xml:space="preserve">lass </w:t>
      </w:r>
      <w:r w:rsidR="00980D81">
        <w:rPr>
          <w:rFonts w:cs="Arial"/>
        </w:rPr>
        <w:t>l</w:t>
      </w:r>
      <w:r w:rsidRPr="00C36FDC">
        <w:rPr>
          <w:rFonts w:cs="Arial"/>
        </w:rPr>
        <w:t>icence is generally not expected to suffer interference</w:t>
      </w:r>
      <w:r w:rsidR="00647800">
        <w:rPr>
          <w:rFonts w:cs="Arial"/>
        </w:rPr>
        <w:t xml:space="preserve"> (and</w:t>
      </w:r>
      <w:r w:rsidR="00647800" w:rsidRPr="00C36FDC">
        <w:rPr>
          <w:rFonts w:cs="Arial"/>
        </w:rPr>
        <w:t xml:space="preserve"> </w:t>
      </w:r>
      <w:r w:rsidR="00647800">
        <w:rPr>
          <w:rFonts w:cs="Arial"/>
        </w:rPr>
        <w:t>o</w:t>
      </w:r>
      <w:r w:rsidR="00647800" w:rsidRPr="00C36FDC">
        <w:rPr>
          <w:rFonts w:cs="Arial"/>
        </w:rPr>
        <w:t>ffences under the Act relating to causing interference would be relevant to causing interference to class-licensed services</w:t>
      </w:r>
      <w:r w:rsidR="00647800">
        <w:rPr>
          <w:rFonts w:cs="Arial"/>
        </w:rPr>
        <w:t>)</w:t>
      </w:r>
      <w:r w:rsidR="001275C8">
        <w:rPr>
          <w:rFonts w:cs="Arial"/>
        </w:rPr>
        <w:t>,</w:t>
      </w:r>
      <w:r w:rsidR="00647800">
        <w:rPr>
          <w:rFonts w:cs="Arial"/>
        </w:rPr>
        <w:t xml:space="preserve"> the ACMA has a ‘no protection’ policy regarding the </w:t>
      </w:r>
      <w:r w:rsidR="00980D81">
        <w:rPr>
          <w:rFonts w:cs="Arial"/>
        </w:rPr>
        <w:t>c</w:t>
      </w:r>
      <w:r w:rsidR="00647800">
        <w:rPr>
          <w:rFonts w:cs="Arial"/>
        </w:rPr>
        <w:t xml:space="preserve">lass </w:t>
      </w:r>
      <w:r w:rsidR="00980D81">
        <w:rPr>
          <w:rFonts w:cs="Arial"/>
        </w:rPr>
        <w:t>l</w:t>
      </w:r>
      <w:r w:rsidR="00647800">
        <w:rPr>
          <w:rFonts w:cs="Arial"/>
        </w:rPr>
        <w:t>icence</w:t>
      </w:r>
      <w:r w:rsidR="001275C8">
        <w:rPr>
          <w:rFonts w:cs="Arial"/>
        </w:rPr>
        <w:t>.</w:t>
      </w:r>
      <w:r w:rsidR="0075094F">
        <w:rPr>
          <w:rFonts w:cs="Arial"/>
        </w:rPr>
        <w:t xml:space="preserve"> </w:t>
      </w:r>
      <w:r w:rsidR="005B5A82">
        <w:rPr>
          <w:rFonts w:cs="Arial"/>
        </w:rPr>
        <w:t xml:space="preserve">Under the </w:t>
      </w:r>
      <w:r w:rsidR="008443A0">
        <w:rPr>
          <w:rFonts w:cs="Arial"/>
        </w:rPr>
        <w:t xml:space="preserve">ACMA’s </w:t>
      </w:r>
      <w:r w:rsidR="005B5A82">
        <w:rPr>
          <w:rFonts w:cs="Arial"/>
        </w:rPr>
        <w:t>‘no protection’ policy,</w:t>
      </w:r>
      <w:r w:rsidR="00662882">
        <w:t xml:space="preserve"> </w:t>
      </w:r>
      <w:r w:rsidR="005B5A82" w:rsidRPr="008C5F64">
        <w:t>device</w:t>
      </w:r>
      <w:r w:rsidR="002C049B">
        <w:t>s</w:t>
      </w:r>
      <w:r w:rsidR="005B5A82" w:rsidRPr="008C5F64">
        <w:t xml:space="preserve"> </w:t>
      </w:r>
      <w:r w:rsidR="005B5A82">
        <w:t xml:space="preserve">operating under the </w:t>
      </w:r>
      <w:r w:rsidR="005718C1">
        <w:t>c</w:t>
      </w:r>
      <w:r w:rsidR="005B5A82">
        <w:t xml:space="preserve">lass </w:t>
      </w:r>
      <w:r w:rsidR="005718C1">
        <w:t>l</w:t>
      </w:r>
      <w:r w:rsidR="005B5A82">
        <w:t xml:space="preserve">icence </w:t>
      </w:r>
      <w:r w:rsidR="002C049B">
        <w:t>are</w:t>
      </w:r>
      <w:r w:rsidR="005B5A82" w:rsidRPr="008C5F64">
        <w:t xml:space="preserve"> not afforded protection from interference that may be caused by </w:t>
      </w:r>
      <w:r w:rsidR="005B5A82">
        <w:t xml:space="preserve">ISM </w:t>
      </w:r>
      <w:r w:rsidR="005B5A82" w:rsidRPr="008C5F64">
        <w:t>applications in the ISM ban</w:t>
      </w:r>
      <w:r w:rsidR="005B5A82">
        <w:t>ds</w:t>
      </w:r>
      <w:r w:rsidR="002C049B">
        <w:t>.</w:t>
      </w:r>
      <w:r w:rsidR="005718C1">
        <w:t xml:space="preserve"> </w:t>
      </w:r>
      <w:r w:rsidR="002C049B">
        <w:t>The ISM bands</w:t>
      </w:r>
      <w:r w:rsidR="005B5A82">
        <w:t xml:space="preserve"> also overlap with the frequencies on which a drone jamming device </w:t>
      </w:r>
      <w:r w:rsidR="002C049B">
        <w:t>would</w:t>
      </w:r>
      <w:r w:rsidR="00662882">
        <w:t xml:space="preserve"> </w:t>
      </w:r>
      <w:r w:rsidR="005B5A82">
        <w:t xml:space="preserve">be authorised to operate under the </w:t>
      </w:r>
      <w:r w:rsidR="005718C1">
        <w:t>proposed d</w:t>
      </w:r>
      <w:bookmarkStart w:id="17" w:name="_GoBack"/>
      <w:bookmarkEnd w:id="17"/>
      <w:r w:rsidR="002C049B">
        <w:t>etermination</w:t>
      </w:r>
      <w:r w:rsidR="005B5A82">
        <w:t xml:space="preserve">. </w:t>
      </w:r>
      <w:r w:rsidR="00C45B0F">
        <w:rPr>
          <w:rFonts w:cs="Arial"/>
        </w:rPr>
        <w:t>W</w:t>
      </w:r>
      <w:r w:rsidRPr="00C36FDC">
        <w:rPr>
          <w:rFonts w:cs="Arial"/>
        </w:rPr>
        <w:t>e have considered that because people deploying radiocommunications services under the class licence should do so with regard to the ‘no protection’ policy, there is a good understanding that the relevant frequency bands should not be exclusively relied upon for safety and security-critical services.</w:t>
      </w:r>
    </w:p>
    <w:p w14:paraId="58EA7E6E" w14:textId="5DA10FE1" w:rsidR="00C36FDC" w:rsidRPr="00C36FDC" w:rsidRDefault="00C36FDC" w:rsidP="00C36FDC">
      <w:pPr>
        <w:rPr>
          <w:rFonts w:cs="Arial"/>
        </w:rPr>
      </w:pPr>
      <w:r w:rsidRPr="00C36FDC">
        <w:rPr>
          <w:rFonts w:cs="Arial"/>
        </w:rPr>
        <w:t>If used, the drone jamming devices would be operated for the amount of time necessary to deal with a threat and would only be directed at the flight path of the drone. We take the view that the public benefit associated with operating a jamming device to deal with a drone that poses a risk to public safety would outweigh the adverse effects and consequences associated with incidental interference being caused to the devices and services operating in the relevant bands.</w:t>
      </w:r>
    </w:p>
    <w:p w14:paraId="0BDE3E8A" w14:textId="7515F312" w:rsidR="00291917" w:rsidRDefault="00C36FDC" w:rsidP="005718C1">
      <w:pPr>
        <w:rPr>
          <w:szCs w:val="26"/>
        </w:rPr>
      </w:pPr>
      <w:r w:rsidRPr="00C36FDC">
        <w:rPr>
          <w:rFonts w:cs="Arial"/>
        </w:rPr>
        <w:t>Beyond the immediate site of activation, any incidental interference caused by the devices would be dependent on a range of factors, including natural and man-made geography and structures. Incidental interference beyond the immediate site of activation is also likely to be of a short duration, and further limited by the direction in which the devices are pointed.</w:t>
      </w:r>
      <w:r w:rsidR="00291917">
        <w:br w:type="page"/>
      </w:r>
    </w:p>
    <w:p w14:paraId="1516C56A" w14:textId="6BBE2FE6" w:rsidR="00FF3C69" w:rsidRPr="006D46E5" w:rsidRDefault="00FF3C69" w:rsidP="00FF3C69">
      <w:pPr>
        <w:pStyle w:val="Heading1"/>
      </w:pPr>
      <w:bookmarkStart w:id="18" w:name="_Toc298924672"/>
      <w:bookmarkStart w:id="19" w:name="_Toc300909555"/>
      <w:bookmarkStart w:id="20" w:name="_Toc348105636"/>
      <w:bookmarkStart w:id="21" w:name="_Toc3383571"/>
      <w:r w:rsidRPr="006D46E5">
        <w:lastRenderedPageBreak/>
        <w:t>Invitation to</w:t>
      </w:r>
      <w:r w:rsidR="00782397">
        <w:t xml:space="preserve"> </w:t>
      </w:r>
      <w:r w:rsidRPr="006D46E5">
        <w:t>comment</w:t>
      </w:r>
      <w:bookmarkEnd w:id="18"/>
      <w:bookmarkEnd w:id="19"/>
      <w:bookmarkEnd w:id="20"/>
      <w:bookmarkEnd w:id="21"/>
    </w:p>
    <w:p w14:paraId="25A03D50" w14:textId="77777777" w:rsidR="00715722" w:rsidRPr="006D46E5" w:rsidRDefault="00715722" w:rsidP="00715722">
      <w:pPr>
        <w:pStyle w:val="Heading2"/>
      </w:pPr>
      <w:bookmarkStart w:id="22" w:name="_Toc298924673"/>
      <w:bookmarkStart w:id="23" w:name="_Toc300909556"/>
      <w:bookmarkStart w:id="24" w:name="_Toc348105637"/>
      <w:bookmarkStart w:id="25" w:name="_Toc433122131"/>
      <w:bookmarkStart w:id="26" w:name="_Toc3383572"/>
      <w:bookmarkStart w:id="27" w:name="_Toc300909557"/>
      <w:bookmarkStart w:id="28" w:name="_Toc348105638"/>
      <w:bookmarkStart w:id="29" w:name="_Toc274296357"/>
      <w:bookmarkStart w:id="30" w:name="_Toc298924674"/>
      <w:r w:rsidRPr="006D46E5">
        <w:t>Making a submission</w:t>
      </w:r>
      <w:bookmarkEnd w:id="22"/>
      <w:bookmarkEnd w:id="23"/>
      <w:bookmarkEnd w:id="24"/>
      <w:bookmarkEnd w:id="25"/>
      <w:bookmarkEnd w:id="26"/>
    </w:p>
    <w:p w14:paraId="14963E26" w14:textId="77777777" w:rsidR="00047082" w:rsidRDefault="00047082" w:rsidP="00047082">
      <w:r>
        <w:t xml:space="preserve">The ACMA invites comments on the issues set out in this discussion paper. </w:t>
      </w:r>
    </w:p>
    <w:p w14:paraId="62DB007C" w14:textId="0C9D3576" w:rsidR="00047082" w:rsidRDefault="008D786C" w:rsidP="00047082">
      <w:pPr>
        <w:pStyle w:val="ListBullet"/>
        <w:numPr>
          <w:ilvl w:val="0"/>
          <w:numId w:val="18"/>
        </w:numPr>
      </w:pPr>
      <w:hyperlink r:id="rId41" w:history="1">
        <w:r w:rsidR="00047082">
          <w:rPr>
            <w:rStyle w:val="Hyperlink"/>
          </w:rPr>
          <w:t>Online submissions</w:t>
        </w:r>
      </w:hyperlink>
      <w:r w:rsidR="00047082">
        <w:t xml:space="preserve"> can be made via the comment function or by uploading a document. Submissions in Microsoft Word or Rich Text Format are preferred.</w:t>
      </w:r>
    </w:p>
    <w:p w14:paraId="0618B076" w14:textId="7C364201" w:rsidR="00047082" w:rsidRDefault="00047082" w:rsidP="00047082">
      <w:pPr>
        <w:pStyle w:val="ListBullet"/>
        <w:numPr>
          <w:ilvl w:val="0"/>
          <w:numId w:val="18"/>
        </w:numPr>
      </w:pPr>
      <w:r>
        <w:t>Submissions by post can be sent to:</w:t>
      </w:r>
    </w:p>
    <w:p w14:paraId="7C7E3A8A" w14:textId="77777777" w:rsidR="009B2601" w:rsidRPr="00FA40EB" w:rsidRDefault="009B2601" w:rsidP="00930BC4">
      <w:pPr>
        <w:pStyle w:val="ListBullet"/>
        <w:spacing w:after="0"/>
        <w:ind w:firstLine="284"/>
      </w:pPr>
      <w:r w:rsidRPr="00FA40EB">
        <w:t>The Manager</w:t>
      </w:r>
    </w:p>
    <w:p w14:paraId="1198BE3E" w14:textId="7E4FD1C2" w:rsidR="009B2601" w:rsidRPr="00FA40EB" w:rsidRDefault="005B0363" w:rsidP="009B2601">
      <w:pPr>
        <w:pStyle w:val="ACMANormalTabbed"/>
        <w:spacing w:after="0"/>
        <w:ind w:left="295"/>
      </w:pPr>
      <w:r w:rsidRPr="00FA40EB">
        <w:t>Spectrum Licensing Policy</w:t>
      </w:r>
    </w:p>
    <w:p w14:paraId="2BC6F89D" w14:textId="4FEFA78F" w:rsidR="009B2601" w:rsidRPr="00FA40EB" w:rsidRDefault="00715722" w:rsidP="009B2601">
      <w:pPr>
        <w:pStyle w:val="ACMANormalTabbed"/>
        <w:spacing w:after="0"/>
        <w:ind w:left="295"/>
      </w:pPr>
      <w:r w:rsidRPr="00FA40EB">
        <w:t xml:space="preserve">Spectrum </w:t>
      </w:r>
      <w:r w:rsidR="00D267FF" w:rsidRPr="00FA40EB">
        <w:t xml:space="preserve">Management Policy </w:t>
      </w:r>
      <w:r w:rsidR="009B2601" w:rsidRPr="00FA40EB">
        <w:t>Branch</w:t>
      </w:r>
    </w:p>
    <w:p w14:paraId="0B3C5955" w14:textId="77777777" w:rsidR="009B2601" w:rsidRPr="00FA40EB" w:rsidRDefault="00715722" w:rsidP="009B2601">
      <w:pPr>
        <w:pStyle w:val="ACMANormalTabbed"/>
        <w:spacing w:after="0"/>
        <w:ind w:left="295"/>
      </w:pPr>
      <w:r w:rsidRPr="00FA40EB">
        <w:t>Australian Comm</w:t>
      </w:r>
      <w:r w:rsidR="009B2601" w:rsidRPr="00FA40EB">
        <w:t>unications and Media Authority</w:t>
      </w:r>
    </w:p>
    <w:p w14:paraId="253BD17F" w14:textId="77777777" w:rsidR="009B2601" w:rsidRPr="00FA40EB" w:rsidRDefault="009B2601" w:rsidP="009B2601">
      <w:pPr>
        <w:pStyle w:val="ACMANormalTabbed"/>
        <w:spacing w:after="0"/>
        <w:ind w:left="295"/>
      </w:pPr>
      <w:r w:rsidRPr="00FA40EB">
        <w:t>PO Box 78</w:t>
      </w:r>
    </w:p>
    <w:p w14:paraId="02E0B0C9" w14:textId="77777777" w:rsidR="00715722" w:rsidRPr="005E7226" w:rsidRDefault="00715722" w:rsidP="009B2601">
      <w:pPr>
        <w:pStyle w:val="ACMANormalTabbed"/>
        <w:ind w:left="295"/>
      </w:pPr>
      <w:r w:rsidRPr="00FA40EB">
        <w:t>Belconnen ACT 2616</w:t>
      </w:r>
    </w:p>
    <w:p w14:paraId="00EAB29D" w14:textId="248F6155" w:rsidR="00715722" w:rsidRPr="006D576C" w:rsidRDefault="00715722" w:rsidP="00715722">
      <w:pPr>
        <w:rPr>
          <w:rStyle w:val="Strong"/>
        </w:rPr>
      </w:pPr>
      <w:r w:rsidRPr="00DE3A72">
        <w:rPr>
          <w:rStyle w:val="Strong"/>
        </w:rPr>
        <w:t xml:space="preserve">The closing date for submissions is </w:t>
      </w:r>
      <w:r w:rsidR="00807E91" w:rsidRPr="00DE3A72">
        <w:rPr>
          <w:rStyle w:val="Strong"/>
        </w:rPr>
        <w:t>Friday 12</w:t>
      </w:r>
      <w:r w:rsidRPr="00DE3A72">
        <w:rPr>
          <w:rStyle w:val="Strong"/>
        </w:rPr>
        <w:t xml:space="preserve"> </w:t>
      </w:r>
      <w:r w:rsidR="00807E91" w:rsidRPr="00DE3A72">
        <w:rPr>
          <w:rStyle w:val="Strong"/>
        </w:rPr>
        <w:t xml:space="preserve">April </w:t>
      </w:r>
      <w:r w:rsidRPr="00DE3A72">
        <w:rPr>
          <w:rStyle w:val="Strong"/>
        </w:rPr>
        <w:t>201</w:t>
      </w:r>
      <w:r w:rsidR="00F87FCA" w:rsidRPr="00DE3A72">
        <w:rPr>
          <w:rStyle w:val="Strong"/>
        </w:rPr>
        <w:t>9</w:t>
      </w:r>
      <w:r w:rsidRPr="00DE3A72">
        <w:rPr>
          <w:rStyle w:val="Strong"/>
        </w:rPr>
        <w:t>.</w:t>
      </w:r>
    </w:p>
    <w:p w14:paraId="4DA313EC" w14:textId="51ED2BFD" w:rsidR="00765DF8" w:rsidRDefault="00765DF8" w:rsidP="00765DF8">
      <w:pPr>
        <w:pStyle w:val="ListBullet"/>
      </w:pPr>
      <w:r>
        <w:t>Consultation enquiries</w:t>
      </w:r>
      <w:r w:rsidRPr="005E7226">
        <w:t xml:space="preserve"> </w:t>
      </w:r>
      <w:r w:rsidR="00B01B60">
        <w:t>can be emailed to</w:t>
      </w:r>
      <w:r w:rsidRPr="005E7226">
        <w:t xml:space="preserve"> </w:t>
      </w:r>
      <w:hyperlink r:id="rId42" w:history="1">
        <w:r w:rsidR="002D1D77">
          <w:rPr>
            <w:rStyle w:val="Hyperlink"/>
          </w:rPr>
          <w:t>SpectrumLicensingPolicy@acma.gov.au</w:t>
        </w:r>
      </w:hyperlink>
      <w:r w:rsidRPr="00FA40EB">
        <w:t>.</w:t>
      </w:r>
    </w:p>
    <w:p w14:paraId="668349BB" w14:textId="77777777" w:rsidR="00511FE2" w:rsidRDefault="00511FE2" w:rsidP="00511FE2">
      <w:pPr>
        <w:pStyle w:val="BodySubHeader"/>
      </w:pPr>
      <w:r>
        <w:t>Publication of submissions</w:t>
      </w:r>
    </w:p>
    <w:p w14:paraId="55B06BD1" w14:textId="77777777" w:rsidR="00511FE2" w:rsidRDefault="00511FE2" w:rsidP="00511FE2">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6C250571" w14:textId="77777777" w:rsidR="00511FE2" w:rsidRDefault="00511FE2" w:rsidP="00511FE2">
      <w:r>
        <w:t>Confidential information will not be published or otherwise released unless required or authorised by law.</w:t>
      </w:r>
    </w:p>
    <w:p w14:paraId="634EBC0E" w14:textId="77777777" w:rsidR="00511FE2" w:rsidRDefault="00511FE2" w:rsidP="00511FE2">
      <w:pPr>
        <w:pStyle w:val="BodySubHeader"/>
      </w:pPr>
      <w:r>
        <w:t>Privacy</w:t>
      </w:r>
    </w:p>
    <w:p w14:paraId="5E91569A" w14:textId="77777777" w:rsidR="00511FE2" w:rsidRDefault="008D786C" w:rsidP="00511FE2">
      <w:pPr>
        <w:spacing w:after="0"/>
      </w:pPr>
      <w:hyperlink r:id="rId43" w:history="1">
        <w:r w:rsidR="00511FE2">
          <w:rPr>
            <w:rStyle w:val="Hyperlink"/>
            <w:i/>
          </w:rPr>
          <w:t>Privacy and consultation</w:t>
        </w:r>
      </w:hyperlink>
      <w:r w:rsidR="00511FE2">
        <w:t xml:space="preserve"> provides information about the ACMA’s collection of personal information during consultation and how we handle that information.  </w:t>
      </w:r>
    </w:p>
    <w:p w14:paraId="08B432E8" w14:textId="77777777" w:rsidR="00511FE2" w:rsidRDefault="00511FE2" w:rsidP="00511FE2">
      <w:pPr>
        <w:spacing w:after="0"/>
      </w:pPr>
    </w:p>
    <w:p w14:paraId="27B9BE11" w14:textId="0CDA33E5" w:rsidR="00A4193E" w:rsidRPr="0041233F" w:rsidRDefault="00511FE2" w:rsidP="001A44EC">
      <w:r>
        <w:t xml:space="preserve">Information on the </w:t>
      </w:r>
      <w:r>
        <w:rPr>
          <w:i/>
        </w:rPr>
        <w:t xml:space="preserve">Privacy Act 1988 </w:t>
      </w:r>
      <w:r>
        <w:t xml:space="preserve">and the ACMA’s privacy policy (including how to access or correct personal information, how to make a privacy complaint and how we will deal with the complaint) is available at </w:t>
      </w:r>
      <w:hyperlink r:id="rId44" w:tooltip="ACMA Privacy Policy" w:history="1">
        <w:r>
          <w:rPr>
            <w:rStyle w:val="Hyperlink"/>
          </w:rPr>
          <w:t>acma.gov.au/privacypolicy</w:t>
        </w:r>
      </w:hyperlink>
      <w:r>
        <w:t>.</w:t>
      </w:r>
      <w:bookmarkEnd w:id="27"/>
      <w:bookmarkEnd w:id="28"/>
      <w:bookmarkEnd w:id="29"/>
      <w:bookmarkEnd w:id="30"/>
      <w:r w:rsidR="00A4193E">
        <w:t xml:space="preserve"> </w:t>
      </w:r>
    </w:p>
    <w:p w14:paraId="4808FF1F" w14:textId="2F953FA6" w:rsidR="00FF3C69" w:rsidRDefault="00FF3C69" w:rsidP="00851F3F"/>
    <w:sectPr w:rsidR="00FF3C69" w:rsidSect="00C77380">
      <w:headerReference w:type="even" r:id="rId45"/>
      <w:headerReference w:type="default" r:id="rId46"/>
      <w:footerReference w:type="even" r:id="rId47"/>
      <w:footerReference w:type="default" r:id="rId4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FE034A" w14:textId="77777777" w:rsidR="00860A59" w:rsidRDefault="00860A59">
      <w:r>
        <w:separator/>
      </w:r>
    </w:p>
  </w:endnote>
  <w:endnote w:type="continuationSeparator" w:id="0">
    <w:p w14:paraId="00F6CC50" w14:textId="77777777" w:rsidR="00860A59" w:rsidRDefault="00860A59">
      <w:r>
        <w:continuationSeparator/>
      </w:r>
    </w:p>
  </w:endnote>
  <w:endnote w:type="continuationNotice" w:id="1">
    <w:p w14:paraId="572EF629" w14:textId="77777777" w:rsidR="00347A91" w:rsidRDefault="00347A9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B0FCBB" w14:textId="77777777" w:rsidR="00860A59" w:rsidRPr="00A5474E" w:rsidRDefault="00C0306C" w:rsidP="00A5474E">
    <w:pPr>
      <w:pStyle w:val="Footer"/>
    </w:pPr>
    <w:r>
      <w:rPr>
        <w:noProof/>
      </w:rPr>
      <w:drawing>
        <wp:inline distT="0" distB="0" distL="0" distR="0" wp14:anchorId="4E6541CD" wp14:editId="1D9A4352">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477A77" w14:textId="77777777" w:rsidR="00860A59" w:rsidRDefault="00860A5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ABEF5" w14:textId="77777777" w:rsidR="00860A59" w:rsidRDefault="00860A5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2069E9" w14:textId="77777777" w:rsidR="00860A59" w:rsidRPr="00622A3B" w:rsidRDefault="00860A59"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2D8BDE2C" w14:textId="77777777" w:rsidR="00860A59" w:rsidRPr="00A5474E" w:rsidRDefault="00860A59"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0AF5BD" w14:textId="77777777" w:rsidR="00860A59" w:rsidRPr="00622A3B" w:rsidRDefault="00860A59"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7825C67" w14:textId="77777777" w:rsidR="00860A59" w:rsidRPr="00A5474E" w:rsidRDefault="00860A59"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5395CD" w14:textId="77777777" w:rsidR="00860A59" w:rsidRPr="00622A3B" w:rsidRDefault="00860A59"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3EA6A7EC" w14:textId="77777777" w:rsidR="00860A59" w:rsidRPr="00A5474E" w:rsidRDefault="00860A59"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05062E" w14:textId="77777777" w:rsidR="00860A59" w:rsidRPr="00622A3B" w:rsidRDefault="00860A59"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6CAE2BC" w14:textId="77777777" w:rsidR="00860A59" w:rsidRPr="00A5474E" w:rsidRDefault="00860A59"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F730E7" w14:textId="77777777" w:rsidR="00860A59" w:rsidRPr="00622A3B" w:rsidRDefault="00860A59"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5</w:t>
    </w:r>
    <w:r w:rsidRPr="00575AC5">
      <w:rPr>
        <w:color w:val="505050"/>
      </w:rPr>
      <w:fldChar w:fldCharType="end"/>
    </w:r>
  </w:p>
  <w:p w14:paraId="051BF7CC" w14:textId="77777777" w:rsidR="00860A59" w:rsidRPr="00A5474E" w:rsidRDefault="00860A59"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67857A" w14:textId="77777777" w:rsidR="00860A59" w:rsidRDefault="00860A59">
      <w:r>
        <w:separator/>
      </w:r>
    </w:p>
  </w:footnote>
  <w:footnote w:type="continuationSeparator" w:id="0">
    <w:p w14:paraId="60943ADD" w14:textId="77777777" w:rsidR="00860A59" w:rsidRDefault="00860A59">
      <w:r>
        <w:continuationSeparator/>
      </w:r>
    </w:p>
  </w:footnote>
  <w:footnote w:type="continuationNotice" w:id="1">
    <w:p w14:paraId="27B3B280" w14:textId="77777777" w:rsidR="00347A91" w:rsidRDefault="00347A91">
      <w:pPr>
        <w:spacing w:after="0" w:line="240" w:lineRule="auto"/>
      </w:pPr>
    </w:p>
  </w:footnote>
  <w:footnote w:id="2">
    <w:p w14:paraId="1821D954" w14:textId="7F7AF431" w:rsidR="00860A59" w:rsidRDefault="00860A59">
      <w:pPr>
        <w:pStyle w:val="FootnoteText"/>
      </w:pPr>
      <w:r>
        <w:rPr>
          <w:rStyle w:val="FootnoteReference"/>
        </w:rPr>
        <w:footnoteRef/>
      </w:r>
      <w:r>
        <w:t xml:space="preserve"> Public mobile telecommunications service has the meaning given by section 32 of the </w:t>
      </w:r>
      <w:r>
        <w:rPr>
          <w:i/>
        </w:rPr>
        <w:t xml:space="preserve">Telecommunications </w:t>
      </w:r>
      <w:r>
        <w:rPr>
          <w:i/>
        </w:rPr>
        <w:br/>
        <w:t>Act 1997</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01C868" w14:textId="77777777" w:rsidR="00860A59" w:rsidRPr="00A5474E" w:rsidRDefault="00860A59" w:rsidP="00A5474E">
    <w:pPr>
      <w:pStyle w:val="Header"/>
    </w:pPr>
    <w:r>
      <w:rPr>
        <w:noProof/>
      </w:rPr>
      <w:drawing>
        <wp:inline distT="0" distB="0" distL="0" distR="0" wp14:anchorId="6C094F0E" wp14:editId="3C2ABB6E">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08B4A8" w14:textId="77777777" w:rsidR="00860A59" w:rsidRPr="00A5474E" w:rsidRDefault="00860A59"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1999E1" w14:textId="77777777" w:rsidR="00860A59" w:rsidRDefault="00860A5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850EBB" w14:textId="77777777" w:rsidR="00860A59" w:rsidRDefault="00860A5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860A59" w14:paraId="2D8FFDD0" w14:textId="77777777" w:rsidTr="00C0306C">
      <w:trPr>
        <w:trHeight w:hRule="exact" w:val="988"/>
      </w:trPr>
      <w:tc>
        <w:tcPr>
          <w:tcW w:w="7678" w:type="dxa"/>
          <w:shd w:val="clear" w:color="auto" w:fill="auto"/>
        </w:tcPr>
        <w:p w14:paraId="2D4790EF" w14:textId="77777777" w:rsidR="00860A59" w:rsidRDefault="00860A59" w:rsidP="00971914">
          <w:pPr>
            <w:pStyle w:val="Header"/>
          </w:pPr>
        </w:p>
      </w:tc>
    </w:tr>
    <w:tr w:rsidR="00860A59" w14:paraId="56533DC2" w14:textId="77777777" w:rsidTr="00C0306C">
      <w:tc>
        <w:tcPr>
          <w:tcW w:w="7678" w:type="dxa"/>
          <w:shd w:val="clear" w:color="auto" w:fill="auto"/>
        </w:tcPr>
        <w:p w14:paraId="0808D800" w14:textId="77777777" w:rsidR="00860A59" w:rsidRDefault="00860A59" w:rsidP="00971914">
          <w:pPr>
            <w:pStyle w:val="GridTable31"/>
          </w:pPr>
          <w:r>
            <w:t xml:space="preserve">Contents </w:t>
          </w:r>
          <w:r w:rsidRPr="00915B1C">
            <w:rPr>
              <w:b w:val="0"/>
              <w:spacing w:val="0"/>
              <w:sz w:val="28"/>
              <w:szCs w:val="28"/>
            </w:rPr>
            <w:t>(Continued)</w:t>
          </w:r>
        </w:p>
      </w:tc>
    </w:tr>
    <w:tr w:rsidR="00860A59" w14:paraId="715DAEFB" w14:textId="77777777" w:rsidTr="00C0306C">
      <w:trPr>
        <w:trHeight w:val="1220"/>
      </w:trPr>
      <w:tc>
        <w:tcPr>
          <w:tcW w:w="7678" w:type="dxa"/>
          <w:shd w:val="clear" w:color="auto" w:fill="auto"/>
        </w:tcPr>
        <w:p w14:paraId="52751970" w14:textId="77777777" w:rsidR="00860A59" w:rsidRDefault="00860A59" w:rsidP="00971914"/>
      </w:tc>
    </w:tr>
  </w:tbl>
  <w:p w14:paraId="320ED676" w14:textId="77777777" w:rsidR="00860A59" w:rsidRDefault="00860A59"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860A59" w14:paraId="4B6E8CFF" w14:textId="77777777" w:rsidTr="00C0306C">
      <w:trPr>
        <w:trHeight w:hRule="exact" w:val="988"/>
      </w:trPr>
      <w:tc>
        <w:tcPr>
          <w:tcW w:w="7678" w:type="dxa"/>
          <w:shd w:val="clear" w:color="auto" w:fill="auto"/>
        </w:tcPr>
        <w:p w14:paraId="64AC921F" w14:textId="77777777" w:rsidR="00860A59" w:rsidRDefault="00860A59" w:rsidP="00971914">
          <w:pPr>
            <w:pStyle w:val="Header"/>
          </w:pPr>
        </w:p>
      </w:tc>
    </w:tr>
    <w:tr w:rsidR="00860A59" w14:paraId="5D89E69A" w14:textId="77777777" w:rsidTr="00C0306C">
      <w:tc>
        <w:tcPr>
          <w:tcW w:w="7678" w:type="dxa"/>
          <w:shd w:val="clear" w:color="auto" w:fill="auto"/>
        </w:tcPr>
        <w:p w14:paraId="6B23F564" w14:textId="77777777" w:rsidR="00860A59" w:rsidRDefault="00860A59" w:rsidP="00971914">
          <w:pPr>
            <w:pStyle w:val="GridTable31"/>
          </w:pPr>
          <w:r>
            <w:t xml:space="preserve">Contents </w:t>
          </w:r>
          <w:r w:rsidRPr="00915B1C">
            <w:rPr>
              <w:b w:val="0"/>
              <w:spacing w:val="0"/>
              <w:sz w:val="28"/>
              <w:szCs w:val="28"/>
            </w:rPr>
            <w:t>(Continued)</w:t>
          </w:r>
        </w:p>
      </w:tc>
    </w:tr>
    <w:tr w:rsidR="00860A59" w14:paraId="27AA51FC" w14:textId="77777777" w:rsidTr="00C0306C">
      <w:trPr>
        <w:trHeight w:val="1220"/>
      </w:trPr>
      <w:tc>
        <w:tcPr>
          <w:tcW w:w="7678" w:type="dxa"/>
          <w:shd w:val="clear" w:color="auto" w:fill="auto"/>
        </w:tcPr>
        <w:p w14:paraId="0E6083BB" w14:textId="77777777" w:rsidR="00860A59" w:rsidRDefault="00860A59" w:rsidP="00971914"/>
      </w:tc>
    </w:tr>
  </w:tbl>
  <w:p w14:paraId="4C17FB1A" w14:textId="77777777" w:rsidR="00860A59" w:rsidRPr="00A5474E" w:rsidRDefault="00860A59"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7BCFE2" w14:textId="77777777" w:rsidR="00860A59" w:rsidRDefault="00860A5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CCBA39" w14:textId="77777777" w:rsidR="00860A59" w:rsidRDefault="00860A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2B42BDE"/>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26959F2"/>
    <w:multiLevelType w:val="hybridMultilevel"/>
    <w:tmpl w:val="CC4C2A76"/>
    <w:lvl w:ilvl="0" w:tplc="494A246A">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0"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7020905"/>
    <w:multiLevelType w:val="hybridMultilevel"/>
    <w:tmpl w:val="FF889C6C"/>
    <w:lvl w:ilvl="0" w:tplc="6BE0D378">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41DD02AA"/>
    <w:multiLevelType w:val="hybridMultilevel"/>
    <w:tmpl w:val="D5582810"/>
    <w:lvl w:ilvl="0" w:tplc="494A246A">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4A235D11"/>
    <w:multiLevelType w:val="hybridMultilevel"/>
    <w:tmpl w:val="56A8C516"/>
    <w:lvl w:ilvl="0" w:tplc="494A246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C0363EA"/>
    <w:multiLevelType w:val="hybridMultilevel"/>
    <w:tmpl w:val="9DFEB7F8"/>
    <w:lvl w:ilvl="0" w:tplc="6BE0D378">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2"/>
  </w:num>
  <w:num w:numId="2">
    <w:abstractNumId w:val="3"/>
  </w:num>
  <w:num w:numId="3">
    <w:abstractNumId w:val="1"/>
  </w:num>
  <w:num w:numId="4">
    <w:abstractNumId w:val="9"/>
  </w:num>
  <w:num w:numId="5">
    <w:abstractNumId w:val="16"/>
  </w:num>
  <w:num w:numId="6">
    <w:abstractNumId w:val="14"/>
  </w:num>
  <w:num w:numId="7">
    <w:abstractNumId w:val="15"/>
  </w:num>
  <w:num w:numId="8">
    <w:abstractNumId w:val="17"/>
  </w:num>
  <w:num w:numId="9">
    <w:abstractNumId w:val="6"/>
  </w:num>
  <w:num w:numId="10">
    <w:abstractNumId w:val="5"/>
  </w:num>
  <w:num w:numId="11">
    <w:abstractNumId w:val="7"/>
  </w:num>
  <w:num w:numId="12">
    <w:abstractNumId w:val="12"/>
  </w:num>
  <w:num w:numId="13">
    <w:abstractNumId w:val="8"/>
  </w:num>
  <w:num w:numId="14">
    <w:abstractNumId w:val="10"/>
  </w:num>
  <w:num w:numId="15">
    <w:abstractNumId w:val="11"/>
  </w:num>
  <w:num w:numId="16">
    <w:abstractNumId w:val="18"/>
  </w:num>
  <w:num w:numId="17">
    <w:abstractNumId w:val="13"/>
  </w:num>
  <w:num w:numId="18">
    <w:abstractNumId w:val="4"/>
  </w:num>
  <w:num w:numId="19">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1843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0BE5"/>
    <w:rsid w:val="00002BDB"/>
    <w:rsid w:val="00006BAF"/>
    <w:rsid w:val="00010667"/>
    <w:rsid w:val="00011B00"/>
    <w:rsid w:val="000129D5"/>
    <w:rsid w:val="00014A7A"/>
    <w:rsid w:val="00015AE7"/>
    <w:rsid w:val="00016E21"/>
    <w:rsid w:val="0001719C"/>
    <w:rsid w:val="0002224E"/>
    <w:rsid w:val="0002390F"/>
    <w:rsid w:val="00024B9B"/>
    <w:rsid w:val="00026F91"/>
    <w:rsid w:val="00035465"/>
    <w:rsid w:val="000465EF"/>
    <w:rsid w:val="00047082"/>
    <w:rsid w:val="0004764C"/>
    <w:rsid w:val="0005011A"/>
    <w:rsid w:val="0005045A"/>
    <w:rsid w:val="00051C1E"/>
    <w:rsid w:val="00052162"/>
    <w:rsid w:val="00052888"/>
    <w:rsid w:val="000539F9"/>
    <w:rsid w:val="00053D56"/>
    <w:rsid w:val="00054C27"/>
    <w:rsid w:val="00055EC3"/>
    <w:rsid w:val="000563CE"/>
    <w:rsid w:val="000659B6"/>
    <w:rsid w:val="0006686F"/>
    <w:rsid w:val="0006722A"/>
    <w:rsid w:val="0007193B"/>
    <w:rsid w:val="00071E55"/>
    <w:rsid w:val="000732CF"/>
    <w:rsid w:val="00075B96"/>
    <w:rsid w:val="00076899"/>
    <w:rsid w:val="0008196A"/>
    <w:rsid w:val="000915ED"/>
    <w:rsid w:val="00091AA3"/>
    <w:rsid w:val="0009209D"/>
    <w:rsid w:val="00095E97"/>
    <w:rsid w:val="000969BD"/>
    <w:rsid w:val="000969BF"/>
    <w:rsid w:val="000A0C22"/>
    <w:rsid w:val="000A1400"/>
    <w:rsid w:val="000A3281"/>
    <w:rsid w:val="000A3C43"/>
    <w:rsid w:val="000A4A51"/>
    <w:rsid w:val="000A50B6"/>
    <w:rsid w:val="000A5D2B"/>
    <w:rsid w:val="000A7468"/>
    <w:rsid w:val="000A7E1A"/>
    <w:rsid w:val="000B4D35"/>
    <w:rsid w:val="000B5DE3"/>
    <w:rsid w:val="000C0A57"/>
    <w:rsid w:val="000C230C"/>
    <w:rsid w:val="000C5F08"/>
    <w:rsid w:val="000C6AB4"/>
    <w:rsid w:val="000C7303"/>
    <w:rsid w:val="000D07C4"/>
    <w:rsid w:val="000D0F1E"/>
    <w:rsid w:val="000D71D9"/>
    <w:rsid w:val="000D76E0"/>
    <w:rsid w:val="000D7E8B"/>
    <w:rsid w:val="000E4449"/>
    <w:rsid w:val="000E6097"/>
    <w:rsid w:val="000F3929"/>
    <w:rsid w:val="000F73F8"/>
    <w:rsid w:val="000F7E5A"/>
    <w:rsid w:val="00103829"/>
    <w:rsid w:val="0010535A"/>
    <w:rsid w:val="00110875"/>
    <w:rsid w:val="00111FCE"/>
    <w:rsid w:val="001229A5"/>
    <w:rsid w:val="0012489B"/>
    <w:rsid w:val="001275C8"/>
    <w:rsid w:val="00130017"/>
    <w:rsid w:val="00130F91"/>
    <w:rsid w:val="001349ED"/>
    <w:rsid w:val="00137424"/>
    <w:rsid w:val="00140318"/>
    <w:rsid w:val="00141AD9"/>
    <w:rsid w:val="00141F40"/>
    <w:rsid w:val="00146CE6"/>
    <w:rsid w:val="00152903"/>
    <w:rsid w:val="00153FD5"/>
    <w:rsid w:val="0015614F"/>
    <w:rsid w:val="00156621"/>
    <w:rsid w:val="001577C2"/>
    <w:rsid w:val="00160C75"/>
    <w:rsid w:val="00162B27"/>
    <w:rsid w:val="001633C4"/>
    <w:rsid w:val="001704D5"/>
    <w:rsid w:val="00171591"/>
    <w:rsid w:val="00173981"/>
    <w:rsid w:val="0017719D"/>
    <w:rsid w:val="00183FD7"/>
    <w:rsid w:val="00185CAB"/>
    <w:rsid w:val="001875B7"/>
    <w:rsid w:val="00187CB3"/>
    <w:rsid w:val="0019040C"/>
    <w:rsid w:val="0019050A"/>
    <w:rsid w:val="001910D4"/>
    <w:rsid w:val="00192105"/>
    <w:rsid w:val="00195F99"/>
    <w:rsid w:val="001976E3"/>
    <w:rsid w:val="001A1A92"/>
    <w:rsid w:val="001A44EC"/>
    <w:rsid w:val="001B58AA"/>
    <w:rsid w:val="001B7E48"/>
    <w:rsid w:val="001C17CE"/>
    <w:rsid w:val="001C31B3"/>
    <w:rsid w:val="001C36CA"/>
    <w:rsid w:val="001C44D1"/>
    <w:rsid w:val="001C62B8"/>
    <w:rsid w:val="001C6ADA"/>
    <w:rsid w:val="001C6AEE"/>
    <w:rsid w:val="001C7630"/>
    <w:rsid w:val="001D38C2"/>
    <w:rsid w:val="001D5993"/>
    <w:rsid w:val="001D6D15"/>
    <w:rsid w:val="001D718C"/>
    <w:rsid w:val="001F2458"/>
    <w:rsid w:val="001F5B37"/>
    <w:rsid w:val="001F7558"/>
    <w:rsid w:val="001F76E6"/>
    <w:rsid w:val="0020261E"/>
    <w:rsid w:val="00205B57"/>
    <w:rsid w:val="0020763E"/>
    <w:rsid w:val="00211176"/>
    <w:rsid w:val="002157E0"/>
    <w:rsid w:val="00216A57"/>
    <w:rsid w:val="00221145"/>
    <w:rsid w:val="0022334F"/>
    <w:rsid w:val="002261BF"/>
    <w:rsid w:val="00226819"/>
    <w:rsid w:val="00233101"/>
    <w:rsid w:val="00233817"/>
    <w:rsid w:val="002367FF"/>
    <w:rsid w:val="00240CE9"/>
    <w:rsid w:val="002422B3"/>
    <w:rsid w:val="002434BA"/>
    <w:rsid w:val="00243825"/>
    <w:rsid w:val="00243C88"/>
    <w:rsid w:val="00246089"/>
    <w:rsid w:val="00246093"/>
    <w:rsid w:val="00246702"/>
    <w:rsid w:val="002471D8"/>
    <w:rsid w:val="00247717"/>
    <w:rsid w:val="00247C59"/>
    <w:rsid w:val="00247F2E"/>
    <w:rsid w:val="00250ADC"/>
    <w:rsid w:val="00250B07"/>
    <w:rsid w:val="002512C7"/>
    <w:rsid w:val="00254696"/>
    <w:rsid w:val="00257553"/>
    <w:rsid w:val="00260FB2"/>
    <w:rsid w:val="00261F61"/>
    <w:rsid w:val="00262128"/>
    <w:rsid w:val="002641A9"/>
    <w:rsid w:val="0027165D"/>
    <w:rsid w:val="00273CEB"/>
    <w:rsid w:val="002756A4"/>
    <w:rsid w:val="00275CFD"/>
    <w:rsid w:val="00281C89"/>
    <w:rsid w:val="0028282F"/>
    <w:rsid w:val="00291917"/>
    <w:rsid w:val="00294119"/>
    <w:rsid w:val="0029593B"/>
    <w:rsid w:val="00297FC5"/>
    <w:rsid w:val="002A0417"/>
    <w:rsid w:val="002A16D8"/>
    <w:rsid w:val="002A1BC8"/>
    <w:rsid w:val="002A3EF2"/>
    <w:rsid w:val="002B0DED"/>
    <w:rsid w:val="002B0EC6"/>
    <w:rsid w:val="002B19A2"/>
    <w:rsid w:val="002B27D9"/>
    <w:rsid w:val="002B381A"/>
    <w:rsid w:val="002B4FCC"/>
    <w:rsid w:val="002B7408"/>
    <w:rsid w:val="002B7CFD"/>
    <w:rsid w:val="002C049B"/>
    <w:rsid w:val="002C1573"/>
    <w:rsid w:val="002C210F"/>
    <w:rsid w:val="002C55D0"/>
    <w:rsid w:val="002D1D77"/>
    <w:rsid w:val="002D3600"/>
    <w:rsid w:val="002E4DDC"/>
    <w:rsid w:val="002F4B61"/>
    <w:rsid w:val="00300890"/>
    <w:rsid w:val="00302480"/>
    <w:rsid w:val="00313E81"/>
    <w:rsid w:val="003165E6"/>
    <w:rsid w:val="003175F1"/>
    <w:rsid w:val="003215B5"/>
    <w:rsid w:val="003221CF"/>
    <w:rsid w:val="003233ED"/>
    <w:rsid w:val="00324D9F"/>
    <w:rsid w:val="00325ADE"/>
    <w:rsid w:val="00327948"/>
    <w:rsid w:val="0033000F"/>
    <w:rsid w:val="00332011"/>
    <w:rsid w:val="00332518"/>
    <w:rsid w:val="00332925"/>
    <w:rsid w:val="003332ED"/>
    <w:rsid w:val="003345B8"/>
    <w:rsid w:val="0033471F"/>
    <w:rsid w:val="003368DC"/>
    <w:rsid w:val="00345350"/>
    <w:rsid w:val="00345927"/>
    <w:rsid w:val="00347A91"/>
    <w:rsid w:val="00350210"/>
    <w:rsid w:val="00350584"/>
    <w:rsid w:val="00351857"/>
    <w:rsid w:val="003545E8"/>
    <w:rsid w:val="0036051B"/>
    <w:rsid w:val="003610E1"/>
    <w:rsid w:val="0036239C"/>
    <w:rsid w:val="003652A7"/>
    <w:rsid w:val="003671BE"/>
    <w:rsid w:val="00372485"/>
    <w:rsid w:val="00373200"/>
    <w:rsid w:val="00375EF5"/>
    <w:rsid w:val="003767A5"/>
    <w:rsid w:val="00381D15"/>
    <w:rsid w:val="00385254"/>
    <w:rsid w:val="00385B9D"/>
    <w:rsid w:val="00396CA7"/>
    <w:rsid w:val="003A04DB"/>
    <w:rsid w:val="003A5F5B"/>
    <w:rsid w:val="003A789A"/>
    <w:rsid w:val="003B12EC"/>
    <w:rsid w:val="003B7BCA"/>
    <w:rsid w:val="003C1ED7"/>
    <w:rsid w:val="003C4E67"/>
    <w:rsid w:val="003C77E0"/>
    <w:rsid w:val="003D0842"/>
    <w:rsid w:val="003D17D7"/>
    <w:rsid w:val="003D2678"/>
    <w:rsid w:val="003D31AE"/>
    <w:rsid w:val="003D3A17"/>
    <w:rsid w:val="003D71A3"/>
    <w:rsid w:val="003E2B8A"/>
    <w:rsid w:val="003E2D68"/>
    <w:rsid w:val="003E509C"/>
    <w:rsid w:val="003E6549"/>
    <w:rsid w:val="003F10EE"/>
    <w:rsid w:val="003F16F6"/>
    <w:rsid w:val="003F2B9C"/>
    <w:rsid w:val="003F4DC7"/>
    <w:rsid w:val="003F5235"/>
    <w:rsid w:val="00402645"/>
    <w:rsid w:val="004027E4"/>
    <w:rsid w:val="0041071D"/>
    <w:rsid w:val="004115C5"/>
    <w:rsid w:val="00414AFC"/>
    <w:rsid w:val="004151A7"/>
    <w:rsid w:val="00415310"/>
    <w:rsid w:val="00417CE2"/>
    <w:rsid w:val="00421709"/>
    <w:rsid w:val="00423763"/>
    <w:rsid w:val="00424D53"/>
    <w:rsid w:val="00424F6B"/>
    <w:rsid w:val="0042762F"/>
    <w:rsid w:val="00427DC7"/>
    <w:rsid w:val="00431613"/>
    <w:rsid w:val="00431792"/>
    <w:rsid w:val="0043297A"/>
    <w:rsid w:val="00432EB2"/>
    <w:rsid w:val="00433D41"/>
    <w:rsid w:val="004356B3"/>
    <w:rsid w:val="0043714F"/>
    <w:rsid w:val="004438B5"/>
    <w:rsid w:val="00447037"/>
    <w:rsid w:val="0045124D"/>
    <w:rsid w:val="00452803"/>
    <w:rsid w:val="00454596"/>
    <w:rsid w:val="0045605D"/>
    <w:rsid w:val="0046135B"/>
    <w:rsid w:val="0046143A"/>
    <w:rsid w:val="00461D47"/>
    <w:rsid w:val="004701FD"/>
    <w:rsid w:val="004718CC"/>
    <w:rsid w:val="00473894"/>
    <w:rsid w:val="00481695"/>
    <w:rsid w:val="004832B0"/>
    <w:rsid w:val="00487354"/>
    <w:rsid w:val="0049302B"/>
    <w:rsid w:val="00493C2F"/>
    <w:rsid w:val="00494DF8"/>
    <w:rsid w:val="00495A96"/>
    <w:rsid w:val="00495BB3"/>
    <w:rsid w:val="004A56BB"/>
    <w:rsid w:val="004A5CD9"/>
    <w:rsid w:val="004B1751"/>
    <w:rsid w:val="004B49BF"/>
    <w:rsid w:val="004B4B79"/>
    <w:rsid w:val="004B7671"/>
    <w:rsid w:val="004C0253"/>
    <w:rsid w:val="004C4D18"/>
    <w:rsid w:val="004D56FF"/>
    <w:rsid w:val="004D6706"/>
    <w:rsid w:val="004D7415"/>
    <w:rsid w:val="004E39D3"/>
    <w:rsid w:val="004E49BA"/>
    <w:rsid w:val="004E508A"/>
    <w:rsid w:val="004E5114"/>
    <w:rsid w:val="004E5728"/>
    <w:rsid w:val="004E616D"/>
    <w:rsid w:val="004F1BDE"/>
    <w:rsid w:val="004F2CEE"/>
    <w:rsid w:val="004F556E"/>
    <w:rsid w:val="004F591C"/>
    <w:rsid w:val="004F7F44"/>
    <w:rsid w:val="0050039F"/>
    <w:rsid w:val="005032F2"/>
    <w:rsid w:val="00503352"/>
    <w:rsid w:val="005037B4"/>
    <w:rsid w:val="0050641F"/>
    <w:rsid w:val="005079BF"/>
    <w:rsid w:val="00511FE2"/>
    <w:rsid w:val="0051269A"/>
    <w:rsid w:val="005131E8"/>
    <w:rsid w:val="00514CE9"/>
    <w:rsid w:val="005219E7"/>
    <w:rsid w:val="0052509C"/>
    <w:rsid w:val="00531B9A"/>
    <w:rsid w:val="00531D15"/>
    <w:rsid w:val="00537604"/>
    <w:rsid w:val="00542377"/>
    <w:rsid w:val="00546298"/>
    <w:rsid w:val="00546404"/>
    <w:rsid w:val="005476EB"/>
    <w:rsid w:val="00551782"/>
    <w:rsid w:val="00552BC6"/>
    <w:rsid w:val="0055306F"/>
    <w:rsid w:val="005576E6"/>
    <w:rsid w:val="00563EF1"/>
    <w:rsid w:val="00566AB4"/>
    <w:rsid w:val="005718C1"/>
    <w:rsid w:val="00574C16"/>
    <w:rsid w:val="00575AC5"/>
    <w:rsid w:val="0057605D"/>
    <w:rsid w:val="005762F9"/>
    <w:rsid w:val="00581347"/>
    <w:rsid w:val="00581AC9"/>
    <w:rsid w:val="005849F8"/>
    <w:rsid w:val="00587A3E"/>
    <w:rsid w:val="00591F54"/>
    <w:rsid w:val="005938DF"/>
    <w:rsid w:val="00594E9C"/>
    <w:rsid w:val="005961BF"/>
    <w:rsid w:val="005A099B"/>
    <w:rsid w:val="005A2D9C"/>
    <w:rsid w:val="005A55FE"/>
    <w:rsid w:val="005A6A11"/>
    <w:rsid w:val="005B0363"/>
    <w:rsid w:val="005B139A"/>
    <w:rsid w:val="005B2A63"/>
    <w:rsid w:val="005B5A82"/>
    <w:rsid w:val="005B69D4"/>
    <w:rsid w:val="005C2520"/>
    <w:rsid w:val="005D2502"/>
    <w:rsid w:val="005D398A"/>
    <w:rsid w:val="005D40BB"/>
    <w:rsid w:val="005D47F3"/>
    <w:rsid w:val="005D49BF"/>
    <w:rsid w:val="005D4AA5"/>
    <w:rsid w:val="005D6F4E"/>
    <w:rsid w:val="005D7C73"/>
    <w:rsid w:val="005D7D2B"/>
    <w:rsid w:val="005E3ACD"/>
    <w:rsid w:val="005E669E"/>
    <w:rsid w:val="005E7226"/>
    <w:rsid w:val="005E7A57"/>
    <w:rsid w:val="005F1339"/>
    <w:rsid w:val="005F24B0"/>
    <w:rsid w:val="005F5FB7"/>
    <w:rsid w:val="00601C51"/>
    <w:rsid w:val="00604315"/>
    <w:rsid w:val="00604E26"/>
    <w:rsid w:val="006052CF"/>
    <w:rsid w:val="00607B8D"/>
    <w:rsid w:val="00611F5C"/>
    <w:rsid w:val="00613396"/>
    <w:rsid w:val="0061620F"/>
    <w:rsid w:val="00616E09"/>
    <w:rsid w:val="00622A3B"/>
    <w:rsid w:val="00622EEA"/>
    <w:rsid w:val="006236F4"/>
    <w:rsid w:val="0062396C"/>
    <w:rsid w:val="00623FF9"/>
    <w:rsid w:val="00627D4E"/>
    <w:rsid w:val="00632B89"/>
    <w:rsid w:val="00634478"/>
    <w:rsid w:val="00644373"/>
    <w:rsid w:val="00645915"/>
    <w:rsid w:val="00647800"/>
    <w:rsid w:val="006519C3"/>
    <w:rsid w:val="0065260A"/>
    <w:rsid w:val="00652B30"/>
    <w:rsid w:val="00656345"/>
    <w:rsid w:val="00656DC6"/>
    <w:rsid w:val="00660EC6"/>
    <w:rsid w:val="00662882"/>
    <w:rsid w:val="00664110"/>
    <w:rsid w:val="00664D17"/>
    <w:rsid w:val="006662CD"/>
    <w:rsid w:val="00666520"/>
    <w:rsid w:val="00667A56"/>
    <w:rsid w:val="00667C5B"/>
    <w:rsid w:val="006700FC"/>
    <w:rsid w:val="006900CE"/>
    <w:rsid w:val="00691EB8"/>
    <w:rsid w:val="00692CDE"/>
    <w:rsid w:val="00693073"/>
    <w:rsid w:val="006977FF"/>
    <w:rsid w:val="006A01FA"/>
    <w:rsid w:val="006A0E9E"/>
    <w:rsid w:val="006A25C7"/>
    <w:rsid w:val="006A4AAD"/>
    <w:rsid w:val="006A6DA2"/>
    <w:rsid w:val="006A7AB2"/>
    <w:rsid w:val="006B424F"/>
    <w:rsid w:val="006B5717"/>
    <w:rsid w:val="006B582F"/>
    <w:rsid w:val="006C0CEB"/>
    <w:rsid w:val="006C38EF"/>
    <w:rsid w:val="006C3B1E"/>
    <w:rsid w:val="006C47FD"/>
    <w:rsid w:val="006C5C19"/>
    <w:rsid w:val="006C70A0"/>
    <w:rsid w:val="006D02BF"/>
    <w:rsid w:val="006D0421"/>
    <w:rsid w:val="006D27CB"/>
    <w:rsid w:val="006D2F08"/>
    <w:rsid w:val="006D3AD8"/>
    <w:rsid w:val="006D4E10"/>
    <w:rsid w:val="006D576C"/>
    <w:rsid w:val="006D5865"/>
    <w:rsid w:val="006E4B1B"/>
    <w:rsid w:val="006E5445"/>
    <w:rsid w:val="006E7D93"/>
    <w:rsid w:val="006F2149"/>
    <w:rsid w:val="006F4D78"/>
    <w:rsid w:val="006F7A1F"/>
    <w:rsid w:val="007029A3"/>
    <w:rsid w:val="00705088"/>
    <w:rsid w:val="00706E4E"/>
    <w:rsid w:val="0070791C"/>
    <w:rsid w:val="00711374"/>
    <w:rsid w:val="0071383C"/>
    <w:rsid w:val="00713DFA"/>
    <w:rsid w:val="007141A7"/>
    <w:rsid w:val="00714318"/>
    <w:rsid w:val="00714825"/>
    <w:rsid w:val="00715722"/>
    <w:rsid w:val="00717339"/>
    <w:rsid w:val="00721032"/>
    <w:rsid w:val="00721B55"/>
    <w:rsid w:val="00726CE4"/>
    <w:rsid w:val="007339D1"/>
    <w:rsid w:val="00734143"/>
    <w:rsid w:val="00737E47"/>
    <w:rsid w:val="00740EAC"/>
    <w:rsid w:val="007418DE"/>
    <w:rsid w:val="0074194F"/>
    <w:rsid w:val="00743EC7"/>
    <w:rsid w:val="00744141"/>
    <w:rsid w:val="00744956"/>
    <w:rsid w:val="00745A5C"/>
    <w:rsid w:val="00745C3F"/>
    <w:rsid w:val="0074605F"/>
    <w:rsid w:val="00746767"/>
    <w:rsid w:val="00747E94"/>
    <w:rsid w:val="0075094F"/>
    <w:rsid w:val="00754C83"/>
    <w:rsid w:val="00757BCD"/>
    <w:rsid w:val="00763625"/>
    <w:rsid w:val="007653C0"/>
    <w:rsid w:val="00765DF8"/>
    <w:rsid w:val="00766749"/>
    <w:rsid w:val="00767C1B"/>
    <w:rsid w:val="007714A9"/>
    <w:rsid w:val="0077347F"/>
    <w:rsid w:val="00774F88"/>
    <w:rsid w:val="00774FDB"/>
    <w:rsid w:val="007750D7"/>
    <w:rsid w:val="00777BA2"/>
    <w:rsid w:val="007802AF"/>
    <w:rsid w:val="00781408"/>
    <w:rsid w:val="00782397"/>
    <w:rsid w:val="00784F7F"/>
    <w:rsid w:val="007878BD"/>
    <w:rsid w:val="00790F63"/>
    <w:rsid w:val="00793DD2"/>
    <w:rsid w:val="00794C32"/>
    <w:rsid w:val="00796F25"/>
    <w:rsid w:val="007978D2"/>
    <w:rsid w:val="007A2E98"/>
    <w:rsid w:val="007A3503"/>
    <w:rsid w:val="007A3BA3"/>
    <w:rsid w:val="007A6CC0"/>
    <w:rsid w:val="007A7FEC"/>
    <w:rsid w:val="007B1499"/>
    <w:rsid w:val="007B1682"/>
    <w:rsid w:val="007B1BBF"/>
    <w:rsid w:val="007B2960"/>
    <w:rsid w:val="007B355D"/>
    <w:rsid w:val="007B60F5"/>
    <w:rsid w:val="007B7980"/>
    <w:rsid w:val="007C0C6B"/>
    <w:rsid w:val="007C0DEF"/>
    <w:rsid w:val="007C154C"/>
    <w:rsid w:val="007C1919"/>
    <w:rsid w:val="007C3CA5"/>
    <w:rsid w:val="007C4E92"/>
    <w:rsid w:val="007C5D5A"/>
    <w:rsid w:val="007C607F"/>
    <w:rsid w:val="007C79DD"/>
    <w:rsid w:val="007D1A97"/>
    <w:rsid w:val="007D2CD6"/>
    <w:rsid w:val="007D3063"/>
    <w:rsid w:val="007D3CEB"/>
    <w:rsid w:val="007E23F9"/>
    <w:rsid w:val="007E7683"/>
    <w:rsid w:val="007F428D"/>
    <w:rsid w:val="007F49FA"/>
    <w:rsid w:val="007F54C4"/>
    <w:rsid w:val="007F6E9A"/>
    <w:rsid w:val="008044D4"/>
    <w:rsid w:val="00807E91"/>
    <w:rsid w:val="00810AB4"/>
    <w:rsid w:val="00817B56"/>
    <w:rsid w:val="00820F24"/>
    <w:rsid w:val="00821A88"/>
    <w:rsid w:val="0082495D"/>
    <w:rsid w:val="00830EAC"/>
    <w:rsid w:val="00831AC3"/>
    <w:rsid w:val="00832E6E"/>
    <w:rsid w:val="0083367B"/>
    <w:rsid w:val="00835BCF"/>
    <w:rsid w:val="00836573"/>
    <w:rsid w:val="008408FF"/>
    <w:rsid w:val="008443A0"/>
    <w:rsid w:val="00851F3F"/>
    <w:rsid w:val="00856EDC"/>
    <w:rsid w:val="00860A59"/>
    <w:rsid w:val="008623B5"/>
    <w:rsid w:val="00867AAA"/>
    <w:rsid w:val="00870ABA"/>
    <w:rsid w:val="008710E1"/>
    <w:rsid w:val="008716E5"/>
    <w:rsid w:val="00874C06"/>
    <w:rsid w:val="0087748A"/>
    <w:rsid w:val="008810D6"/>
    <w:rsid w:val="008813C2"/>
    <w:rsid w:val="008817ED"/>
    <w:rsid w:val="00881CA9"/>
    <w:rsid w:val="00883628"/>
    <w:rsid w:val="00885544"/>
    <w:rsid w:val="0088634E"/>
    <w:rsid w:val="0089381A"/>
    <w:rsid w:val="00893AB8"/>
    <w:rsid w:val="008979EC"/>
    <w:rsid w:val="008A04C8"/>
    <w:rsid w:val="008A6913"/>
    <w:rsid w:val="008A70F6"/>
    <w:rsid w:val="008B1135"/>
    <w:rsid w:val="008B67F4"/>
    <w:rsid w:val="008B70F3"/>
    <w:rsid w:val="008B71C4"/>
    <w:rsid w:val="008B76DF"/>
    <w:rsid w:val="008C10F4"/>
    <w:rsid w:val="008C41D6"/>
    <w:rsid w:val="008C65F7"/>
    <w:rsid w:val="008D104B"/>
    <w:rsid w:val="008D2E64"/>
    <w:rsid w:val="008D3664"/>
    <w:rsid w:val="008D53F8"/>
    <w:rsid w:val="008D786C"/>
    <w:rsid w:val="008E4767"/>
    <w:rsid w:val="008E4BF1"/>
    <w:rsid w:val="008E7A8C"/>
    <w:rsid w:val="008F2D0F"/>
    <w:rsid w:val="00903285"/>
    <w:rsid w:val="009052DF"/>
    <w:rsid w:val="00906B05"/>
    <w:rsid w:val="00906F40"/>
    <w:rsid w:val="0090731E"/>
    <w:rsid w:val="00915B1C"/>
    <w:rsid w:val="009174F3"/>
    <w:rsid w:val="0091797D"/>
    <w:rsid w:val="00923CBA"/>
    <w:rsid w:val="00926703"/>
    <w:rsid w:val="009268E0"/>
    <w:rsid w:val="00927691"/>
    <w:rsid w:val="00927A5F"/>
    <w:rsid w:val="00930BC4"/>
    <w:rsid w:val="0093587D"/>
    <w:rsid w:val="00935B63"/>
    <w:rsid w:val="0093792B"/>
    <w:rsid w:val="0094078F"/>
    <w:rsid w:val="00940FA3"/>
    <w:rsid w:val="00941FB0"/>
    <w:rsid w:val="009426D4"/>
    <w:rsid w:val="00947F25"/>
    <w:rsid w:val="00950159"/>
    <w:rsid w:val="0095490B"/>
    <w:rsid w:val="00960A33"/>
    <w:rsid w:val="00961D0B"/>
    <w:rsid w:val="00971914"/>
    <w:rsid w:val="00974363"/>
    <w:rsid w:val="009766B0"/>
    <w:rsid w:val="00980B36"/>
    <w:rsid w:val="00980D81"/>
    <w:rsid w:val="00981898"/>
    <w:rsid w:val="00995069"/>
    <w:rsid w:val="00995078"/>
    <w:rsid w:val="0099577C"/>
    <w:rsid w:val="009A0B01"/>
    <w:rsid w:val="009A5F8F"/>
    <w:rsid w:val="009B2601"/>
    <w:rsid w:val="009B296A"/>
    <w:rsid w:val="009B4E9E"/>
    <w:rsid w:val="009B4F4E"/>
    <w:rsid w:val="009B7BB5"/>
    <w:rsid w:val="009C1690"/>
    <w:rsid w:val="009C2B77"/>
    <w:rsid w:val="009C4FDC"/>
    <w:rsid w:val="009C6881"/>
    <w:rsid w:val="009C7759"/>
    <w:rsid w:val="009D043D"/>
    <w:rsid w:val="009D07C8"/>
    <w:rsid w:val="009D324A"/>
    <w:rsid w:val="009D6C71"/>
    <w:rsid w:val="009E0631"/>
    <w:rsid w:val="009E16D0"/>
    <w:rsid w:val="009E38FD"/>
    <w:rsid w:val="009E42FC"/>
    <w:rsid w:val="009F123E"/>
    <w:rsid w:val="009F13D6"/>
    <w:rsid w:val="009F4C6B"/>
    <w:rsid w:val="009F78A8"/>
    <w:rsid w:val="00A02AD6"/>
    <w:rsid w:val="00A07096"/>
    <w:rsid w:val="00A07318"/>
    <w:rsid w:val="00A07FE7"/>
    <w:rsid w:val="00A11370"/>
    <w:rsid w:val="00A13F4C"/>
    <w:rsid w:val="00A155DB"/>
    <w:rsid w:val="00A178A8"/>
    <w:rsid w:val="00A224CE"/>
    <w:rsid w:val="00A22522"/>
    <w:rsid w:val="00A24AFD"/>
    <w:rsid w:val="00A24F5C"/>
    <w:rsid w:val="00A259D3"/>
    <w:rsid w:val="00A30851"/>
    <w:rsid w:val="00A311DE"/>
    <w:rsid w:val="00A32F96"/>
    <w:rsid w:val="00A40871"/>
    <w:rsid w:val="00A40B07"/>
    <w:rsid w:val="00A412AB"/>
    <w:rsid w:val="00A4193E"/>
    <w:rsid w:val="00A440E0"/>
    <w:rsid w:val="00A442EF"/>
    <w:rsid w:val="00A51D1A"/>
    <w:rsid w:val="00A5338A"/>
    <w:rsid w:val="00A5418D"/>
    <w:rsid w:val="00A5474E"/>
    <w:rsid w:val="00A60BE5"/>
    <w:rsid w:val="00A64234"/>
    <w:rsid w:val="00A65D02"/>
    <w:rsid w:val="00A66D7F"/>
    <w:rsid w:val="00A70ADF"/>
    <w:rsid w:val="00A71466"/>
    <w:rsid w:val="00A7173B"/>
    <w:rsid w:val="00A74B5E"/>
    <w:rsid w:val="00A81BED"/>
    <w:rsid w:val="00A81EC4"/>
    <w:rsid w:val="00A86526"/>
    <w:rsid w:val="00A87296"/>
    <w:rsid w:val="00A90351"/>
    <w:rsid w:val="00A967FD"/>
    <w:rsid w:val="00A96A54"/>
    <w:rsid w:val="00AA2DE5"/>
    <w:rsid w:val="00AA54F8"/>
    <w:rsid w:val="00AB156C"/>
    <w:rsid w:val="00AB6814"/>
    <w:rsid w:val="00AC04BA"/>
    <w:rsid w:val="00AC0E39"/>
    <w:rsid w:val="00AD3082"/>
    <w:rsid w:val="00AD32B4"/>
    <w:rsid w:val="00AD4AD0"/>
    <w:rsid w:val="00AD5436"/>
    <w:rsid w:val="00AD57EF"/>
    <w:rsid w:val="00AD60CD"/>
    <w:rsid w:val="00AD6C8C"/>
    <w:rsid w:val="00AE03F8"/>
    <w:rsid w:val="00AE091D"/>
    <w:rsid w:val="00AE3B60"/>
    <w:rsid w:val="00AE53A1"/>
    <w:rsid w:val="00AF2484"/>
    <w:rsid w:val="00AF397F"/>
    <w:rsid w:val="00AF63E7"/>
    <w:rsid w:val="00AF6E17"/>
    <w:rsid w:val="00B0165D"/>
    <w:rsid w:val="00B0168C"/>
    <w:rsid w:val="00B01B60"/>
    <w:rsid w:val="00B031F3"/>
    <w:rsid w:val="00B052A4"/>
    <w:rsid w:val="00B0680E"/>
    <w:rsid w:val="00B125DE"/>
    <w:rsid w:val="00B13FDD"/>
    <w:rsid w:val="00B14395"/>
    <w:rsid w:val="00B22EB2"/>
    <w:rsid w:val="00B25E32"/>
    <w:rsid w:val="00B27442"/>
    <w:rsid w:val="00B303FA"/>
    <w:rsid w:val="00B31167"/>
    <w:rsid w:val="00B329D8"/>
    <w:rsid w:val="00B32BB9"/>
    <w:rsid w:val="00B33AE1"/>
    <w:rsid w:val="00B34AD4"/>
    <w:rsid w:val="00B37C38"/>
    <w:rsid w:val="00B4288C"/>
    <w:rsid w:val="00B43262"/>
    <w:rsid w:val="00B44100"/>
    <w:rsid w:val="00B46CBA"/>
    <w:rsid w:val="00B46F94"/>
    <w:rsid w:val="00B5490E"/>
    <w:rsid w:val="00B557C5"/>
    <w:rsid w:val="00B6003C"/>
    <w:rsid w:val="00B61F03"/>
    <w:rsid w:val="00B626E4"/>
    <w:rsid w:val="00B71DE8"/>
    <w:rsid w:val="00B72F4A"/>
    <w:rsid w:val="00B83C27"/>
    <w:rsid w:val="00B84BC3"/>
    <w:rsid w:val="00B84BDD"/>
    <w:rsid w:val="00B92812"/>
    <w:rsid w:val="00BA4149"/>
    <w:rsid w:val="00BA517E"/>
    <w:rsid w:val="00BB45A1"/>
    <w:rsid w:val="00BB7686"/>
    <w:rsid w:val="00BC23F9"/>
    <w:rsid w:val="00BC3421"/>
    <w:rsid w:val="00BC732C"/>
    <w:rsid w:val="00BD5ED1"/>
    <w:rsid w:val="00BE2580"/>
    <w:rsid w:val="00BE266D"/>
    <w:rsid w:val="00BE3938"/>
    <w:rsid w:val="00BE4C11"/>
    <w:rsid w:val="00BE4D01"/>
    <w:rsid w:val="00BE4E27"/>
    <w:rsid w:val="00BE71C0"/>
    <w:rsid w:val="00BF3D4A"/>
    <w:rsid w:val="00BF610C"/>
    <w:rsid w:val="00C0060B"/>
    <w:rsid w:val="00C0080B"/>
    <w:rsid w:val="00C0277D"/>
    <w:rsid w:val="00C0306C"/>
    <w:rsid w:val="00C053A1"/>
    <w:rsid w:val="00C05D51"/>
    <w:rsid w:val="00C13E75"/>
    <w:rsid w:val="00C16198"/>
    <w:rsid w:val="00C2083D"/>
    <w:rsid w:val="00C24A53"/>
    <w:rsid w:val="00C27CD0"/>
    <w:rsid w:val="00C34A05"/>
    <w:rsid w:val="00C352B7"/>
    <w:rsid w:val="00C36FDC"/>
    <w:rsid w:val="00C4032F"/>
    <w:rsid w:val="00C44047"/>
    <w:rsid w:val="00C44F6A"/>
    <w:rsid w:val="00C45155"/>
    <w:rsid w:val="00C45895"/>
    <w:rsid w:val="00C45B0F"/>
    <w:rsid w:val="00C47E0B"/>
    <w:rsid w:val="00C537F4"/>
    <w:rsid w:val="00C5498F"/>
    <w:rsid w:val="00C55235"/>
    <w:rsid w:val="00C55C75"/>
    <w:rsid w:val="00C62262"/>
    <w:rsid w:val="00C64CD0"/>
    <w:rsid w:val="00C65C30"/>
    <w:rsid w:val="00C6684F"/>
    <w:rsid w:val="00C70E70"/>
    <w:rsid w:val="00C721CC"/>
    <w:rsid w:val="00C75F8D"/>
    <w:rsid w:val="00C76805"/>
    <w:rsid w:val="00C77380"/>
    <w:rsid w:val="00C80771"/>
    <w:rsid w:val="00C83C6C"/>
    <w:rsid w:val="00C840A7"/>
    <w:rsid w:val="00C91777"/>
    <w:rsid w:val="00C94E3E"/>
    <w:rsid w:val="00C97736"/>
    <w:rsid w:val="00CA345A"/>
    <w:rsid w:val="00CA6FC0"/>
    <w:rsid w:val="00CB1C4E"/>
    <w:rsid w:val="00CB1E82"/>
    <w:rsid w:val="00CB24FC"/>
    <w:rsid w:val="00CB3337"/>
    <w:rsid w:val="00CB4BA8"/>
    <w:rsid w:val="00CB52D7"/>
    <w:rsid w:val="00CC01BB"/>
    <w:rsid w:val="00CC4F51"/>
    <w:rsid w:val="00CC6732"/>
    <w:rsid w:val="00CE3C96"/>
    <w:rsid w:val="00CE49A5"/>
    <w:rsid w:val="00CE51A8"/>
    <w:rsid w:val="00CE6917"/>
    <w:rsid w:val="00CE6C92"/>
    <w:rsid w:val="00CF098A"/>
    <w:rsid w:val="00CF369B"/>
    <w:rsid w:val="00CF6715"/>
    <w:rsid w:val="00D00E28"/>
    <w:rsid w:val="00D0269E"/>
    <w:rsid w:val="00D05A0B"/>
    <w:rsid w:val="00D05D6C"/>
    <w:rsid w:val="00D12EFF"/>
    <w:rsid w:val="00D15810"/>
    <w:rsid w:val="00D16D4E"/>
    <w:rsid w:val="00D16FE3"/>
    <w:rsid w:val="00D267FF"/>
    <w:rsid w:val="00D27F41"/>
    <w:rsid w:val="00D328E2"/>
    <w:rsid w:val="00D36441"/>
    <w:rsid w:val="00D36CA1"/>
    <w:rsid w:val="00D4064E"/>
    <w:rsid w:val="00D44E9B"/>
    <w:rsid w:val="00D46D44"/>
    <w:rsid w:val="00D47AEB"/>
    <w:rsid w:val="00D50DB9"/>
    <w:rsid w:val="00D51302"/>
    <w:rsid w:val="00D52C43"/>
    <w:rsid w:val="00D572D6"/>
    <w:rsid w:val="00D6507F"/>
    <w:rsid w:val="00D6541D"/>
    <w:rsid w:val="00D730BC"/>
    <w:rsid w:val="00D73912"/>
    <w:rsid w:val="00D85226"/>
    <w:rsid w:val="00D877E7"/>
    <w:rsid w:val="00D87B94"/>
    <w:rsid w:val="00D913C6"/>
    <w:rsid w:val="00D92D49"/>
    <w:rsid w:val="00D92EC1"/>
    <w:rsid w:val="00D96DEA"/>
    <w:rsid w:val="00DA4E41"/>
    <w:rsid w:val="00DA52BF"/>
    <w:rsid w:val="00DA730A"/>
    <w:rsid w:val="00DB117A"/>
    <w:rsid w:val="00DB5173"/>
    <w:rsid w:val="00DB7873"/>
    <w:rsid w:val="00DC187B"/>
    <w:rsid w:val="00DC2486"/>
    <w:rsid w:val="00DD35EC"/>
    <w:rsid w:val="00DD73C2"/>
    <w:rsid w:val="00DE2CFB"/>
    <w:rsid w:val="00DE319B"/>
    <w:rsid w:val="00DE3A72"/>
    <w:rsid w:val="00DF34FE"/>
    <w:rsid w:val="00DF41E7"/>
    <w:rsid w:val="00DF56AA"/>
    <w:rsid w:val="00DF56AF"/>
    <w:rsid w:val="00DF78E7"/>
    <w:rsid w:val="00E009F9"/>
    <w:rsid w:val="00E01373"/>
    <w:rsid w:val="00E06433"/>
    <w:rsid w:val="00E06675"/>
    <w:rsid w:val="00E06D73"/>
    <w:rsid w:val="00E110E0"/>
    <w:rsid w:val="00E116E6"/>
    <w:rsid w:val="00E1314D"/>
    <w:rsid w:val="00E15371"/>
    <w:rsid w:val="00E16C13"/>
    <w:rsid w:val="00E17EF4"/>
    <w:rsid w:val="00E23A9A"/>
    <w:rsid w:val="00E24104"/>
    <w:rsid w:val="00E24CD4"/>
    <w:rsid w:val="00E302D0"/>
    <w:rsid w:val="00E3296E"/>
    <w:rsid w:val="00E35707"/>
    <w:rsid w:val="00E36AA1"/>
    <w:rsid w:val="00E41ECB"/>
    <w:rsid w:val="00E54FDB"/>
    <w:rsid w:val="00E5617D"/>
    <w:rsid w:val="00E563D7"/>
    <w:rsid w:val="00E64EE1"/>
    <w:rsid w:val="00E663F4"/>
    <w:rsid w:val="00E666F2"/>
    <w:rsid w:val="00E66DD4"/>
    <w:rsid w:val="00E748CC"/>
    <w:rsid w:val="00E75415"/>
    <w:rsid w:val="00E75940"/>
    <w:rsid w:val="00E775B1"/>
    <w:rsid w:val="00E8152A"/>
    <w:rsid w:val="00E87BD6"/>
    <w:rsid w:val="00E87FB4"/>
    <w:rsid w:val="00E907CE"/>
    <w:rsid w:val="00E930DD"/>
    <w:rsid w:val="00E93629"/>
    <w:rsid w:val="00E93B5C"/>
    <w:rsid w:val="00E94CEC"/>
    <w:rsid w:val="00EA04EF"/>
    <w:rsid w:val="00EA4023"/>
    <w:rsid w:val="00EA6F19"/>
    <w:rsid w:val="00EB6ACA"/>
    <w:rsid w:val="00EB7090"/>
    <w:rsid w:val="00EC0D45"/>
    <w:rsid w:val="00EC1BBE"/>
    <w:rsid w:val="00EC5CD7"/>
    <w:rsid w:val="00EE5FB3"/>
    <w:rsid w:val="00EE7F79"/>
    <w:rsid w:val="00EF1232"/>
    <w:rsid w:val="00EF715A"/>
    <w:rsid w:val="00F00D73"/>
    <w:rsid w:val="00F06E14"/>
    <w:rsid w:val="00F179D4"/>
    <w:rsid w:val="00F30D9E"/>
    <w:rsid w:val="00F33C56"/>
    <w:rsid w:val="00F33D53"/>
    <w:rsid w:val="00F34415"/>
    <w:rsid w:val="00F34666"/>
    <w:rsid w:val="00F347C7"/>
    <w:rsid w:val="00F34848"/>
    <w:rsid w:val="00F427C0"/>
    <w:rsid w:val="00F42D46"/>
    <w:rsid w:val="00F434E4"/>
    <w:rsid w:val="00F4496C"/>
    <w:rsid w:val="00F44F3A"/>
    <w:rsid w:val="00F51160"/>
    <w:rsid w:val="00F517E8"/>
    <w:rsid w:val="00F51F10"/>
    <w:rsid w:val="00F529A5"/>
    <w:rsid w:val="00F60F00"/>
    <w:rsid w:val="00F614C0"/>
    <w:rsid w:val="00F67BEC"/>
    <w:rsid w:val="00F722DA"/>
    <w:rsid w:val="00F76FBA"/>
    <w:rsid w:val="00F83848"/>
    <w:rsid w:val="00F8619C"/>
    <w:rsid w:val="00F87FCA"/>
    <w:rsid w:val="00F91490"/>
    <w:rsid w:val="00F92811"/>
    <w:rsid w:val="00F93205"/>
    <w:rsid w:val="00F9650A"/>
    <w:rsid w:val="00F975E9"/>
    <w:rsid w:val="00FA1B7D"/>
    <w:rsid w:val="00FA40EB"/>
    <w:rsid w:val="00FB72A2"/>
    <w:rsid w:val="00FC07B9"/>
    <w:rsid w:val="00FC4E21"/>
    <w:rsid w:val="00FC5F6D"/>
    <w:rsid w:val="00FC6206"/>
    <w:rsid w:val="00FD0107"/>
    <w:rsid w:val="00FD1EF3"/>
    <w:rsid w:val="00FD2C2F"/>
    <w:rsid w:val="00FD3B31"/>
    <w:rsid w:val="00FD59A3"/>
    <w:rsid w:val="00FD764D"/>
    <w:rsid w:val="00FE1823"/>
    <w:rsid w:val="00FE487A"/>
    <w:rsid w:val="00FE7796"/>
    <w:rsid w:val="00FF0569"/>
    <w:rsid w:val="00FF062F"/>
    <w:rsid w:val="00FF206E"/>
    <w:rsid w:val="00FF3460"/>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colormru v:ext="edit" colors="red,#4d4d4f"/>
    </o:shapedefaults>
    <o:shapelayout v:ext="edit">
      <o:idmap v:ext="edit" data="1"/>
    </o:shapelayout>
  </w:shapeDefaults>
  <w:decimalSymbol w:val="."/>
  <w:listSeparator w:val=","/>
  <w14:docId w14:val="48F23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4"/>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4"/>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4"/>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4"/>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4"/>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4"/>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8"/>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spacing w:after="80"/>
    </w:pPr>
  </w:style>
  <w:style w:type="paragraph" w:styleId="ListBullet2">
    <w:name w:val="List Bullet 2"/>
    <w:basedOn w:val="Normal"/>
    <w:qFormat/>
    <w:rsid w:val="001C6AEE"/>
    <w:pPr>
      <w:numPr>
        <w:numId w:val="1"/>
      </w:numPr>
      <w:spacing w:after="80"/>
    </w:pPr>
  </w:style>
  <w:style w:type="paragraph" w:styleId="ListNumber">
    <w:name w:val="List Number"/>
    <w:basedOn w:val="Normal"/>
    <w:qFormat/>
    <w:rsid w:val="00C24A53"/>
    <w:pPr>
      <w:numPr>
        <w:numId w:val="2"/>
      </w:numPr>
      <w:spacing w:after="80"/>
    </w:pPr>
  </w:style>
  <w:style w:type="paragraph" w:styleId="ListNumber2">
    <w:name w:val="List Number 2"/>
    <w:basedOn w:val="Normal"/>
    <w:qFormat/>
    <w:rsid w:val="00247C59"/>
    <w:pPr>
      <w:numPr>
        <w:numId w:val="3"/>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6"/>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5"/>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7"/>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ListParagraph">
    <w:name w:val="List Paragraph"/>
    <w:basedOn w:val="Normal"/>
    <w:uiPriority w:val="34"/>
    <w:qFormat/>
    <w:rsid w:val="005B0363"/>
    <w:pPr>
      <w:spacing w:after="0" w:line="240" w:lineRule="auto"/>
      <w:ind w:left="720"/>
      <w:contextualSpacing/>
    </w:pPr>
    <w:rPr>
      <w:rFonts w:ascii="Calibri" w:eastAsiaTheme="minorHAnsi" w:hAnsi="Calibri"/>
      <w:sz w:val="22"/>
      <w:szCs w:val="22"/>
      <w:lang w:eastAsia="en-US"/>
    </w:rPr>
  </w:style>
  <w:style w:type="paragraph" w:customStyle="1" w:styleId="ACMABulletLevel1">
    <w:name w:val="ACMA Bullet Level 1"/>
    <w:rsid w:val="0083367B"/>
    <w:pPr>
      <w:numPr>
        <w:numId w:val="14"/>
      </w:numPr>
      <w:spacing w:after="120"/>
    </w:pPr>
    <w:rPr>
      <w:szCs w:val="20"/>
      <w:lang w:eastAsia="en-US"/>
    </w:rPr>
  </w:style>
  <w:style w:type="paragraph" w:customStyle="1" w:styleId="ACMANumberedList">
    <w:name w:val="ACMA Numbered List"/>
    <w:rsid w:val="0083367B"/>
    <w:pPr>
      <w:numPr>
        <w:numId w:val="13"/>
      </w:numPr>
      <w:spacing w:before="20" w:after="20"/>
    </w:pPr>
    <w:rPr>
      <w:szCs w:val="20"/>
      <w:lang w:eastAsia="en-US"/>
    </w:rPr>
  </w:style>
  <w:style w:type="character" w:styleId="UnresolvedMention">
    <w:name w:val="Unresolved Mention"/>
    <w:basedOn w:val="DefaultParagraphFont"/>
    <w:uiPriority w:val="99"/>
    <w:semiHidden/>
    <w:unhideWhenUsed/>
    <w:rsid w:val="009052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297282">
      <w:bodyDiv w:val="1"/>
      <w:marLeft w:val="0"/>
      <w:marRight w:val="0"/>
      <w:marTop w:val="0"/>
      <w:marBottom w:val="0"/>
      <w:divBdr>
        <w:top w:val="none" w:sz="0" w:space="0" w:color="auto"/>
        <w:left w:val="none" w:sz="0" w:space="0" w:color="auto"/>
        <w:bottom w:val="none" w:sz="0" w:space="0" w:color="auto"/>
        <w:right w:val="none" w:sz="0" w:space="0" w:color="auto"/>
      </w:divBdr>
    </w:div>
    <w:div w:id="171145894">
      <w:bodyDiv w:val="1"/>
      <w:marLeft w:val="0"/>
      <w:marRight w:val="0"/>
      <w:marTop w:val="0"/>
      <w:marBottom w:val="0"/>
      <w:divBdr>
        <w:top w:val="none" w:sz="0" w:space="0" w:color="auto"/>
        <w:left w:val="none" w:sz="0" w:space="0" w:color="auto"/>
        <w:bottom w:val="none" w:sz="0" w:space="0" w:color="auto"/>
        <w:right w:val="none" w:sz="0" w:space="0" w:color="auto"/>
      </w:divBdr>
    </w:div>
    <w:div w:id="419719883">
      <w:bodyDiv w:val="1"/>
      <w:marLeft w:val="0"/>
      <w:marRight w:val="0"/>
      <w:marTop w:val="0"/>
      <w:marBottom w:val="0"/>
      <w:divBdr>
        <w:top w:val="none" w:sz="0" w:space="0" w:color="auto"/>
        <w:left w:val="none" w:sz="0" w:space="0" w:color="auto"/>
        <w:bottom w:val="none" w:sz="0" w:space="0" w:color="auto"/>
        <w:right w:val="none" w:sz="0" w:space="0" w:color="auto"/>
      </w:divBdr>
    </w:div>
    <w:div w:id="530415269">
      <w:bodyDiv w:val="1"/>
      <w:marLeft w:val="0"/>
      <w:marRight w:val="0"/>
      <w:marTop w:val="0"/>
      <w:marBottom w:val="0"/>
      <w:divBdr>
        <w:top w:val="none" w:sz="0" w:space="0" w:color="auto"/>
        <w:left w:val="none" w:sz="0" w:space="0" w:color="auto"/>
        <w:bottom w:val="none" w:sz="0" w:space="0" w:color="auto"/>
        <w:right w:val="none" w:sz="0" w:space="0" w:color="auto"/>
      </w:divBdr>
    </w:div>
    <w:div w:id="1067607210">
      <w:bodyDiv w:val="1"/>
      <w:marLeft w:val="0"/>
      <w:marRight w:val="0"/>
      <w:marTop w:val="0"/>
      <w:marBottom w:val="0"/>
      <w:divBdr>
        <w:top w:val="none" w:sz="0" w:space="0" w:color="auto"/>
        <w:left w:val="none" w:sz="0" w:space="0" w:color="auto"/>
        <w:bottom w:val="none" w:sz="0" w:space="0" w:color="auto"/>
        <w:right w:val="none" w:sz="0" w:space="0" w:color="auto"/>
      </w:divBdr>
    </w:div>
    <w:div w:id="1324166094">
      <w:bodyDiv w:val="1"/>
      <w:marLeft w:val="0"/>
      <w:marRight w:val="0"/>
      <w:marTop w:val="0"/>
      <w:marBottom w:val="0"/>
      <w:divBdr>
        <w:top w:val="none" w:sz="0" w:space="0" w:color="auto"/>
        <w:left w:val="none" w:sz="0" w:space="0" w:color="auto"/>
        <w:bottom w:val="none" w:sz="0" w:space="0" w:color="auto"/>
        <w:right w:val="none" w:sz="0" w:space="0" w:color="auto"/>
      </w:divBdr>
    </w:div>
    <w:div w:id="1403521762">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84299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F2016C00341" TargetMode="External"/><Relationship Id="rId39" Type="http://schemas.openxmlformats.org/officeDocument/2006/relationships/hyperlink" Target="https://assets.publishing.service.gov.uk/government/uploads/system/uploads/attachment_data/file/729458/taking-flight-the-future-of-drones-in-the-uk.pdf"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s://www.legislation.gov.au/Details/F2010L00821" TargetMode="External"/><Relationship Id="rId42" Type="http://schemas.openxmlformats.org/officeDocument/2006/relationships/hyperlink" Target="mailto:SpectrumLicensingPolicy@acma.gov.au" TargetMode="External"/><Relationship Id="rId47" Type="http://schemas.openxmlformats.org/officeDocument/2006/relationships/footer" Target="footer7.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C2018C00336" TargetMode="External"/><Relationship Id="rId33" Type="http://schemas.openxmlformats.org/officeDocument/2006/relationships/hyperlink" Target="https://www.legislation.gov.au/Details/F2015L00041" TargetMode="External"/><Relationship Id="rId38" Type="http://schemas.openxmlformats.org/officeDocument/2006/relationships/hyperlink" Target="https://www.congress.gov/bill/115th-congress/house-bill/302/text" TargetMode="External"/><Relationship Id="rId46"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legislation.gov.au/Details/F2015C00848" TargetMode="External"/><Relationship Id="rId41" Type="http://schemas.openxmlformats.org/officeDocument/2006/relationships/hyperlink" Target="http://www.acma.gov.au/theACMA/Consultations/Consultation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18L01343" TargetMode="External"/><Relationship Id="rId32" Type="http://schemas.openxmlformats.org/officeDocument/2006/relationships/hyperlink" Target="https://www.legislation.gov.au/Details/F2011L02382" TargetMode="External"/><Relationship Id="rId37" Type="http://schemas.openxmlformats.org/officeDocument/2006/relationships/hyperlink" Target="https://www.aph.gov.au/Parliamentary_Business/Committees/Senate/Rural_and_Regional_Affairs_and_Transport/Drones/Report" TargetMode="External"/><Relationship Id="rId40" Type="http://schemas.openxmlformats.org/officeDocument/2006/relationships/hyperlink" Target="https://www.legislation.gov.au/Details/F2018C00500" TargetMode="External"/><Relationship Id="rId45"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18C00621" TargetMode="External"/><Relationship Id="rId36" Type="http://schemas.openxmlformats.org/officeDocument/2006/relationships/hyperlink" Target="https://www.aph.gov.au/Parliamentary_Business/Committees/Senate/Rural_and_Regional_Affairs_and_Transport/Drones/Government_Response" TargetMode="External"/><Relationship Id="rId49"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Details/F2018C00290" TargetMode="External"/><Relationship Id="rId44" Type="http://schemas.openxmlformats.org/officeDocument/2006/relationships/hyperlink" Target="http://www.acma.gov.au/privacypolicy"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Series/F1997B00935" TargetMode="External"/><Relationship Id="rId30" Type="http://schemas.openxmlformats.org/officeDocument/2006/relationships/hyperlink" Target="https://www.legislation.gov.au/Details/F2011L00346" TargetMode="External"/><Relationship Id="rId35" Type="http://schemas.openxmlformats.org/officeDocument/2006/relationships/hyperlink" Target="https://www.acma.gov.au/Industry/Spectrum/Spectrum-planning/About-spectrum-planning/australian-spectrum-management-principles-spectrum-planning-acma" TargetMode="External"/><Relationship Id="rId43" Type="http://schemas.openxmlformats.org/officeDocument/2006/relationships/hyperlink" Target="https://www.acma.gov.au/theACMA/About/Corporate/Accountability/privacy-and-consultations" TargetMode="External"/><Relationship Id="rId48" Type="http://schemas.openxmlformats.org/officeDocument/2006/relationships/footer" Target="footer8.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E2C3A8-4F63-41C6-A372-D1600BB5A3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3241</Words>
  <Characters>18478</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21676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2019-03-14T05:31:00Z</dcterms:created>
  <dcterms:modified xsi:type="dcterms:W3CDTF">2019-03-14T05:31:00Z</dcterms:modified>
  <cp:category/>
</cp:coreProperties>
</file>