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F23A1B" w14:textId="5A6050E1" w:rsidR="00F06E14" w:rsidRPr="00A51D1A" w:rsidRDefault="00C63AC0" w:rsidP="00A51D1A">
      <w:pPr>
        <w:pStyle w:val="ACMAReportTitle"/>
      </w:pPr>
      <w:bookmarkStart w:id="0" w:name="_Hlk4597814"/>
      <w:r>
        <w:t xml:space="preserve">Optimising </w:t>
      </w:r>
      <w:r w:rsidR="00334688">
        <w:t xml:space="preserve">arrangements </w:t>
      </w:r>
      <w:r>
        <w:t>f</w:t>
      </w:r>
      <w:r w:rsidR="00334688">
        <w:t>or</w:t>
      </w:r>
      <w:r>
        <w:t xml:space="preserve"> the </w:t>
      </w:r>
      <w:r w:rsidR="008A196F">
        <w:br/>
      </w:r>
      <w:r>
        <w:t>3400</w:t>
      </w:r>
      <w:r w:rsidR="008A196F">
        <w:t>–</w:t>
      </w:r>
      <w:r>
        <w:t>3575 MHz band</w:t>
      </w:r>
    </w:p>
    <w:p w14:paraId="30ABFD1E" w14:textId="77777777" w:rsidR="00F06E14" w:rsidRDefault="00C63AC0" w:rsidP="00F06E14">
      <w:pPr>
        <w:pStyle w:val="ACMAReportSubTitle"/>
      </w:pPr>
      <w:r>
        <w:t>Options paper</w:t>
      </w:r>
    </w:p>
    <w:bookmarkEnd w:id="0"/>
    <w:p w14:paraId="511A4389" w14:textId="214C5175" w:rsidR="00F06E14" w:rsidRDefault="00A05D25" w:rsidP="00D47AEB">
      <w:pPr>
        <w:pStyle w:val="ACMAReportDate"/>
        <w:spacing w:after="720"/>
      </w:pPr>
      <w:r>
        <w:t>APRIL</w:t>
      </w:r>
      <w:r w:rsidR="00C63AC0">
        <w:t xml:space="preserve"> 2019</w:t>
      </w:r>
    </w:p>
    <w:p w14:paraId="779DBE3A" w14:textId="77777777" w:rsidR="00C97736" w:rsidRPr="000D76E0" w:rsidRDefault="00C97736" w:rsidP="0041071D">
      <w:pPr>
        <w:rPr>
          <w:rFonts w:cs="Arial"/>
        </w:rPr>
      </w:pPr>
    </w:p>
    <w:p w14:paraId="7997A0A4"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48FAB13C" w14:textId="77777777" w:rsidR="0005011A" w:rsidRPr="00F44F3A" w:rsidRDefault="0005011A" w:rsidP="00FC07B9">
      <w:pPr>
        <w:pStyle w:val="ACMACorporateAddressHeader"/>
      </w:pPr>
      <w:r w:rsidRPr="00F44F3A">
        <w:lastRenderedPageBreak/>
        <w:t>Canberra</w:t>
      </w:r>
    </w:p>
    <w:p w14:paraId="546E15CD"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E472C7F" w14:textId="77777777" w:rsidR="0005011A" w:rsidRPr="00FC07B9" w:rsidRDefault="0005011A" w:rsidP="00FC07B9">
      <w:pPr>
        <w:pStyle w:val="ACMACorporateAddresses"/>
      </w:pPr>
      <w:r w:rsidRPr="00FC07B9">
        <w:t>PO Box 78</w:t>
      </w:r>
      <w:r w:rsidRPr="00FC07B9">
        <w:br/>
        <w:t>Belconnen ACT 2616</w:t>
      </w:r>
    </w:p>
    <w:p w14:paraId="2B82C181"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24642A3" w14:textId="77777777" w:rsidR="0005011A" w:rsidRPr="00F44F3A" w:rsidRDefault="0005011A" w:rsidP="00FC07B9">
      <w:pPr>
        <w:pStyle w:val="ACMACorporateAddressHeader"/>
      </w:pPr>
      <w:r w:rsidRPr="00F44F3A">
        <w:t>Melbourne</w:t>
      </w:r>
    </w:p>
    <w:p w14:paraId="6C7739B5"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4EDD46F"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2FB6D95"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22A7BD01" w14:textId="77777777" w:rsidR="0005011A" w:rsidRPr="00F44F3A" w:rsidRDefault="0005011A" w:rsidP="00FC07B9">
      <w:pPr>
        <w:pStyle w:val="ACMACorporateAddressHeader"/>
      </w:pPr>
      <w:r w:rsidRPr="00F44F3A">
        <w:t>Sydney</w:t>
      </w:r>
    </w:p>
    <w:p w14:paraId="180A9AF8"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69E7DA22"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7EA83379"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5CBA318" w14:textId="77777777" w:rsidR="00140318" w:rsidRPr="006D46E5" w:rsidRDefault="00140318" w:rsidP="00FC07B9">
      <w:pPr>
        <w:pStyle w:val="ACMACopyrightHeader"/>
      </w:pPr>
      <w:r w:rsidRPr="00140318">
        <w:t>Copyright notice</w:t>
      </w:r>
    </w:p>
    <w:p w14:paraId="403C8631" w14:textId="77777777" w:rsidR="00140318" w:rsidRPr="006D46E5" w:rsidRDefault="00623FF9" w:rsidP="00623FF9">
      <w:pPr>
        <w:pStyle w:val="ACMACClogo"/>
      </w:pPr>
      <w:r w:rsidRPr="00623FF9">
        <w:rPr>
          <w:noProof/>
        </w:rPr>
        <w:drawing>
          <wp:inline distT="0" distB="0" distL="0" distR="0" wp14:anchorId="0B27B09A" wp14:editId="0CAEA7C4">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6CF4E1A9" w14:textId="77777777" w:rsidR="00AA2DE5" w:rsidRDefault="00E87AA7" w:rsidP="00AA2DE5">
      <w:pPr>
        <w:pStyle w:val="ACMACorporateAddresses"/>
        <w:rPr>
          <w:rStyle w:val="Hyperlink"/>
        </w:rPr>
      </w:pPr>
      <w:hyperlink r:id="rId13" w:history="1">
        <w:r w:rsidR="00AA2DE5">
          <w:rPr>
            <w:rStyle w:val="Hyperlink"/>
          </w:rPr>
          <w:t>https://creativecommons.org/licenses/by/4.0//</w:t>
        </w:r>
      </w:hyperlink>
    </w:p>
    <w:p w14:paraId="098204C3"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5BFD63C3" w14:textId="77777777" w:rsidR="00AA2DE5" w:rsidRDefault="00AA2DE5" w:rsidP="00AA2DE5">
      <w:pPr>
        <w:pStyle w:val="ACMACorporateAddresses"/>
      </w:pPr>
      <w:r>
        <w:t>We request attribution as © Commonwealth of Australia (Australian Communications and Media Authority) 201</w:t>
      </w:r>
      <w:r w:rsidR="00C63AC0">
        <w:t>9</w:t>
      </w:r>
      <w:r>
        <w:t>.</w:t>
      </w:r>
    </w:p>
    <w:p w14:paraId="22E90F27" w14:textId="5D44610C" w:rsidR="00AA2DE5" w:rsidRDefault="00AA2DE5" w:rsidP="003C5923">
      <w:pPr>
        <w:pStyle w:val="ACMACorporateAddresses"/>
        <w:tabs>
          <w:tab w:val="left" w:pos="3735"/>
        </w:tabs>
      </w:pPr>
      <w:r>
        <w:t>All other rights are reserved.</w:t>
      </w:r>
      <w:r w:rsidR="00E9076D">
        <w:tab/>
      </w:r>
    </w:p>
    <w:p w14:paraId="61F70071"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BD8CE82" w14:textId="77777777" w:rsidR="00AA2DE5" w:rsidRDefault="00AA2DE5" w:rsidP="00AA2DE5">
      <w:pPr>
        <w:pStyle w:val="ACMACorporateAddresses"/>
      </w:pPr>
      <w:r>
        <w:t>Written enquiries may be sent to:</w:t>
      </w:r>
    </w:p>
    <w:p w14:paraId="27773ACD" w14:textId="77777777" w:rsidR="00AA2DE5" w:rsidRDefault="00AA2DE5" w:rsidP="00AA2DE5">
      <w:pPr>
        <w:pStyle w:val="ACMACorporateAddresses"/>
        <w:rPr>
          <w:rStyle w:val="Hyperlink"/>
        </w:rPr>
      </w:pPr>
      <w:r>
        <w:t>Manager, Editorial and Design</w:t>
      </w:r>
      <w:r>
        <w:br/>
        <w:t>PO Box 13112</w:t>
      </w:r>
      <w:r>
        <w:br/>
        <w:t>Law Courts</w:t>
      </w:r>
      <w:r>
        <w:br/>
        <w:t>Melbourne VIC 8010</w:t>
      </w:r>
      <w:r>
        <w:br/>
        <w:t xml:space="preserve">Email: </w:t>
      </w:r>
      <w:hyperlink r:id="rId14" w:history="1">
        <w:r>
          <w:rPr>
            <w:rStyle w:val="Hyperlink"/>
          </w:rPr>
          <w:t>info@acma.gov.au</w:t>
        </w:r>
      </w:hyperlink>
    </w:p>
    <w:p w14:paraId="2417A1B1" w14:textId="77777777" w:rsidR="00D16FE3" w:rsidRDefault="00D16FE3" w:rsidP="00D16FE3">
      <w:pPr>
        <w:pStyle w:val="ACMACorporateAddresses"/>
        <w:rPr>
          <w:rStyle w:val="Hyperlink"/>
        </w:rPr>
      </w:pPr>
    </w:p>
    <w:p w14:paraId="39A2C743"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1B07F7B8" w14:textId="476D7C2E" w:rsidR="00D943C6"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D943C6">
        <w:t>Executive summary</w:t>
      </w:r>
      <w:r w:rsidR="00D943C6">
        <w:tab/>
      </w:r>
      <w:r w:rsidR="00D943C6">
        <w:fldChar w:fldCharType="begin"/>
      </w:r>
      <w:r w:rsidR="00D943C6">
        <w:instrText xml:space="preserve"> PAGEREF _Toc6923090 \h </w:instrText>
      </w:r>
      <w:r w:rsidR="00D943C6">
        <w:fldChar w:fldCharType="separate"/>
      </w:r>
      <w:r w:rsidR="00A53E1C">
        <w:t>1</w:t>
      </w:r>
      <w:r w:rsidR="00D943C6">
        <w:fldChar w:fldCharType="end"/>
      </w:r>
    </w:p>
    <w:p w14:paraId="1BB7104F" w14:textId="4F85580E" w:rsidR="00D943C6" w:rsidRDefault="00D943C6">
      <w:pPr>
        <w:pStyle w:val="TOC3"/>
        <w:rPr>
          <w:rFonts w:asciiTheme="minorHAnsi" w:eastAsiaTheme="minorEastAsia" w:hAnsiTheme="minorHAnsi" w:cstheme="minorBidi"/>
        </w:rPr>
      </w:pPr>
      <w:r>
        <w:t>Options for change</w:t>
      </w:r>
      <w:r>
        <w:tab/>
      </w:r>
      <w:r>
        <w:fldChar w:fldCharType="begin"/>
      </w:r>
      <w:r>
        <w:instrText xml:space="preserve"> PAGEREF _Toc6923091 \h </w:instrText>
      </w:r>
      <w:r>
        <w:fldChar w:fldCharType="separate"/>
      </w:r>
      <w:r w:rsidR="00A53E1C">
        <w:t>2</w:t>
      </w:r>
      <w:r>
        <w:fldChar w:fldCharType="end"/>
      </w:r>
    </w:p>
    <w:p w14:paraId="58F95E98" w14:textId="31653592" w:rsidR="00D943C6" w:rsidRDefault="00D943C6">
      <w:pPr>
        <w:pStyle w:val="TOC3"/>
        <w:rPr>
          <w:rFonts w:asciiTheme="minorHAnsi" w:eastAsiaTheme="minorEastAsia" w:hAnsiTheme="minorHAnsi" w:cstheme="minorBidi"/>
        </w:rPr>
      </w:pPr>
      <w:r>
        <w:t>Use of urban areas of NBN Co’s PTS licences</w:t>
      </w:r>
      <w:r>
        <w:tab/>
      </w:r>
      <w:r>
        <w:fldChar w:fldCharType="begin"/>
      </w:r>
      <w:r>
        <w:instrText xml:space="preserve"> PAGEREF _Toc6923092 \h </w:instrText>
      </w:r>
      <w:r>
        <w:fldChar w:fldCharType="separate"/>
      </w:r>
      <w:r w:rsidR="00A53E1C">
        <w:t>2</w:t>
      </w:r>
      <w:r>
        <w:fldChar w:fldCharType="end"/>
      </w:r>
    </w:p>
    <w:p w14:paraId="71AEDA63" w14:textId="2AEE4DAD" w:rsidR="00D943C6" w:rsidRDefault="00D943C6">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_Toc6923093 \h </w:instrText>
      </w:r>
      <w:r>
        <w:fldChar w:fldCharType="separate"/>
      </w:r>
      <w:r w:rsidR="00A53E1C">
        <w:t>4</w:t>
      </w:r>
      <w:r>
        <w:fldChar w:fldCharType="end"/>
      </w:r>
    </w:p>
    <w:p w14:paraId="5BFCFAC1" w14:textId="50FEEFD3" w:rsidR="00D943C6" w:rsidRDefault="00D943C6">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_Toc6923094 \h </w:instrText>
      </w:r>
      <w:r>
        <w:fldChar w:fldCharType="separate"/>
      </w:r>
      <w:r w:rsidR="00A53E1C">
        <w:t>5</w:t>
      </w:r>
      <w:r>
        <w:fldChar w:fldCharType="end"/>
      </w:r>
    </w:p>
    <w:p w14:paraId="132CA272" w14:textId="33C8118B" w:rsidR="00D943C6" w:rsidRDefault="00D943C6">
      <w:pPr>
        <w:pStyle w:val="TOC2"/>
        <w:rPr>
          <w:rFonts w:asciiTheme="minorHAnsi" w:eastAsiaTheme="minorEastAsia" w:hAnsiTheme="minorHAnsi" w:cstheme="minorBidi"/>
          <w:spacing w:val="0"/>
          <w:sz w:val="22"/>
          <w:szCs w:val="22"/>
        </w:rPr>
      </w:pPr>
      <w:r>
        <w:t>Legislative and policy environment</w:t>
      </w:r>
      <w:r>
        <w:tab/>
      </w:r>
      <w:r>
        <w:fldChar w:fldCharType="begin"/>
      </w:r>
      <w:r>
        <w:instrText xml:space="preserve"> PAGEREF _Toc6923095 \h </w:instrText>
      </w:r>
      <w:r>
        <w:fldChar w:fldCharType="separate"/>
      </w:r>
      <w:r w:rsidR="00A53E1C">
        <w:t>6</w:t>
      </w:r>
      <w:r>
        <w:fldChar w:fldCharType="end"/>
      </w:r>
    </w:p>
    <w:p w14:paraId="3260AB35" w14:textId="7D68567A" w:rsidR="00D943C6" w:rsidRDefault="00D943C6">
      <w:pPr>
        <w:pStyle w:val="TOC3"/>
        <w:rPr>
          <w:rFonts w:asciiTheme="minorHAnsi" w:eastAsiaTheme="minorEastAsia" w:hAnsiTheme="minorHAnsi" w:cstheme="minorBidi"/>
        </w:rPr>
      </w:pPr>
      <w:r>
        <w:t>Guiding legislation</w:t>
      </w:r>
      <w:r>
        <w:tab/>
      </w:r>
      <w:r>
        <w:fldChar w:fldCharType="begin"/>
      </w:r>
      <w:r>
        <w:instrText xml:space="preserve"> PAGEREF _Toc6923096 \h </w:instrText>
      </w:r>
      <w:r>
        <w:fldChar w:fldCharType="separate"/>
      </w:r>
      <w:r w:rsidR="00A53E1C">
        <w:t>6</w:t>
      </w:r>
      <w:r>
        <w:fldChar w:fldCharType="end"/>
      </w:r>
    </w:p>
    <w:p w14:paraId="4194E825" w14:textId="42893526" w:rsidR="00D943C6" w:rsidRDefault="00D943C6">
      <w:pPr>
        <w:pStyle w:val="TOC3"/>
        <w:rPr>
          <w:rFonts w:asciiTheme="minorHAnsi" w:eastAsiaTheme="minorEastAsia" w:hAnsiTheme="minorHAnsi" w:cstheme="minorBidi"/>
        </w:rPr>
      </w:pPr>
      <w:r>
        <w:t>Principles for spectrum management</w:t>
      </w:r>
      <w:r>
        <w:tab/>
      </w:r>
      <w:r>
        <w:fldChar w:fldCharType="begin"/>
      </w:r>
      <w:r>
        <w:instrText xml:space="preserve"> PAGEREF _Toc6923097 \h </w:instrText>
      </w:r>
      <w:r>
        <w:fldChar w:fldCharType="separate"/>
      </w:r>
      <w:r w:rsidR="00A53E1C">
        <w:t>6</w:t>
      </w:r>
      <w:r>
        <w:fldChar w:fldCharType="end"/>
      </w:r>
    </w:p>
    <w:p w14:paraId="089AAFC2" w14:textId="45BBCEFC" w:rsidR="00D943C6" w:rsidRDefault="00D943C6">
      <w:pPr>
        <w:pStyle w:val="TOC3"/>
        <w:rPr>
          <w:rFonts w:asciiTheme="minorHAnsi" w:eastAsiaTheme="minorEastAsia" w:hAnsiTheme="minorHAnsi" w:cstheme="minorBidi"/>
        </w:rPr>
      </w:pPr>
      <w:r>
        <w:t>Existing licensing regimes</w:t>
      </w:r>
      <w:r>
        <w:tab/>
      </w:r>
      <w:r>
        <w:fldChar w:fldCharType="begin"/>
      </w:r>
      <w:r>
        <w:instrText xml:space="preserve"> PAGEREF _Toc6923098 \h </w:instrText>
      </w:r>
      <w:r>
        <w:fldChar w:fldCharType="separate"/>
      </w:r>
      <w:r w:rsidR="00A53E1C">
        <w:t>8</w:t>
      </w:r>
      <w:r>
        <w:fldChar w:fldCharType="end"/>
      </w:r>
    </w:p>
    <w:p w14:paraId="31555090" w14:textId="19FB4745" w:rsidR="00D943C6" w:rsidRDefault="00D943C6">
      <w:pPr>
        <w:pStyle w:val="TOC2"/>
        <w:rPr>
          <w:rFonts w:asciiTheme="minorHAnsi" w:eastAsiaTheme="minorEastAsia" w:hAnsiTheme="minorHAnsi" w:cstheme="minorBidi"/>
          <w:spacing w:val="0"/>
          <w:sz w:val="22"/>
          <w:szCs w:val="22"/>
        </w:rPr>
      </w:pPr>
      <w:r>
        <w:t>Issues outside the scope of this paper</w:t>
      </w:r>
      <w:r>
        <w:tab/>
      </w:r>
      <w:r>
        <w:fldChar w:fldCharType="begin"/>
      </w:r>
      <w:r>
        <w:instrText xml:space="preserve"> PAGEREF _Toc6923099 \h </w:instrText>
      </w:r>
      <w:r>
        <w:fldChar w:fldCharType="separate"/>
      </w:r>
      <w:r w:rsidR="00A53E1C">
        <w:t>8</w:t>
      </w:r>
      <w:r>
        <w:fldChar w:fldCharType="end"/>
      </w:r>
    </w:p>
    <w:p w14:paraId="310068CC" w14:textId="3FEBB017" w:rsidR="00D943C6" w:rsidRDefault="00D943C6">
      <w:pPr>
        <w:pStyle w:val="TOC3"/>
        <w:rPr>
          <w:rFonts w:asciiTheme="minorHAnsi" w:eastAsiaTheme="minorEastAsia" w:hAnsiTheme="minorHAnsi" w:cstheme="minorBidi"/>
        </w:rPr>
      </w:pPr>
      <w:r>
        <w:t>Re-allocation and designation of spectrum process</w:t>
      </w:r>
      <w:r>
        <w:tab/>
      </w:r>
      <w:r>
        <w:fldChar w:fldCharType="begin"/>
      </w:r>
      <w:r>
        <w:instrText xml:space="preserve"> PAGEREF _Toc6923100 \h </w:instrText>
      </w:r>
      <w:r>
        <w:fldChar w:fldCharType="separate"/>
      </w:r>
      <w:r w:rsidR="00A53E1C">
        <w:t>8</w:t>
      </w:r>
      <w:r>
        <w:fldChar w:fldCharType="end"/>
      </w:r>
    </w:p>
    <w:p w14:paraId="77C134B2" w14:textId="5E926153" w:rsidR="00D943C6" w:rsidRDefault="00D943C6">
      <w:pPr>
        <w:pStyle w:val="TOC3"/>
        <w:rPr>
          <w:rFonts w:asciiTheme="minorHAnsi" w:eastAsiaTheme="minorEastAsia" w:hAnsiTheme="minorHAnsi" w:cstheme="minorBidi"/>
        </w:rPr>
      </w:pPr>
      <w:r>
        <w:t>Apparatus tax arrangements</w:t>
      </w:r>
      <w:r>
        <w:tab/>
      </w:r>
      <w:r>
        <w:fldChar w:fldCharType="begin"/>
      </w:r>
      <w:r>
        <w:instrText xml:space="preserve"> PAGEREF _Toc6923101 \h </w:instrText>
      </w:r>
      <w:r>
        <w:fldChar w:fldCharType="separate"/>
      </w:r>
      <w:r w:rsidR="00A53E1C">
        <w:t>8</w:t>
      </w:r>
      <w:r>
        <w:fldChar w:fldCharType="end"/>
      </w:r>
    </w:p>
    <w:p w14:paraId="4A0F81A8" w14:textId="6592B224" w:rsidR="00D943C6" w:rsidRDefault="00D943C6">
      <w:pPr>
        <w:pStyle w:val="TOC2"/>
        <w:rPr>
          <w:rFonts w:asciiTheme="minorHAnsi" w:eastAsiaTheme="minorEastAsia" w:hAnsiTheme="minorHAnsi" w:cstheme="minorBidi"/>
          <w:spacing w:val="0"/>
          <w:sz w:val="22"/>
          <w:szCs w:val="22"/>
        </w:rPr>
      </w:pPr>
      <w:r>
        <w:t>Next steps</w:t>
      </w:r>
      <w:r>
        <w:tab/>
      </w:r>
      <w:r>
        <w:fldChar w:fldCharType="begin"/>
      </w:r>
      <w:r>
        <w:instrText xml:space="preserve"> PAGEREF _Toc6923102 \h </w:instrText>
      </w:r>
      <w:r>
        <w:fldChar w:fldCharType="separate"/>
      </w:r>
      <w:r w:rsidR="00A53E1C">
        <w:t>9</w:t>
      </w:r>
      <w:r>
        <w:fldChar w:fldCharType="end"/>
      </w:r>
    </w:p>
    <w:p w14:paraId="4FEDE093" w14:textId="064AFB1E" w:rsidR="00D943C6" w:rsidRDefault="00D943C6">
      <w:pPr>
        <w:pStyle w:val="TOC1"/>
        <w:rPr>
          <w:rFonts w:asciiTheme="minorHAnsi" w:eastAsiaTheme="minorEastAsia" w:hAnsiTheme="minorHAnsi" w:cstheme="minorBidi"/>
          <w:b w:val="0"/>
          <w:spacing w:val="0"/>
          <w:sz w:val="22"/>
          <w:szCs w:val="22"/>
        </w:rPr>
      </w:pPr>
      <w:r>
        <w:t>Case for action</w:t>
      </w:r>
      <w:r>
        <w:tab/>
      </w:r>
      <w:r>
        <w:fldChar w:fldCharType="begin"/>
      </w:r>
      <w:r>
        <w:instrText xml:space="preserve"> PAGEREF _Toc6923103 \h </w:instrText>
      </w:r>
      <w:r>
        <w:fldChar w:fldCharType="separate"/>
      </w:r>
      <w:r w:rsidR="00A53E1C">
        <w:t>10</w:t>
      </w:r>
      <w:r>
        <w:fldChar w:fldCharType="end"/>
      </w:r>
    </w:p>
    <w:p w14:paraId="73CD395F" w14:textId="101104BF" w:rsidR="00D943C6" w:rsidRDefault="00D943C6">
      <w:pPr>
        <w:pStyle w:val="TOC2"/>
        <w:rPr>
          <w:rFonts w:asciiTheme="minorHAnsi" w:eastAsiaTheme="minorEastAsia" w:hAnsiTheme="minorHAnsi" w:cstheme="minorBidi"/>
          <w:spacing w:val="0"/>
          <w:sz w:val="22"/>
          <w:szCs w:val="22"/>
        </w:rPr>
      </w:pPr>
      <w:r>
        <w:t>Fragmented arrangements</w:t>
      </w:r>
      <w:r>
        <w:tab/>
      </w:r>
      <w:r>
        <w:fldChar w:fldCharType="begin"/>
      </w:r>
      <w:r>
        <w:instrText xml:space="preserve"> PAGEREF _Toc6923104 \h </w:instrText>
      </w:r>
      <w:r>
        <w:fldChar w:fldCharType="separate"/>
      </w:r>
      <w:r w:rsidR="00A53E1C">
        <w:t>10</w:t>
      </w:r>
      <w:r>
        <w:fldChar w:fldCharType="end"/>
      </w:r>
    </w:p>
    <w:p w14:paraId="231EE6C7" w14:textId="46B5268D" w:rsidR="00D943C6" w:rsidRDefault="00D943C6">
      <w:pPr>
        <w:pStyle w:val="TOC2"/>
        <w:rPr>
          <w:rFonts w:asciiTheme="minorHAnsi" w:eastAsiaTheme="minorEastAsia" w:hAnsiTheme="minorHAnsi" w:cstheme="minorBidi"/>
          <w:spacing w:val="0"/>
          <w:sz w:val="22"/>
          <w:szCs w:val="22"/>
        </w:rPr>
      </w:pPr>
      <w:r>
        <w:t>New allocations for wireless broadband</w:t>
      </w:r>
      <w:r>
        <w:tab/>
      </w:r>
      <w:r>
        <w:fldChar w:fldCharType="begin"/>
      </w:r>
      <w:r>
        <w:instrText xml:space="preserve"> PAGEREF _Toc6923105 \h </w:instrText>
      </w:r>
      <w:r>
        <w:fldChar w:fldCharType="separate"/>
      </w:r>
      <w:r w:rsidR="00A53E1C">
        <w:t>12</w:t>
      </w:r>
      <w:r>
        <w:fldChar w:fldCharType="end"/>
      </w:r>
    </w:p>
    <w:p w14:paraId="73881E1B" w14:textId="1A575A7E" w:rsidR="00D943C6" w:rsidRDefault="00D943C6">
      <w:pPr>
        <w:pStyle w:val="TOC2"/>
        <w:rPr>
          <w:rFonts w:asciiTheme="minorHAnsi" w:eastAsiaTheme="minorEastAsia" w:hAnsiTheme="minorHAnsi" w:cstheme="minorBidi"/>
          <w:spacing w:val="0"/>
          <w:sz w:val="22"/>
          <w:szCs w:val="22"/>
        </w:rPr>
      </w:pPr>
      <w:r>
        <w:t>Use of urban area spectrum</w:t>
      </w:r>
      <w:r>
        <w:tab/>
      </w:r>
      <w:r>
        <w:fldChar w:fldCharType="begin"/>
      </w:r>
      <w:r>
        <w:instrText xml:space="preserve"> PAGEREF _Toc6923106 \h </w:instrText>
      </w:r>
      <w:r>
        <w:fldChar w:fldCharType="separate"/>
      </w:r>
      <w:r w:rsidR="00A53E1C">
        <w:t>12</w:t>
      </w:r>
      <w:r>
        <w:fldChar w:fldCharType="end"/>
      </w:r>
    </w:p>
    <w:p w14:paraId="47F7EC64" w14:textId="7730F9DE" w:rsidR="00D943C6" w:rsidRDefault="00D943C6">
      <w:pPr>
        <w:pStyle w:val="TOC2"/>
        <w:rPr>
          <w:rFonts w:asciiTheme="minorHAnsi" w:eastAsiaTheme="minorEastAsia" w:hAnsiTheme="minorHAnsi" w:cstheme="minorBidi"/>
          <w:spacing w:val="0"/>
          <w:sz w:val="22"/>
          <w:szCs w:val="22"/>
        </w:rPr>
      </w:pPr>
      <w:r>
        <w:t>Summary</w:t>
      </w:r>
      <w:r>
        <w:tab/>
      </w:r>
      <w:r>
        <w:fldChar w:fldCharType="begin"/>
      </w:r>
      <w:r>
        <w:instrText xml:space="preserve"> PAGEREF _Toc6923107 \h </w:instrText>
      </w:r>
      <w:r>
        <w:fldChar w:fldCharType="separate"/>
      </w:r>
      <w:r w:rsidR="00A53E1C">
        <w:t>12</w:t>
      </w:r>
      <w:r>
        <w:fldChar w:fldCharType="end"/>
      </w:r>
    </w:p>
    <w:p w14:paraId="0D349877" w14:textId="5CF53699" w:rsidR="00D943C6" w:rsidRDefault="00D943C6">
      <w:pPr>
        <w:pStyle w:val="TOC1"/>
        <w:rPr>
          <w:rFonts w:asciiTheme="minorHAnsi" w:eastAsiaTheme="minorEastAsia" w:hAnsiTheme="minorHAnsi" w:cstheme="minorBidi"/>
          <w:b w:val="0"/>
          <w:spacing w:val="0"/>
          <w:sz w:val="22"/>
          <w:szCs w:val="22"/>
        </w:rPr>
      </w:pPr>
      <w:r>
        <w:t>Options for change</w:t>
      </w:r>
      <w:r>
        <w:tab/>
      </w:r>
      <w:r>
        <w:fldChar w:fldCharType="begin"/>
      </w:r>
      <w:r>
        <w:instrText xml:space="preserve"> PAGEREF _Toc6923108 \h </w:instrText>
      </w:r>
      <w:r>
        <w:fldChar w:fldCharType="separate"/>
      </w:r>
      <w:r w:rsidR="00A53E1C">
        <w:t>14</w:t>
      </w:r>
      <w:r>
        <w:fldChar w:fldCharType="end"/>
      </w:r>
    </w:p>
    <w:p w14:paraId="35C9C26E" w14:textId="16424F74" w:rsidR="00D943C6" w:rsidRDefault="00D943C6">
      <w:pPr>
        <w:pStyle w:val="TOC2"/>
        <w:rPr>
          <w:rFonts w:asciiTheme="minorHAnsi" w:eastAsiaTheme="minorEastAsia" w:hAnsiTheme="minorHAnsi" w:cstheme="minorBidi"/>
          <w:spacing w:val="0"/>
          <w:sz w:val="22"/>
          <w:szCs w:val="22"/>
        </w:rPr>
      </w:pPr>
      <w:r>
        <w:t>Summary of planning options</w:t>
      </w:r>
      <w:r>
        <w:tab/>
      </w:r>
      <w:r>
        <w:fldChar w:fldCharType="begin"/>
      </w:r>
      <w:r>
        <w:instrText xml:space="preserve"> PAGEREF _Toc6923109 \h </w:instrText>
      </w:r>
      <w:r>
        <w:fldChar w:fldCharType="separate"/>
      </w:r>
      <w:r w:rsidR="00A53E1C">
        <w:t>15</w:t>
      </w:r>
      <w:r>
        <w:fldChar w:fldCharType="end"/>
      </w:r>
    </w:p>
    <w:p w14:paraId="1834CE74" w14:textId="4B458A90" w:rsidR="00D943C6" w:rsidRDefault="00D943C6">
      <w:pPr>
        <w:pStyle w:val="TOC2"/>
        <w:rPr>
          <w:rFonts w:asciiTheme="minorHAnsi" w:eastAsiaTheme="minorEastAsia" w:hAnsiTheme="minorHAnsi" w:cstheme="minorBidi"/>
          <w:spacing w:val="0"/>
          <w:sz w:val="22"/>
          <w:szCs w:val="22"/>
        </w:rPr>
      </w:pPr>
      <w:r>
        <w:t>Planning goals</w:t>
      </w:r>
      <w:r>
        <w:tab/>
      </w:r>
      <w:r>
        <w:fldChar w:fldCharType="begin"/>
      </w:r>
      <w:r>
        <w:instrText xml:space="preserve"> PAGEREF _Toc6923110 \h </w:instrText>
      </w:r>
      <w:r>
        <w:fldChar w:fldCharType="separate"/>
      </w:r>
      <w:r w:rsidR="00A53E1C">
        <w:t>17</w:t>
      </w:r>
      <w:r>
        <w:fldChar w:fldCharType="end"/>
      </w:r>
    </w:p>
    <w:p w14:paraId="3CE0FF79" w14:textId="78C02135" w:rsidR="00D943C6" w:rsidRDefault="00D943C6">
      <w:pPr>
        <w:pStyle w:val="TOC2"/>
        <w:rPr>
          <w:rFonts w:asciiTheme="minorHAnsi" w:eastAsiaTheme="minorEastAsia" w:hAnsiTheme="minorHAnsi" w:cstheme="minorBidi"/>
          <w:spacing w:val="0"/>
          <w:sz w:val="22"/>
          <w:szCs w:val="22"/>
        </w:rPr>
      </w:pPr>
      <w:r>
        <w:t>Option 1: No change</w:t>
      </w:r>
      <w:r>
        <w:tab/>
      </w:r>
      <w:r>
        <w:fldChar w:fldCharType="begin"/>
      </w:r>
      <w:r>
        <w:instrText xml:space="preserve"> PAGEREF _Toc6923111 \h </w:instrText>
      </w:r>
      <w:r>
        <w:fldChar w:fldCharType="separate"/>
      </w:r>
      <w:r w:rsidR="00A53E1C">
        <w:t>18</w:t>
      </w:r>
      <w:r>
        <w:fldChar w:fldCharType="end"/>
      </w:r>
    </w:p>
    <w:p w14:paraId="1EB59BCD" w14:textId="545AA8CE" w:rsidR="00D943C6" w:rsidRDefault="00D943C6">
      <w:pPr>
        <w:pStyle w:val="TOC3"/>
        <w:rPr>
          <w:rFonts w:asciiTheme="minorHAnsi" w:eastAsiaTheme="minorEastAsia" w:hAnsiTheme="minorHAnsi" w:cstheme="minorBidi"/>
        </w:rPr>
      </w:pPr>
      <w:r>
        <w:t>Overview</w:t>
      </w:r>
      <w:r>
        <w:tab/>
      </w:r>
      <w:r>
        <w:fldChar w:fldCharType="begin"/>
      </w:r>
      <w:r>
        <w:instrText xml:space="preserve"> PAGEREF _Toc6923112 \h </w:instrText>
      </w:r>
      <w:r>
        <w:fldChar w:fldCharType="separate"/>
      </w:r>
      <w:r w:rsidR="00A53E1C">
        <w:t>18</w:t>
      </w:r>
      <w:r>
        <w:fldChar w:fldCharType="end"/>
      </w:r>
    </w:p>
    <w:p w14:paraId="3826CEF4" w14:textId="77CB0750" w:rsidR="00D943C6" w:rsidRDefault="00D943C6">
      <w:pPr>
        <w:pStyle w:val="TOC3"/>
        <w:rPr>
          <w:rFonts w:asciiTheme="minorHAnsi" w:eastAsiaTheme="minorEastAsia" w:hAnsiTheme="minorHAnsi" w:cstheme="minorBidi"/>
        </w:rPr>
      </w:pPr>
      <w:r>
        <w:t>Assessment of Option 1 against the planning goals</w:t>
      </w:r>
      <w:r>
        <w:tab/>
      </w:r>
      <w:r>
        <w:fldChar w:fldCharType="begin"/>
      </w:r>
      <w:r>
        <w:instrText xml:space="preserve"> PAGEREF _Toc6923113 \h </w:instrText>
      </w:r>
      <w:r>
        <w:fldChar w:fldCharType="separate"/>
      </w:r>
      <w:r w:rsidR="00A53E1C">
        <w:t>18</w:t>
      </w:r>
      <w:r>
        <w:fldChar w:fldCharType="end"/>
      </w:r>
    </w:p>
    <w:p w14:paraId="43DE4B6B" w14:textId="503BD944" w:rsidR="00D943C6" w:rsidRDefault="00D943C6">
      <w:pPr>
        <w:pStyle w:val="TOC2"/>
        <w:rPr>
          <w:rFonts w:asciiTheme="minorHAnsi" w:eastAsiaTheme="minorEastAsia" w:hAnsiTheme="minorHAnsi" w:cstheme="minorBidi"/>
          <w:spacing w:val="0"/>
          <w:sz w:val="22"/>
          <w:szCs w:val="22"/>
        </w:rPr>
      </w:pPr>
      <w:r>
        <w:t>Option 2: Convert and re-allocate more of the band for spectrum licensing</w:t>
      </w:r>
      <w:r>
        <w:tab/>
      </w:r>
      <w:r>
        <w:fldChar w:fldCharType="begin"/>
      </w:r>
      <w:r>
        <w:instrText xml:space="preserve"> PAGEREF _Toc6923114 \h </w:instrText>
      </w:r>
      <w:r>
        <w:fldChar w:fldCharType="separate"/>
      </w:r>
      <w:r w:rsidR="00A53E1C">
        <w:t>18</w:t>
      </w:r>
      <w:r>
        <w:fldChar w:fldCharType="end"/>
      </w:r>
    </w:p>
    <w:p w14:paraId="42002D79" w14:textId="7382056A" w:rsidR="00D943C6" w:rsidRDefault="00D943C6">
      <w:pPr>
        <w:pStyle w:val="TOC3"/>
        <w:rPr>
          <w:rFonts w:asciiTheme="minorHAnsi" w:eastAsiaTheme="minorEastAsia" w:hAnsiTheme="minorHAnsi" w:cstheme="minorBidi"/>
        </w:rPr>
      </w:pPr>
      <w:r>
        <w:t>Overview</w:t>
      </w:r>
      <w:r>
        <w:tab/>
      </w:r>
      <w:r>
        <w:fldChar w:fldCharType="begin"/>
      </w:r>
      <w:r>
        <w:instrText xml:space="preserve"> PAGEREF _Toc6923115 \h </w:instrText>
      </w:r>
      <w:r>
        <w:fldChar w:fldCharType="separate"/>
      </w:r>
      <w:r w:rsidR="00A53E1C">
        <w:t>18</w:t>
      </w:r>
      <w:r>
        <w:fldChar w:fldCharType="end"/>
      </w:r>
    </w:p>
    <w:p w14:paraId="1BDD607D" w14:textId="273E4759" w:rsidR="00D943C6" w:rsidRDefault="00D943C6">
      <w:pPr>
        <w:pStyle w:val="TOC3"/>
        <w:rPr>
          <w:rFonts w:asciiTheme="minorHAnsi" w:eastAsiaTheme="minorEastAsia" w:hAnsiTheme="minorHAnsi" w:cstheme="minorBidi"/>
        </w:rPr>
      </w:pPr>
      <w:r>
        <w:t>Assessment of Option 2a against the planning goals</w:t>
      </w:r>
      <w:r>
        <w:tab/>
      </w:r>
      <w:r>
        <w:fldChar w:fldCharType="begin"/>
      </w:r>
      <w:r>
        <w:instrText xml:space="preserve"> PAGEREF _Toc6923116 \h </w:instrText>
      </w:r>
      <w:r>
        <w:fldChar w:fldCharType="separate"/>
      </w:r>
      <w:r w:rsidR="00A53E1C">
        <w:t>21</w:t>
      </w:r>
      <w:r>
        <w:fldChar w:fldCharType="end"/>
      </w:r>
    </w:p>
    <w:p w14:paraId="16CB539C" w14:textId="163364C2" w:rsidR="00D943C6" w:rsidRDefault="00D943C6">
      <w:pPr>
        <w:pStyle w:val="TOC3"/>
        <w:rPr>
          <w:rFonts w:asciiTheme="minorHAnsi" w:eastAsiaTheme="minorEastAsia" w:hAnsiTheme="minorHAnsi" w:cstheme="minorBidi"/>
        </w:rPr>
      </w:pPr>
      <w:r>
        <w:t>Assessment of Option 2b against the planning goals</w:t>
      </w:r>
      <w:r>
        <w:tab/>
      </w:r>
      <w:r>
        <w:fldChar w:fldCharType="begin"/>
      </w:r>
      <w:r>
        <w:instrText xml:space="preserve"> PAGEREF _Toc6923117 \h </w:instrText>
      </w:r>
      <w:r>
        <w:fldChar w:fldCharType="separate"/>
      </w:r>
      <w:r w:rsidR="00A53E1C">
        <w:t>21</w:t>
      </w:r>
      <w:r>
        <w:fldChar w:fldCharType="end"/>
      </w:r>
    </w:p>
    <w:p w14:paraId="115343FE" w14:textId="2B58AE51" w:rsidR="00D943C6" w:rsidRDefault="00D943C6">
      <w:pPr>
        <w:pStyle w:val="TOC2"/>
        <w:rPr>
          <w:rFonts w:asciiTheme="minorHAnsi" w:eastAsiaTheme="minorEastAsia" w:hAnsiTheme="minorHAnsi" w:cstheme="minorBidi"/>
          <w:spacing w:val="0"/>
          <w:sz w:val="22"/>
          <w:szCs w:val="22"/>
        </w:rPr>
      </w:pPr>
      <w:r>
        <w:t>Option 3: Restack apparatus licences, then convert NBN PTS licences to spectrum licences and re-allocate additional spectrum for spectrum licensing</w:t>
      </w:r>
      <w:r>
        <w:tab/>
      </w:r>
      <w:r>
        <w:fldChar w:fldCharType="begin"/>
      </w:r>
      <w:r>
        <w:instrText xml:space="preserve"> PAGEREF _Toc6923118 \h </w:instrText>
      </w:r>
      <w:r>
        <w:fldChar w:fldCharType="separate"/>
      </w:r>
      <w:r w:rsidR="00A53E1C">
        <w:t>22</w:t>
      </w:r>
      <w:r>
        <w:fldChar w:fldCharType="end"/>
      </w:r>
    </w:p>
    <w:p w14:paraId="42642337" w14:textId="7B70ADA4" w:rsidR="00D943C6" w:rsidRDefault="00D943C6">
      <w:pPr>
        <w:pStyle w:val="TOC3"/>
        <w:rPr>
          <w:rFonts w:asciiTheme="minorHAnsi" w:eastAsiaTheme="minorEastAsia" w:hAnsiTheme="minorHAnsi" w:cstheme="minorBidi"/>
        </w:rPr>
      </w:pPr>
      <w:r>
        <w:t>Overview</w:t>
      </w:r>
      <w:r>
        <w:tab/>
      </w:r>
      <w:r>
        <w:fldChar w:fldCharType="begin"/>
      </w:r>
      <w:r>
        <w:instrText xml:space="preserve"> PAGEREF _Toc6923119 \h </w:instrText>
      </w:r>
      <w:r>
        <w:fldChar w:fldCharType="separate"/>
      </w:r>
      <w:r w:rsidR="00A53E1C">
        <w:t>22</w:t>
      </w:r>
      <w:r>
        <w:fldChar w:fldCharType="end"/>
      </w:r>
    </w:p>
    <w:p w14:paraId="16A7DAD0" w14:textId="3725053D" w:rsidR="00D943C6" w:rsidRDefault="00D943C6">
      <w:pPr>
        <w:pStyle w:val="TOC3"/>
        <w:rPr>
          <w:rFonts w:asciiTheme="minorHAnsi" w:eastAsiaTheme="minorEastAsia" w:hAnsiTheme="minorHAnsi" w:cstheme="minorBidi"/>
        </w:rPr>
      </w:pPr>
      <w:r>
        <w:lastRenderedPageBreak/>
        <w:t>Assessment of Option 3a against the planning goals</w:t>
      </w:r>
      <w:r>
        <w:tab/>
      </w:r>
      <w:r>
        <w:fldChar w:fldCharType="begin"/>
      </w:r>
      <w:r>
        <w:instrText xml:space="preserve"> PAGEREF _Toc6923120 \h </w:instrText>
      </w:r>
      <w:r>
        <w:fldChar w:fldCharType="separate"/>
      </w:r>
      <w:r w:rsidR="00A53E1C">
        <w:t>27</w:t>
      </w:r>
      <w:r>
        <w:fldChar w:fldCharType="end"/>
      </w:r>
    </w:p>
    <w:p w14:paraId="40820B45" w14:textId="0F8EBB0C" w:rsidR="00D943C6" w:rsidRDefault="00D943C6">
      <w:pPr>
        <w:pStyle w:val="TOC3"/>
        <w:rPr>
          <w:rFonts w:asciiTheme="minorHAnsi" w:eastAsiaTheme="minorEastAsia" w:hAnsiTheme="minorHAnsi" w:cstheme="minorBidi"/>
        </w:rPr>
      </w:pPr>
      <w:r>
        <w:t>Assessment of Option 3b against the planning goals</w:t>
      </w:r>
      <w:r>
        <w:tab/>
      </w:r>
      <w:r>
        <w:fldChar w:fldCharType="begin"/>
      </w:r>
      <w:r>
        <w:instrText xml:space="preserve"> PAGEREF _Toc6923121 \h </w:instrText>
      </w:r>
      <w:r>
        <w:fldChar w:fldCharType="separate"/>
      </w:r>
      <w:r w:rsidR="00A53E1C">
        <w:t>28</w:t>
      </w:r>
      <w:r>
        <w:fldChar w:fldCharType="end"/>
      </w:r>
    </w:p>
    <w:p w14:paraId="57F72843" w14:textId="35B51386" w:rsidR="00D943C6" w:rsidRDefault="00D943C6">
      <w:pPr>
        <w:pStyle w:val="TOC2"/>
        <w:rPr>
          <w:rFonts w:asciiTheme="minorHAnsi" w:eastAsiaTheme="minorEastAsia" w:hAnsiTheme="minorHAnsi" w:cstheme="minorBidi"/>
          <w:spacing w:val="0"/>
          <w:sz w:val="22"/>
          <w:szCs w:val="22"/>
        </w:rPr>
      </w:pPr>
      <w:r>
        <w:t>Assessment of planning options against the principles</w:t>
      </w:r>
      <w:r>
        <w:tab/>
      </w:r>
      <w:r>
        <w:fldChar w:fldCharType="begin"/>
      </w:r>
      <w:r>
        <w:instrText xml:space="preserve"> PAGEREF _Toc6923122 \h </w:instrText>
      </w:r>
      <w:r>
        <w:fldChar w:fldCharType="separate"/>
      </w:r>
      <w:r w:rsidR="00A53E1C">
        <w:t>28</w:t>
      </w:r>
      <w:r>
        <w:fldChar w:fldCharType="end"/>
      </w:r>
    </w:p>
    <w:p w14:paraId="3FD07625" w14:textId="5DD5410F" w:rsidR="00D943C6" w:rsidRDefault="00D943C6">
      <w:pPr>
        <w:pStyle w:val="TOC1"/>
        <w:rPr>
          <w:rFonts w:asciiTheme="minorHAnsi" w:eastAsiaTheme="minorEastAsia" w:hAnsiTheme="minorHAnsi" w:cstheme="minorBidi"/>
          <w:b w:val="0"/>
          <w:spacing w:val="0"/>
          <w:sz w:val="22"/>
          <w:szCs w:val="22"/>
        </w:rPr>
      </w:pPr>
      <w:r>
        <w:t>ACMA preferred planning option</w:t>
      </w:r>
      <w:r>
        <w:tab/>
      </w:r>
      <w:r>
        <w:fldChar w:fldCharType="begin"/>
      </w:r>
      <w:r>
        <w:instrText xml:space="preserve"> PAGEREF _Toc6923123 \h </w:instrText>
      </w:r>
      <w:r>
        <w:fldChar w:fldCharType="separate"/>
      </w:r>
      <w:r w:rsidR="00A53E1C">
        <w:t>29</w:t>
      </w:r>
      <w:r>
        <w:fldChar w:fldCharType="end"/>
      </w:r>
    </w:p>
    <w:p w14:paraId="3B51412F" w14:textId="4D5A5CA7" w:rsidR="00D943C6" w:rsidRDefault="00D943C6">
      <w:pPr>
        <w:pStyle w:val="TOC2"/>
        <w:rPr>
          <w:rFonts w:asciiTheme="minorHAnsi" w:eastAsiaTheme="minorEastAsia" w:hAnsiTheme="minorHAnsi" w:cstheme="minorBidi"/>
          <w:spacing w:val="0"/>
          <w:sz w:val="22"/>
          <w:szCs w:val="22"/>
        </w:rPr>
      </w:pPr>
      <w:r>
        <w:t>Remote areas</w:t>
      </w:r>
      <w:r>
        <w:tab/>
      </w:r>
      <w:r>
        <w:fldChar w:fldCharType="begin"/>
      </w:r>
      <w:r>
        <w:instrText xml:space="preserve"> PAGEREF _Toc6923124 \h </w:instrText>
      </w:r>
      <w:r>
        <w:fldChar w:fldCharType="separate"/>
      </w:r>
      <w:r w:rsidR="00A53E1C">
        <w:t>29</w:t>
      </w:r>
      <w:r>
        <w:fldChar w:fldCharType="end"/>
      </w:r>
    </w:p>
    <w:p w14:paraId="373E7673" w14:textId="2E0F1CBE" w:rsidR="00D943C6" w:rsidRDefault="00D943C6">
      <w:pPr>
        <w:pStyle w:val="TOC2"/>
        <w:rPr>
          <w:rFonts w:asciiTheme="minorHAnsi" w:eastAsiaTheme="minorEastAsia" w:hAnsiTheme="minorHAnsi" w:cstheme="minorBidi"/>
          <w:spacing w:val="0"/>
          <w:sz w:val="22"/>
          <w:szCs w:val="22"/>
        </w:rPr>
      </w:pPr>
      <w:r>
        <w:t>Metropolitan areas, regional areas and major regional centres</w:t>
      </w:r>
      <w:r>
        <w:tab/>
      </w:r>
      <w:r>
        <w:fldChar w:fldCharType="begin"/>
      </w:r>
      <w:r>
        <w:instrText xml:space="preserve"> PAGEREF _Toc6923125 \h </w:instrText>
      </w:r>
      <w:r>
        <w:fldChar w:fldCharType="separate"/>
      </w:r>
      <w:r w:rsidR="00A53E1C">
        <w:t>29</w:t>
      </w:r>
      <w:r>
        <w:fldChar w:fldCharType="end"/>
      </w:r>
    </w:p>
    <w:p w14:paraId="7252F377" w14:textId="5044BD33" w:rsidR="00D943C6" w:rsidRDefault="00D943C6">
      <w:pPr>
        <w:pStyle w:val="TOC1"/>
        <w:rPr>
          <w:rFonts w:asciiTheme="minorHAnsi" w:eastAsiaTheme="minorEastAsia" w:hAnsiTheme="minorHAnsi" w:cstheme="minorBidi"/>
          <w:b w:val="0"/>
          <w:spacing w:val="0"/>
          <w:sz w:val="22"/>
          <w:szCs w:val="22"/>
        </w:rPr>
      </w:pPr>
      <w:r>
        <w:t>Use of urban areas of NBN Co’s PTS licences</w:t>
      </w:r>
      <w:r>
        <w:tab/>
      </w:r>
      <w:r>
        <w:fldChar w:fldCharType="begin"/>
      </w:r>
      <w:r>
        <w:instrText xml:space="preserve"> PAGEREF _Toc6923126 \h </w:instrText>
      </w:r>
      <w:r>
        <w:fldChar w:fldCharType="separate"/>
      </w:r>
      <w:r w:rsidR="00A53E1C">
        <w:t>31</w:t>
      </w:r>
      <w:r>
        <w:fldChar w:fldCharType="end"/>
      </w:r>
    </w:p>
    <w:p w14:paraId="73530653" w14:textId="44C7D290" w:rsidR="00D943C6" w:rsidRDefault="00D943C6">
      <w:pPr>
        <w:pStyle w:val="TOC2"/>
        <w:rPr>
          <w:rFonts w:asciiTheme="minorHAnsi" w:eastAsiaTheme="minorEastAsia" w:hAnsiTheme="minorHAnsi" w:cstheme="minorBidi"/>
          <w:spacing w:val="0"/>
          <w:sz w:val="22"/>
          <w:szCs w:val="22"/>
        </w:rPr>
      </w:pPr>
      <w:r>
        <w:t>Current use</w:t>
      </w:r>
      <w:r>
        <w:tab/>
      </w:r>
      <w:r>
        <w:fldChar w:fldCharType="begin"/>
      </w:r>
      <w:r>
        <w:instrText xml:space="preserve"> PAGEREF _Toc6923127 \h </w:instrText>
      </w:r>
      <w:r>
        <w:fldChar w:fldCharType="separate"/>
      </w:r>
      <w:r w:rsidR="00A53E1C">
        <w:t>31</w:t>
      </w:r>
      <w:r>
        <w:fldChar w:fldCharType="end"/>
      </w:r>
    </w:p>
    <w:p w14:paraId="5326A625" w14:textId="468910D7" w:rsidR="00D943C6" w:rsidRDefault="00D943C6">
      <w:pPr>
        <w:pStyle w:val="TOC2"/>
        <w:rPr>
          <w:rFonts w:asciiTheme="minorHAnsi" w:eastAsiaTheme="minorEastAsia" w:hAnsiTheme="minorHAnsi" w:cstheme="minorBidi"/>
          <w:spacing w:val="0"/>
          <w:sz w:val="22"/>
          <w:szCs w:val="22"/>
        </w:rPr>
      </w:pPr>
      <w:r>
        <w:t>Identifying potentially available urban areas</w:t>
      </w:r>
      <w:r>
        <w:tab/>
      </w:r>
      <w:r>
        <w:fldChar w:fldCharType="begin"/>
      </w:r>
      <w:r>
        <w:instrText xml:space="preserve"> PAGEREF _Toc6923128 \h </w:instrText>
      </w:r>
      <w:r>
        <w:fldChar w:fldCharType="separate"/>
      </w:r>
      <w:r w:rsidR="00A53E1C">
        <w:t>35</w:t>
      </w:r>
      <w:r>
        <w:fldChar w:fldCharType="end"/>
      </w:r>
    </w:p>
    <w:p w14:paraId="0CC0CD5C" w14:textId="3018F4D8" w:rsidR="00D943C6" w:rsidRDefault="00D943C6">
      <w:pPr>
        <w:pStyle w:val="TOC2"/>
        <w:rPr>
          <w:rFonts w:asciiTheme="minorHAnsi" w:eastAsiaTheme="minorEastAsia" w:hAnsiTheme="minorHAnsi" w:cstheme="minorBidi"/>
          <w:spacing w:val="0"/>
          <w:sz w:val="22"/>
          <w:szCs w:val="22"/>
        </w:rPr>
      </w:pPr>
      <w:r>
        <w:t>Options for facilitating access to urban areas</w:t>
      </w:r>
      <w:r>
        <w:tab/>
      </w:r>
      <w:r>
        <w:fldChar w:fldCharType="begin"/>
      </w:r>
      <w:r>
        <w:instrText xml:space="preserve"> PAGEREF _Toc6923129 \h </w:instrText>
      </w:r>
      <w:r>
        <w:fldChar w:fldCharType="separate"/>
      </w:r>
      <w:r w:rsidR="00A53E1C">
        <w:t>39</w:t>
      </w:r>
      <w:r>
        <w:fldChar w:fldCharType="end"/>
      </w:r>
    </w:p>
    <w:p w14:paraId="5B92F5D2" w14:textId="686FC3F6" w:rsidR="00D943C6" w:rsidRDefault="00D943C6">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_Toc6923130 \h </w:instrText>
      </w:r>
      <w:r>
        <w:fldChar w:fldCharType="separate"/>
      </w:r>
      <w:r w:rsidR="00A53E1C">
        <w:t>40</w:t>
      </w:r>
      <w:r>
        <w:fldChar w:fldCharType="end"/>
      </w:r>
    </w:p>
    <w:p w14:paraId="2FED6A5B" w14:textId="6001F686" w:rsidR="00D943C6" w:rsidRDefault="00D943C6">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_Toc6923131 \h </w:instrText>
      </w:r>
      <w:r>
        <w:fldChar w:fldCharType="separate"/>
      </w:r>
      <w:r w:rsidR="00A53E1C">
        <w:t>40</w:t>
      </w:r>
      <w:r>
        <w:fldChar w:fldCharType="end"/>
      </w:r>
    </w:p>
    <w:p w14:paraId="42160292" w14:textId="39F4C092" w:rsidR="00D943C6" w:rsidRDefault="00D943C6">
      <w:pPr>
        <w:pStyle w:val="TOC1"/>
        <w:rPr>
          <w:rFonts w:asciiTheme="minorHAnsi" w:eastAsiaTheme="minorEastAsia" w:hAnsiTheme="minorHAnsi" w:cstheme="minorBidi"/>
          <w:b w:val="0"/>
          <w:spacing w:val="0"/>
          <w:sz w:val="22"/>
          <w:szCs w:val="22"/>
        </w:rPr>
      </w:pPr>
      <w:r>
        <w:t>Glossary</w:t>
      </w:r>
      <w:r>
        <w:tab/>
      </w:r>
      <w:r>
        <w:fldChar w:fldCharType="begin"/>
      </w:r>
      <w:r>
        <w:instrText xml:space="preserve"> PAGEREF _Toc6923132 \h </w:instrText>
      </w:r>
      <w:r>
        <w:fldChar w:fldCharType="separate"/>
      </w:r>
      <w:r w:rsidR="00A53E1C">
        <w:t>41</w:t>
      </w:r>
      <w:r>
        <w:fldChar w:fldCharType="end"/>
      </w:r>
    </w:p>
    <w:p w14:paraId="616D68E3" w14:textId="128F0D30" w:rsidR="00D943C6" w:rsidRDefault="00D943C6">
      <w:pPr>
        <w:pStyle w:val="TOC1"/>
        <w:rPr>
          <w:rFonts w:asciiTheme="minorHAnsi" w:eastAsiaTheme="minorEastAsia" w:hAnsiTheme="minorHAnsi" w:cstheme="minorBidi"/>
          <w:b w:val="0"/>
          <w:spacing w:val="0"/>
          <w:sz w:val="22"/>
          <w:szCs w:val="22"/>
        </w:rPr>
      </w:pPr>
      <w:r>
        <w:t>Appendix A—Current arrangements and use in the 3400–3575 MHz band</w:t>
      </w:r>
      <w:r>
        <w:tab/>
      </w:r>
      <w:r>
        <w:fldChar w:fldCharType="begin"/>
      </w:r>
      <w:r>
        <w:instrText xml:space="preserve"> PAGEREF _Toc6923133 \h </w:instrText>
      </w:r>
      <w:r>
        <w:fldChar w:fldCharType="separate"/>
      </w:r>
      <w:r w:rsidR="00A53E1C">
        <w:t>44</w:t>
      </w:r>
      <w:r>
        <w:fldChar w:fldCharType="end"/>
      </w:r>
    </w:p>
    <w:p w14:paraId="3D5DC21A" w14:textId="4828E04C" w:rsidR="00D943C6" w:rsidRDefault="00D943C6">
      <w:pPr>
        <w:pStyle w:val="TOC3"/>
        <w:rPr>
          <w:rFonts w:asciiTheme="minorHAnsi" w:eastAsiaTheme="minorEastAsia" w:hAnsiTheme="minorHAnsi" w:cstheme="minorBidi"/>
        </w:rPr>
      </w:pPr>
      <w:r>
        <w:t>Spectrum licences</w:t>
      </w:r>
      <w:r>
        <w:tab/>
      </w:r>
      <w:r>
        <w:fldChar w:fldCharType="begin"/>
      </w:r>
      <w:r>
        <w:instrText xml:space="preserve"> PAGEREF _Toc6923134 \h </w:instrText>
      </w:r>
      <w:r>
        <w:fldChar w:fldCharType="separate"/>
      </w:r>
      <w:r w:rsidR="00A53E1C">
        <w:t>47</w:t>
      </w:r>
      <w:r>
        <w:fldChar w:fldCharType="end"/>
      </w:r>
    </w:p>
    <w:p w14:paraId="50EC4007" w14:textId="0485B305" w:rsidR="00D943C6" w:rsidRDefault="00D943C6">
      <w:pPr>
        <w:pStyle w:val="TOC3"/>
        <w:rPr>
          <w:rFonts w:asciiTheme="minorHAnsi" w:eastAsiaTheme="minorEastAsia" w:hAnsiTheme="minorHAnsi" w:cstheme="minorBidi"/>
        </w:rPr>
      </w:pPr>
      <w:r>
        <w:t>Point-to-multipoint (PMP) Services</w:t>
      </w:r>
      <w:r>
        <w:tab/>
      </w:r>
      <w:r>
        <w:fldChar w:fldCharType="begin"/>
      </w:r>
      <w:r>
        <w:instrText xml:space="preserve"> PAGEREF _Toc6923135 \h </w:instrText>
      </w:r>
      <w:r>
        <w:fldChar w:fldCharType="separate"/>
      </w:r>
      <w:r w:rsidR="00A53E1C">
        <w:t>47</w:t>
      </w:r>
      <w:r>
        <w:fldChar w:fldCharType="end"/>
      </w:r>
    </w:p>
    <w:p w14:paraId="12612B8E" w14:textId="3A9DFE68" w:rsidR="00D943C6" w:rsidRDefault="00D943C6">
      <w:pPr>
        <w:pStyle w:val="TOC3"/>
        <w:rPr>
          <w:rFonts w:asciiTheme="minorHAnsi" w:eastAsiaTheme="minorEastAsia" w:hAnsiTheme="minorHAnsi" w:cstheme="minorBidi"/>
        </w:rPr>
      </w:pPr>
      <w:r>
        <w:t>Public Telecommunications Services (PTS)</w:t>
      </w:r>
      <w:r>
        <w:tab/>
      </w:r>
      <w:r>
        <w:fldChar w:fldCharType="begin"/>
      </w:r>
      <w:r>
        <w:instrText xml:space="preserve"> PAGEREF _Toc6923136 \h </w:instrText>
      </w:r>
      <w:r>
        <w:fldChar w:fldCharType="separate"/>
      </w:r>
      <w:r w:rsidR="00A53E1C">
        <w:t>47</w:t>
      </w:r>
      <w:r>
        <w:fldChar w:fldCharType="end"/>
      </w:r>
    </w:p>
    <w:p w14:paraId="34D0A65A" w14:textId="5688C8D5" w:rsidR="00D943C6" w:rsidRDefault="00D943C6">
      <w:pPr>
        <w:pStyle w:val="TOC3"/>
        <w:rPr>
          <w:rFonts w:asciiTheme="minorHAnsi" w:eastAsiaTheme="minorEastAsia" w:hAnsiTheme="minorHAnsi" w:cstheme="minorBidi"/>
        </w:rPr>
      </w:pPr>
      <w:r>
        <w:t>Fixed-satellite service (FSS)</w:t>
      </w:r>
      <w:r>
        <w:tab/>
      </w:r>
      <w:r>
        <w:fldChar w:fldCharType="begin"/>
      </w:r>
      <w:r>
        <w:instrText xml:space="preserve"> PAGEREF _Toc6923137 \h </w:instrText>
      </w:r>
      <w:r>
        <w:fldChar w:fldCharType="separate"/>
      </w:r>
      <w:r w:rsidR="00A53E1C">
        <w:t>47</w:t>
      </w:r>
      <w:r>
        <w:fldChar w:fldCharType="end"/>
      </w:r>
    </w:p>
    <w:p w14:paraId="438A9446" w14:textId="47DFA9C5" w:rsidR="00D943C6" w:rsidRDefault="00D943C6">
      <w:pPr>
        <w:pStyle w:val="TOC3"/>
        <w:rPr>
          <w:rFonts w:asciiTheme="minorHAnsi" w:eastAsiaTheme="minorEastAsia" w:hAnsiTheme="minorHAnsi" w:cstheme="minorBidi"/>
        </w:rPr>
      </w:pPr>
      <w:r>
        <w:t>Amateur services</w:t>
      </w:r>
      <w:r>
        <w:tab/>
      </w:r>
      <w:r>
        <w:fldChar w:fldCharType="begin"/>
      </w:r>
      <w:r>
        <w:instrText xml:space="preserve"> PAGEREF _Toc6923138 \h </w:instrText>
      </w:r>
      <w:r>
        <w:fldChar w:fldCharType="separate"/>
      </w:r>
      <w:r w:rsidR="00A53E1C">
        <w:t>47</w:t>
      </w:r>
      <w:r>
        <w:fldChar w:fldCharType="end"/>
      </w:r>
    </w:p>
    <w:p w14:paraId="36672982" w14:textId="69465817" w:rsidR="00D943C6" w:rsidRDefault="00D943C6">
      <w:pPr>
        <w:pStyle w:val="TOC3"/>
        <w:rPr>
          <w:rFonts w:asciiTheme="minorHAnsi" w:eastAsiaTheme="minorEastAsia" w:hAnsiTheme="minorHAnsi" w:cstheme="minorBidi"/>
        </w:rPr>
      </w:pPr>
      <w:r>
        <w:t>Radiolocation services</w:t>
      </w:r>
      <w:r>
        <w:tab/>
      </w:r>
      <w:r>
        <w:fldChar w:fldCharType="begin"/>
      </w:r>
      <w:r>
        <w:instrText xml:space="preserve"> PAGEREF _Toc6923139 \h </w:instrText>
      </w:r>
      <w:r>
        <w:fldChar w:fldCharType="separate"/>
      </w:r>
      <w:r w:rsidR="00A53E1C">
        <w:t>47</w:t>
      </w:r>
      <w:r>
        <w:fldChar w:fldCharType="end"/>
      </w:r>
    </w:p>
    <w:p w14:paraId="2EB01F2B" w14:textId="1B9A76E8" w:rsidR="00D943C6" w:rsidRDefault="00D943C6">
      <w:pPr>
        <w:pStyle w:val="TOC3"/>
        <w:rPr>
          <w:rFonts w:asciiTheme="minorHAnsi" w:eastAsiaTheme="minorEastAsia" w:hAnsiTheme="minorHAnsi" w:cstheme="minorBidi"/>
        </w:rPr>
      </w:pPr>
      <w:r>
        <w:t>Low interference potential devices</w:t>
      </w:r>
      <w:r>
        <w:tab/>
      </w:r>
      <w:r>
        <w:fldChar w:fldCharType="begin"/>
      </w:r>
      <w:r>
        <w:instrText xml:space="preserve"> PAGEREF _Toc6923140 \h </w:instrText>
      </w:r>
      <w:r>
        <w:fldChar w:fldCharType="separate"/>
      </w:r>
      <w:r w:rsidR="00A53E1C">
        <w:t>48</w:t>
      </w:r>
      <w:r>
        <w:fldChar w:fldCharType="end"/>
      </w:r>
    </w:p>
    <w:p w14:paraId="35A87E47" w14:textId="47E0F4DA" w:rsidR="00D943C6" w:rsidRDefault="00D943C6">
      <w:pPr>
        <w:pStyle w:val="TOC3"/>
        <w:rPr>
          <w:rFonts w:asciiTheme="minorHAnsi" w:eastAsiaTheme="minorEastAsia" w:hAnsiTheme="minorHAnsi" w:cstheme="minorBidi"/>
        </w:rPr>
      </w:pPr>
      <w:r>
        <w:t>Embargoes</w:t>
      </w:r>
      <w:r>
        <w:tab/>
      </w:r>
      <w:r>
        <w:fldChar w:fldCharType="begin"/>
      </w:r>
      <w:r>
        <w:instrText xml:space="preserve"> PAGEREF _Toc6923141 \h </w:instrText>
      </w:r>
      <w:r>
        <w:fldChar w:fldCharType="separate"/>
      </w:r>
      <w:r w:rsidR="00A53E1C">
        <w:t>48</w:t>
      </w:r>
      <w:r>
        <w:fldChar w:fldCharType="end"/>
      </w:r>
    </w:p>
    <w:p w14:paraId="1C01327A" w14:textId="4EB3F1F0" w:rsidR="00D943C6" w:rsidRDefault="00D943C6">
      <w:pPr>
        <w:pStyle w:val="TOC1"/>
        <w:rPr>
          <w:rFonts w:asciiTheme="minorHAnsi" w:eastAsiaTheme="minorEastAsia" w:hAnsiTheme="minorHAnsi" w:cstheme="minorBidi"/>
          <w:b w:val="0"/>
          <w:spacing w:val="0"/>
          <w:sz w:val="22"/>
          <w:szCs w:val="22"/>
        </w:rPr>
      </w:pPr>
      <w:r>
        <w:t>Appendix B—Geographical area definitions</w:t>
      </w:r>
      <w:r>
        <w:tab/>
      </w:r>
      <w:r>
        <w:fldChar w:fldCharType="begin"/>
      </w:r>
      <w:r>
        <w:instrText xml:space="preserve"> PAGEREF _Toc6923142 \h </w:instrText>
      </w:r>
      <w:r>
        <w:fldChar w:fldCharType="separate"/>
      </w:r>
      <w:r w:rsidR="00A53E1C">
        <w:t>49</w:t>
      </w:r>
      <w:r>
        <w:fldChar w:fldCharType="end"/>
      </w:r>
    </w:p>
    <w:p w14:paraId="74FA2D23" w14:textId="2E66BFD2" w:rsidR="00D943C6" w:rsidRDefault="00D943C6">
      <w:pPr>
        <w:pStyle w:val="TOC1"/>
        <w:rPr>
          <w:rFonts w:asciiTheme="minorHAnsi" w:eastAsiaTheme="minorEastAsia" w:hAnsiTheme="minorHAnsi" w:cstheme="minorBidi"/>
          <w:b w:val="0"/>
          <w:spacing w:val="0"/>
          <w:sz w:val="22"/>
          <w:szCs w:val="22"/>
        </w:rPr>
      </w:pPr>
      <w:r>
        <w:t>Appendix C—Detailed licence arrangements and possible defrag outcome</w:t>
      </w:r>
      <w:r>
        <w:tab/>
      </w:r>
      <w:r>
        <w:fldChar w:fldCharType="begin"/>
      </w:r>
      <w:r>
        <w:instrText xml:space="preserve"> PAGEREF _Toc6923143 \h </w:instrText>
      </w:r>
      <w:r>
        <w:fldChar w:fldCharType="separate"/>
      </w:r>
      <w:r w:rsidR="00A53E1C">
        <w:t>57</w:t>
      </w:r>
      <w:r>
        <w:fldChar w:fldCharType="end"/>
      </w:r>
    </w:p>
    <w:p w14:paraId="3CA2881C" w14:textId="553530A1" w:rsidR="00D943C6" w:rsidRDefault="00D943C6">
      <w:pPr>
        <w:pStyle w:val="TOC1"/>
        <w:rPr>
          <w:rFonts w:asciiTheme="minorHAnsi" w:eastAsiaTheme="minorEastAsia" w:hAnsiTheme="minorHAnsi" w:cstheme="minorBidi"/>
          <w:b w:val="0"/>
          <w:spacing w:val="0"/>
          <w:sz w:val="22"/>
          <w:szCs w:val="22"/>
        </w:rPr>
      </w:pPr>
      <w:r>
        <w:t>Appendix D—The conversion process</w:t>
      </w:r>
      <w:r>
        <w:tab/>
      </w:r>
      <w:r>
        <w:fldChar w:fldCharType="begin"/>
      </w:r>
      <w:r>
        <w:instrText xml:space="preserve"> PAGEREF _Toc6923144 \h </w:instrText>
      </w:r>
      <w:r>
        <w:fldChar w:fldCharType="separate"/>
      </w:r>
      <w:r w:rsidR="00A53E1C">
        <w:t>60</w:t>
      </w:r>
      <w:r>
        <w:fldChar w:fldCharType="end"/>
      </w:r>
    </w:p>
    <w:p w14:paraId="424C5F55" w14:textId="72C8084D" w:rsidR="00D943C6" w:rsidRDefault="00D943C6">
      <w:pPr>
        <w:pStyle w:val="TOC1"/>
        <w:rPr>
          <w:rFonts w:asciiTheme="minorHAnsi" w:eastAsiaTheme="minorEastAsia" w:hAnsiTheme="minorHAnsi" w:cstheme="minorBidi"/>
          <w:b w:val="0"/>
          <w:spacing w:val="0"/>
          <w:sz w:val="22"/>
          <w:szCs w:val="22"/>
        </w:rPr>
      </w:pPr>
      <w:r>
        <w:t>Appendix E—Assessment of planning options against the Principles</w:t>
      </w:r>
      <w:r>
        <w:tab/>
      </w:r>
      <w:r>
        <w:fldChar w:fldCharType="begin"/>
      </w:r>
      <w:r>
        <w:instrText xml:space="preserve"> PAGEREF _Toc6923145 \h </w:instrText>
      </w:r>
      <w:r>
        <w:fldChar w:fldCharType="separate"/>
      </w:r>
      <w:r w:rsidR="00A53E1C">
        <w:t>61</w:t>
      </w:r>
      <w:r>
        <w:fldChar w:fldCharType="end"/>
      </w:r>
    </w:p>
    <w:p w14:paraId="6AEA74FC" w14:textId="7473D6E5" w:rsidR="000A4A51" w:rsidRPr="000D76E0" w:rsidRDefault="007A6CC0">
      <w:pPr>
        <w:rPr>
          <w:rFonts w:cs="Arial"/>
        </w:rPr>
      </w:pPr>
      <w:r>
        <w:rPr>
          <w:rFonts w:cs="Arial"/>
          <w:b/>
          <w:noProof/>
          <w:spacing w:val="-14"/>
          <w:sz w:val="28"/>
        </w:rPr>
        <w:fldChar w:fldCharType="end"/>
      </w:r>
    </w:p>
    <w:p w14:paraId="3F96D504" w14:textId="77777777" w:rsidR="004D56FF" w:rsidRPr="000D76E0" w:rsidRDefault="004D56FF">
      <w:pPr>
        <w:rPr>
          <w:rFonts w:cs="Arial"/>
        </w:rPr>
        <w:sectPr w:rsidR="004D56FF" w:rsidRPr="000D76E0" w:rsidSect="009F2944">
          <w:headerReference w:type="even" r:id="rId19"/>
          <w:headerReference w:type="default" r:id="rId20"/>
          <w:footerReference w:type="even" r:id="rId21"/>
          <w:footerReference w:type="default" r:id="rId22"/>
          <w:footerReference w:type="first" r:id="rId23"/>
          <w:pgSz w:w="11906" w:h="16838" w:code="9"/>
          <w:pgMar w:top="2256" w:right="3101" w:bottom="1134" w:left="1134" w:header="709" w:footer="119" w:gutter="0"/>
          <w:cols w:space="708"/>
          <w:titlePg/>
          <w:docGrid w:linePitch="360"/>
        </w:sectPr>
      </w:pPr>
    </w:p>
    <w:p w14:paraId="1876E2D5" w14:textId="77777777" w:rsidR="009D6C71" w:rsidRPr="009174F3" w:rsidRDefault="009D6C71" w:rsidP="009174F3">
      <w:pPr>
        <w:pStyle w:val="ACMAExecSummaryHeading"/>
      </w:pPr>
      <w:bookmarkStart w:id="1" w:name="_Toc6923090"/>
      <w:r w:rsidRPr="009174F3">
        <w:lastRenderedPageBreak/>
        <w:t>Executive summary</w:t>
      </w:r>
      <w:bookmarkEnd w:id="1"/>
      <w:r w:rsidR="007E7683" w:rsidRPr="009174F3">
        <w:t xml:space="preserve"> </w:t>
      </w:r>
    </w:p>
    <w:p w14:paraId="15BCE3E3" w14:textId="19E9A9F6" w:rsidR="002230E8" w:rsidRDefault="002230E8" w:rsidP="00715722">
      <w:pPr>
        <w:rPr>
          <w:rFonts w:cs="Arial"/>
        </w:rPr>
      </w:pPr>
      <w:r w:rsidRPr="007B380E">
        <w:t>The 3400</w:t>
      </w:r>
      <w:r w:rsidR="008A196F">
        <w:t>–</w:t>
      </w:r>
      <w:r w:rsidRPr="007B380E">
        <w:t>3575 MHz</w:t>
      </w:r>
      <w:r>
        <w:t xml:space="preserve"> </w:t>
      </w:r>
      <w:r w:rsidRPr="007B380E">
        <w:t>band is subject to a mix of spectrum and apparatus licensing arrangements across Australia. These arrangements authorise a variety of services, including wireless broadband</w:t>
      </w:r>
      <w:r>
        <w:t xml:space="preserve"> (both fixed and mobile)</w:t>
      </w:r>
      <w:r w:rsidRPr="007B380E">
        <w:t>, fixed satellite, radiolocation and amateur services</w:t>
      </w:r>
      <w:r>
        <w:t>.</w:t>
      </w:r>
      <w:r>
        <w:rPr>
          <w:rFonts w:cs="Arial"/>
        </w:rPr>
        <w:t xml:space="preserve"> </w:t>
      </w:r>
      <w:r w:rsidRPr="00EF2304">
        <w:rPr>
          <w:rFonts w:cs="Arial"/>
        </w:rPr>
        <w:t xml:space="preserve">For historical reasons the existing </w:t>
      </w:r>
      <w:r>
        <w:rPr>
          <w:rFonts w:cs="Arial"/>
        </w:rPr>
        <w:t xml:space="preserve">wireless broadband </w:t>
      </w:r>
      <w:r w:rsidRPr="00EF2304">
        <w:rPr>
          <w:rFonts w:cs="Arial"/>
        </w:rPr>
        <w:t xml:space="preserve">arrangements in the band </w:t>
      </w:r>
      <w:r>
        <w:rPr>
          <w:rFonts w:cs="Arial"/>
        </w:rPr>
        <w:t xml:space="preserve">are </w:t>
      </w:r>
      <w:r w:rsidRPr="00EF2304">
        <w:rPr>
          <w:rFonts w:cs="Arial"/>
        </w:rPr>
        <w:t>fragmented</w:t>
      </w:r>
      <w:r w:rsidR="00F87AC2">
        <w:rPr>
          <w:rFonts w:cs="Arial"/>
        </w:rPr>
        <w:t xml:space="preserve"> and not optimally configured for contemporary technologies</w:t>
      </w:r>
      <w:r w:rsidRPr="00EF2304">
        <w:rPr>
          <w:rFonts w:cs="Arial"/>
        </w:rPr>
        <w:t>.</w:t>
      </w:r>
    </w:p>
    <w:p w14:paraId="15CFB4EA" w14:textId="52B9410C" w:rsidR="00B05327" w:rsidRDefault="002230E8" w:rsidP="00715722">
      <w:pPr>
        <w:rPr>
          <w:rFonts w:cs="Arial"/>
        </w:rPr>
      </w:pPr>
      <w:r w:rsidRPr="00EF2304">
        <w:rPr>
          <w:rFonts w:cs="Arial"/>
        </w:rPr>
        <w:t xml:space="preserve">The </w:t>
      </w:r>
      <w:r>
        <w:rPr>
          <w:rFonts w:cs="Arial"/>
        </w:rPr>
        <w:t>3400</w:t>
      </w:r>
      <w:r w:rsidR="008A196F">
        <w:rPr>
          <w:rFonts w:cs="Arial"/>
        </w:rPr>
        <w:t>–</w:t>
      </w:r>
      <w:r>
        <w:rPr>
          <w:rFonts w:cs="Arial"/>
        </w:rPr>
        <w:t xml:space="preserve">3575 MHz </w:t>
      </w:r>
      <w:r w:rsidRPr="00EF2304">
        <w:rPr>
          <w:rFonts w:cs="Arial"/>
        </w:rPr>
        <w:t>band forms part of the 3300</w:t>
      </w:r>
      <w:r w:rsidR="008A196F">
        <w:rPr>
          <w:rFonts w:cs="Arial"/>
        </w:rPr>
        <w:t>–</w:t>
      </w:r>
      <w:r w:rsidRPr="00EF2304">
        <w:rPr>
          <w:rFonts w:cs="Arial"/>
        </w:rPr>
        <w:t>3800 MHz band that has been identified globally for wireless broadband use (including 5G)</w:t>
      </w:r>
      <w:r>
        <w:rPr>
          <w:rFonts w:cs="Arial"/>
        </w:rPr>
        <w:t xml:space="preserve">. Consequently, there has been increasing interest in deploying such services in the band. </w:t>
      </w:r>
      <w:r w:rsidR="00B05327">
        <w:t>Stakeholder engagement in the lead</w:t>
      </w:r>
      <w:r w:rsidR="008A196F">
        <w:t>-</w:t>
      </w:r>
      <w:r w:rsidR="00B05327">
        <w:t>up to the 3.6 GHz band auction in 2018 identified optimising spectrum and apparatus licence arrangements</w:t>
      </w:r>
      <w:r w:rsidR="00791097">
        <w:t xml:space="preserve"> </w:t>
      </w:r>
      <w:r w:rsidR="00B05327" w:rsidRPr="00A0300D">
        <w:rPr>
          <w:rFonts w:cs="Arial"/>
        </w:rPr>
        <w:t xml:space="preserve">in the </w:t>
      </w:r>
      <w:r w:rsidR="00B05327">
        <w:t>adjacent 3400</w:t>
      </w:r>
      <w:r w:rsidR="008A196F">
        <w:t>–</w:t>
      </w:r>
      <w:r w:rsidR="00B05327">
        <w:t xml:space="preserve">3575 MHz band as an </w:t>
      </w:r>
      <w:r w:rsidR="0051358A">
        <w:t>activity that should be prioritised in the ACMA’s work program.</w:t>
      </w:r>
      <w:r w:rsidR="00550C26" w:rsidRPr="00603262">
        <w:rPr>
          <w:rFonts w:cs="Arial"/>
        </w:rPr>
        <w:t xml:space="preserve"> </w:t>
      </w:r>
      <w:r>
        <w:rPr>
          <w:rFonts w:cs="Arial"/>
        </w:rPr>
        <w:t>C</w:t>
      </w:r>
      <w:r w:rsidR="00FE3F49">
        <w:rPr>
          <w:rFonts w:cs="Arial"/>
        </w:rPr>
        <w:t>onsolidat</w:t>
      </w:r>
      <w:r>
        <w:rPr>
          <w:rFonts w:cs="Arial"/>
        </w:rPr>
        <w:t>ing</w:t>
      </w:r>
      <w:r w:rsidR="00791097">
        <w:rPr>
          <w:rFonts w:cs="Arial"/>
        </w:rPr>
        <w:t xml:space="preserve"> the different licen</w:t>
      </w:r>
      <w:r w:rsidR="00671460">
        <w:rPr>
          <w:rFonts w:cs="Arial"/>
        </w:rPr>
        <w:t>c</w:t>
      </w:r>
      <w:r w:rsidR="00791097">
        <w:rPr>
          <w:rFonts w:cs="Arial"/>
        </w:rPr>
        <w:t>e</w:t>
      </w:r>
      <w:r>
        <w:rPr>
          <w:rFonts w:cs="Arial"/>
        </w:rPr>
        <w:t xml:space="preserve"> </w:t>
      </w:r>
      <w:r w:rsidR="00FE3F49">
        <w:rPr>
          <w:rFonts w:cs="Arial"/>
        </w:rPr>
        <w:t>arrangements</w:t>
      </w:r>
      <w:r w:rsidR="00791097">
        <w:rPr>
          <w:rFonts w:cs="Arial"/>
        </w:rPr>
        <w:t xml:space="preserve"> for wireless broadband use</w:t>
      </w:r>
      <w:r w:rsidR="00FE3F49">
        <w:rPr>
          <w:rFonts w:cs="Arial"/>
        </w:rPr>
        <w:t xml:space="preserve"> </w:t>
      </w:r>
      <w:r>
        <w:rPr>
          <w:rFonts w:cs="Arial"/>
        </w:rPr>
        <w:t>(referred to as ‘defr</w:t>
      </w:r>
      <w:r w:rsidR="00791097">
        <w:rPr>
          <w:rFonts w:cs="Arial"/>
        </w:rPr>
        <w:t>a</w:t>
      </w:r>
      <w:r>
        <w:rPr>
          <w:rFonts w:cs="Arial"/>
        </w:rPr>
        <w:t>g’ in this paper)</w:t>
      </w:r>
      <w:r w:rsidR="00FE3F49">
        <w:rPr>
          <w:rFonts w:cs="Arial"/>
        </w:rPr>
        <w:t xml:space="preserve"> </w:t>
      </w:r>
      <w:r w:rsidR="00B05327">
        <w:t>is expected to result in more efficient use of spectrum and a reduction in network deployment costs.</w:t>
      </w:r>
      <w:r w:rsidR="00B05327" w:rsidRPr="00B05327">
        <w:rPr>
          <w:rFonts w:cs="Arial"/>
        </w:rPr>
        <w:t xml:space="preserve"> </w:t>
      </w:r>
    </w:p>
    <w:p w14:paraId="5E670573" w14:textId="280139D6" w:rsidR="0051358A" w:rsidRPr="00695ABD" w:rsidRDefault="0051358A" w:rsidP="003C5923">
      <w:pPr>
        <w:spacing w:before="240" w:after="80"/>
        <w:rPr>
          <w:rFonts w:cs="Arial"/>
        </w:rPr>
      </w:pPr>
      <w:r>
        <w:rPr>
          <w:rFonts w:cs="Arial"/>
        </w:rPr>
        <w:t>T</w:t>
      </w:r>
      <w:r w:rsidRPr="00695ABD">
        <w:rPr>
          <w:rFonts w:cs="Arial"/>
        </w:rPr>
        <w:t>he ACMA</w:t>
      </w:r>
      <w:r>
        <w:rPr>
          <w:rFonts w:cs="Arial"/>
        </w:rPr>
        <w:t>’</w:t>
      </w:r>
      <w:r w:rsidRPr="00695ABD">
        <w:rPr>
          <w:rFonts w:cs="Arial"/>
        </w:rPr>
        <w:t xml:space="preserve">s planning goals </w:t>
      </w:r>
      <w:r>
        <w:rPr>
          <w:rFonts w:cs="Arial"/>
        </w:rPr>
        <w:t>for any change in the 3400</w:t>
      </w:r>
      <w:r w:rsidR="008A196F">
        <w:rPr>
          <w:rFonts w:cs="Arial"/>
        </w:rPr>
        <w:t>–</w:t>
      </w:r>
      <w:r>
        <w:rPr>
          <w:rFonts w:cs="Arial"/>
        </w:rPr>
        <w:t xml:space="preserve">3575 MHz band </w:t>
      </w:r>
      <w:r w:rsidRPr="00695ABD">
        <w:rPr>
          <w:rFonts w:cs="Arial"/>
        </w:rPr>
        <w:t xml:space="preserve">are to ensure, as far as possible, the following:   </w:t>
      </w:r>
    </w:p>
    <w:p w14:paraId="314904AA" w14:textId="52147D5D" w:rsidR="0051358A" w:rsidRPr="00695ABD" w:rsidRDefault="0051358A" w:rsidP="0051358A">
      <w:pPr>
        <w:pStyle w:val="Default"/>
        <w:numPr>
          <w:ilvl w:val="0"/>
          <w:numId w:val="17"/>
        </w:numPr>
        <w:spacing w:line="280" w:lineRule="atLeast"/>
        <w:rPr>
          <w:color w:val="auto"/>
          <w:sz w:val="20"/>
        </w:rPr>
      </w:pPr>
      <w:r>
        <w:rPr>
          <w:color w:val="auto"/>
          <w:sz w:val="20"/>
        </w:rPr>
        <w:t>b</w:t>
      </w:r>
      <w:r w:rsidRPr="00695ABD">
        <w:rPr>
          <w:color w:val="auto"/>
          <w:sz w:val="20"/>
        </w:rPr>
        <w:t>arriers to change are removed</w:t>
      </w:r>
      <w:r w:rsidR="00F87946">
        <w:rPr>
          <w:color w:val="auto"/>
          <w:sz w:val="20"/>
        </w:rPr>
        <w:t xml:space="preserve"> (for example, to facilitate trading)</w:t>
      </w:r>
    </w:p>
    <w:p w14:paraId="5944B936" w14:textId="45793A40" w:rsidR="0051358A" w:rsidRPr="00695ABD" w:rsidRDefault="0051358A" w:rsidP="0051358A">
      <w:pPr>
        <w:pStyle w:val="Default"/>
        <w:numPr>
          <w:ilvl w:val="0"/>
          <w:numId w:val="17"/>
        </w:numPr>
        <w:spacing w:line="280" w:lineRule="atLeast"/>
        <w:rPr>
          <w:color w:val="auto"/>
          <w:sz w:val="20"/>
        </w:rPr>
      </w:pPr>
      <w:r>
        <w:rPr>
          <w:color w:val="auto"/>
          <w:sz w:val="20"/>
        </w:rPr>
        <w:t>a</w:t>
      </w:r>
      <w:r w:rsidRPr="00695ABD">
        <w:rPr>
          <w:color w:val="auto"/>
          <w:sz w:val="20"/>
        </w:rPr>
        <w:t>rrangements for wireless broadband use are put in place across the entire 3400</w:t>
      </w:r>
      <w:r w:rsidR="008A196F">
        <w:rPr>
          <w:color w:val="auto"/>
          <w:sz w:val="20"/>
        </w:rPr>
        <w:t>–</w:t>
      </w:r>
      <w:r w:rsidRPr="00695ABD">
        <w:rPr>
          <w:color w:val="auto"/>
          <w:sz w:val="20"/>
        </w:rPr>
        <w:t>3575 MHz band Australia-wide</w:t>
      </w:r>
    </w:p>
    <w:p w14:paraId="3C822316" w14:textId="56BC8749" w:rsidR="0051358A" w:rsidRPr="00695ABD" w:rsidRDefault="0051358A" w:rsidP="0051358A">
      <w:pPr>
        <w:pStyle w:val="Default"/>
        <w:numPr>
          <w:ilvl w:val="0"/>
          <w:numId w:val="17"/>
        </w:numPr>
        <w:spacing w:line="280" w:lineRule="atLeast"/>
        <w:rPr>
          <w:color w:val="auto"/>
          <w:sz w:val="20"/>
        </w:rPr>
      </w:pPr>
      <w:r>
        <w:rPr>
          <w:color w:val="auto"/>
          <w:sz w:val="20"/>
        </w:rPr>
        <w:t>a</w:t>
      </w:r>
      <w:r w:rsidRPr="00695ABD">
        <w:rPr>
          <w:color w:val="auto"/>
          <w:sz w:val="20"/>
        </w:rPr>
        <w:t xml:space="preserve">rea-based </w:t>
      </w:r>
      <w:r w:rsidR="009A0311" w:rsidRPr="00901375">
        <w:rPr>
          <w:color w:val="auto"/>
          <w:sz w:val="20"/>
        </w:rPr>
        <w:t xml:space="preserve">Public Telephony Service (PTS) </w:t>
      </w:r>
      <w:r w:rsidRPr="00695ABD">
        <w:rPr>
          <w:color w:val="auto"/>
          <w:sz w:val="20"/>
        </w:rPr>
        <w:t>and spectrum licensees achieve contiguous spectrum holdings in all areas they hold licences</w:t>
      </w:r>
    </w:p>
    <w:p w14:paraId="6788CDFE" w14:textId="199ED3CA" w:rsidR="0051358A" w:rsidRPr="000E7DB2" w:rsidRDefault="0051358A" w:rsidP="0051358A">
      <w:pPr>
        <w:pStyle w:val="Default"/>
        <w:numPr>
          <w:ilvl w:val="0"/>
          <w:numId w:val="17"/>
        </w:numPr>
        <w:spacing w:line="280" w:lineRule="atLeast"/>
        <w:rPr>
          <w:color w:val="auto"/>
          <w:sz w:val="20"/>
        </w:rPr>
      </w:pPr>
      <w:r>
        <w:rPr>
          <w:color w:val="auto"/>
          <w:sz w:val="20"/>
        </w:rPr>
        <w:t>area-based PTS and spectrum licensee’s total spectrum holdings are maintained in all areas they hold licences</w:t>
      </w:r>
      <w:r w:rsidRPr="000E7DB2">
        <w:rPr>
          <w:color w:val="auto"/>
          <w:sz w:val="20"/>
        </w:rPr>
        <w:t xml:space="preserve"> </w:t>
      </w:r>
    </w:p>
    <w:p w14:paraId="065382A9" w14:textId="26EC4E68" w:rsidR="0051358A" w:rsidRPr="00695ABD" w:rsidRDefault="0051358A" w:rsidP="0051358A">
      <w:pPr>
        <w:pStyle w:val="Default"/>
        <w:numPr>
          <w:ilvl w:val="0"/>
          <w:numId w:val="17"/>
        </w:numPr>
        <w:spacing w:line="280" w:lineRule="atLeast"/>
        <w:rPr>
          <w:color w:val="auto"/>
          <w:sz w:val="20"/>
        </w:rPr>
      </w:pPr>
      <w:r>
        <w:rPr>
          <w:color w:val="auto"/>
          <w:sz w:val="20"/>
        </w:rPr>
        <w:t>s</w:t>
      </w:r>
      <w:r w:rsidRPr="00695ABD">
        <w:rPr>
          <w:color w:val="auto"/>
          <w:sz w:val="20"/>
        </w:rPr>
        <w:t xml:space="preserve">pectrum arrangements for </w:t>
      </w:r>
      <w:r w:rsidR="009A0311">
        <w:rPr>
          <w:color w:val="auto"/>
          <w:sz w:val="20"/>
        </w:rPr>
        <w:t>point-to-multipoint (</w:t>
      </w:r>
      <w:r w:rsidRPr="00695ABD">
        <w:rPr>
          <w:color w:val="auto"/>
          <w:sz w:val="20"/>
        </w:rPr>
        <w:t>PMP</w:t>
      </w:r>
      <w:r w:rsidR="009A0311">
        <w:rPr>
          <w:color w:val="auto"/>
          <w:sz w:val="20"/>
        </w:rPr>
        <w:t>)</w:t>
      </w:r>
      <w:r w:rsidRPr="00695ABD">
        <w:rPr>
          <w:color w:val="auto"/>
          <w:sz w:val="20"/>
        </w:rPr>
        <w:t xml:space="preserve"> licensing are consolidated into a single frequency range to facilitate the adoption of </w:t>
      </w:r>
      <w:r w:rsidR="009A0311">
        <w:rPr>
          <w:color w:val="auto"/>
          <w:sz w:val="20"/>
        </w:rPr>
        <w:t xml:space="preserve">time division duplex </w:t>
      </w:r>
      <w:r w:rsidR="00FD47E0">
        <w:rPr>
          <w:color w:val="auto"/>
          <w:sz w:val="20"/>
        </w:rPr>
        <w:t>(T</w:t>
      </w:r>
      <w:r w:rsidRPr="00695ABD">
        <w:rPr>
          <w:color w:val="auto"/>
          <w:sz w:val="20"/>
        </w:rPr>
        <w:t>DD</w:t>
      </w:r>
      <w:r w:rsidR="00FD47E0">
        <w:rPr>
          <w:color w:val="auto"/>
          <w:sz w:val="20"/>
        </w:rPr>
        <w:t>)</w:t>
      </w:r>
      <w:r w:rsidRPr="00695ABD">
        <w:rPr>
          <w:color w:val="auto"/>
          <w:sz w:val="20"/>
        </w:rPr>
        <w:t xml:space="preserve"> wireless broadband technologies and provide access to larger channel sizes</w:t>
      </w:r>
    </w:p>
    <w:p w14:paraId="4CC84AC3" w14:textId="41247A84" w:rsidR="0051358A" w:rsidRPr="000B728E" w:rsidRDefault="0051358A" w:rsidP="000B728E">
      <w:pPr>
        <w:pStyle w:val="Default"/>
        <w:numPr>
          <w:ilvl w:val="0"/>
          <w:numId w:val="17"/>
        </w:numPr>
        <w:spacing w:after="240" w:line="280" w:lineRule="atLeast"/>
        <w:rPr>
          <w:color w:val="auto"/>
          <w:sz w:val="20"/>
        </w:rPr>
      </w:pPr>
      <w:r w:rsidRPr="000B728E">
        <w:rPr>
          <w:color w:val="auto"/>
          <w:sz w:val="20"/>
        </w:rPr>
        <w:t>the amount of spectrum available for PMP licensing remains the same or increases in all areas. This provides an option for incumbent PMP licensees to continue operating in the band if they wish.</w:t>
      </w:r>
    </w:p>
    <w:p w14:paraId="2C86CA0E" w14:textId="775F1A66" w:rsidR="00C47697" w:rsidRDefault="00B05327" w:rsidP="00DF62DF">
      <w:pPr>
        <w:spacing w:after="120"/>
        <w:rPr>
          <w:rFonts w:cs="Arial"/>
        </w:rPr>
      </w:pPr>
      <w:r w:rsidRPr="00744C4A">
        <w:rPr>
          <w:rFonts w:cs="Arial"/>
        </w:rPr>
        <w:t>To date</w:t>
      </w:r>
      <w:r w:rsidR="00F87946">
        <w:rPr>
          <w:rFonts w:cs="Arial"/>
        </w:rPr>
        <w:t>,</w:t>
      </w:r>
      <w:r w:rsidRPr="00744C4A">
        <w:rPr>
          <w:rFonts w:cs="Arial"/>
        </w:rPr>
        <w:t xml:space="preserve"> the mix of licensing types across the band has impeded commercial negotiations </w:t>
      </w:r>
      <w:r w:rsidR="00791097">
        <w:rPr>
          <w:rFonts w:cs="Arial"/>
        </w:rPr>
        <w:t>to implement defrag</w:t>
      </w:r>
      <w:r w:rsidRPr="00744C4A">
        <w:rPr>
          <w:rFonts w:cs="Arial"/>
        </w:rPr>
        <w:t>.</w:t>
      </w:r>
      <w:r w:rsidR="00747C7E">
        <w:rPr>
          <w:rFonts w:cs="Arial"/>
        </w:rPr>
        <w:t xml:space="preserve"> Consequently, the ACMA </w:t>
      </w:r>
      <w:r w:rsidR="00747C7E">
        <w:rPr>
          <w:color w:val="000000" w:themeColor="text1"/>
          <w:szCs w:val="20"/>
        </w:rPr>
        <w:t xml:space="preserve">considers it is timely to consider </w:t>
      </w:r>
      <w:r w:rsidR="00747C7E">
        <w:rPr>
          <w:rFonts w:cs="Arial"/>
        </w:rPr>
        <w:t>whether regulatory intervention is required to facilitate change.</w:t>
      </w:r>
      <w:r w:rsidR="00DF62DF">
        <w:rPr>
          <w:rFonts w:cs="Arial"/>
        </w:rPr>
        <w:t xml:space="preserve"> Ultimately</w:t>
      </w:r>
      <w:r w:rsidR="00866F09">
        <w:rPr>
          <w:rFonts w:cs="Arial"/>
        </w:rPr>
        <w:t>,</w:t>
      </w:r>
      <w:r w:rsidR="00DF62DF">
        <w:rPr>
          <w:rFonts w:cs="Arial"/>
        </w:rPr>
        <w:t xml:space="preserve"> t</w:t>
      </w:r>
      <w:r w:rsidRPr="009722EC">
        <w:rPr>
          <w:rFonts w:cs="Arial"/>
        </w:rPr>
        <w:t>his</w:t>
      </w:r>
      <w:r>
        <w:rPr>
          <w:rFonts w:cs="Arial"/>
        </w:rPr>
        <w:t xml:space="preserve"> </w:t>
      </w:r>
      <w:r w:rsidR="00DF62DF">
        <w:rPr>
          <w:rFonts w:cs="Arial"/>
        </w:rPr>
        <w:t xml:space="preserve">will </w:t>
      </w:r>
      <w:r w:rsidRPr="009722EC">
        <w:rPr>
          <w:rFonts w:cs="Arial"/>
        </w:rPr>
        <w:t>require both industry commitment and ACMA assistance to achieve</w:t>
      </w:r>
      <w:r w:rsidR="00550C26" w:rsidRPr="00A0300D">
        <w:rPr>
          <w:rFonts w:cs="Arial"/>
        </w:rPr>
        <w:t>.</w:t>
      </w:r>
    </w:p>
    <w:p w14:paraId="658DCEAF" w14:textId="1684C274" w:rsidR="00DF62DF" w:rsidRDefault="00DF62DF" w:rsidP="003C5923">
      <w:pPr>
        <w:spacing w:before="240" w:after="80"/>
        <w:rPr>
          <w:color w:val="000000" w:themeColor="text1"/>
          <w:szCs w:val="20"/>
        </w:rPr>
      </w:pPr>
      <w:r w:rsidRPr="00102E77">
        <w:rPr>
          <w:color w:val="000000" w:themeColor="text1"/>
          <w:szCs w:val="20"/>
        </w:rPr>
        <w:t xml:space="preserve">As part of </w:t>
      </w:r>
      <w:r>
        <w:rPr>
          <w:color w:val="000000" w:themeColor="text1"/>
          <w:szCs w:val="20"/>
        </w:rPr>
        <w:t>this process</w:t>
      </w:r>
      <w:r w:rsidR="00866F09">
        <w:rPr>
          <w:color w:val="000000" w:themeColor="text1"/>
          <w:szCs w:val="20"/>
        </w:rPr>
        <w:t>,</w:t>
      </w:r>
      <w:r w:rsidRPr="00102E77">
        <w:rPr>
          <w:color w:val="000000" w:themeColor="text1"/>
          <w:szCs w:val="20"/>
        </w:rPr>
        <w:t xml:space="preserve"> the ACMA </w:t>
      </w:r>
      <w:r w:rsidR="00FE3F49">
        <w:rPr>
          <w:color w:val="000000" w:themeColor="text1"/>
          <w:szCs w:val="20"/>
        </w:rPr>
        <w:t>is</w:t>
      </w:r>
      <w:r w:rsidRPr="00102E77">
        <w:rPr>
          <w:color w:val="000000" w:themeColor="text1"/>
          <w:szCs w:val="20"/>
        </w:rPr>
        <w:t xml:space="preserve"> </w:t>
      </w:r>
      <w:r>
        <w:rPr>
          <w:color w:val="000000" w:themeColor="text1"/>
          <w:szCs w:val="20"/>
        </w:rPr>
        <w:t>also</w:t>
      </w:r>
      <w:r w:rsidR="002B2D0D">
        <w:rPr>
          <w:color w:val="000000" w:themeColor="text1"/>
          <w:szCs w:val="20"/>
        </w:rPr>
        <w:t xml:space="preserve"> taking the opportunity to</w:t>
      </w:r>
      <w:r>
        <w:rPr>
          <w:color w:val="000000" w:themeColor="text1"/>
          <w:szCs w:val="20"/>
        </w:rPr>
        <w:t xml:space="preserve">: </w:t>
      </w:r>
    </w:p>
    <w:p w14:paraId="0C3F0597" w14:textId="6126D80E" w:rsidR="00DF62DF" w:rsidRPr="00901375" w:rsidRDefault="00866F09" w:rsidP="00901375">
      <w:pPr>
        <w:pStyle w:val="Default"/>
        <w:numPr>
          <w:ilvl w:val="0"/>
          <w:numId w:val="17"/>
        </w:numPr>
        <w:spacing w:line="280" w:lineRule="atLeast"/>
        <w:rPr>
          <w:color w:val="auto"/>
          <w:sz w:val="20"/>
        </w:rPr>
      </w:pPr>
      <w:r>
        <w:rPr>
          <w:color w:val="auto"/>
          <w:sz w:val="20"/>
        </w:rPr>
        <w:t>E</w:t>
      </w:r>
      <w:r w:rsidR="00FE3F49" w:rsidRPr="00901375">
        <w:rPr>
          <w:color w:val="auto"/>
          <w:sz w:val="20"/>
        </w:rPr>
        <w:t>xplor</w:t>
      </w:r>
      <w:r w:rsidR="002B2D0D">
        <w:rPr>
          <w:color w:val="auto"/>
          <w:sz w:val="20"/>
        </w:rPr>
        <w:t>e</w:t>
      </w:r>
      <w:r w:rsidR="00FE3F49" w:rsidRPr="00901375">
        <w:rPr>
          <w:color w:val="auto"/>
          <w:sz w:val="20"/>
        </w:rPr>
        <w:t xml:space="preserve"> </w:t>
      </w:r>
      <w:r w:rsidR="00DF62DF" w:rsidRPr="00901375">
        <w:rPr>
          <w:color w:val="auto"/>
          <w:sz w:val="20"/>
        </w:rPr>
        <w:t>options to make more of the band available for wireless broadband use. Both spectrum and apparatus licensing arrangements are being considered. This accounts for interest from large fixed and mobile network operators as well as wireless internet service providers (WISPs) and other localised wireless broadband operators</w:t>
      </w:r>
      <w:r>
        <w:rPr>
          <w:color w:val="auto"/>
          <w:sz w:val="20"/>
        </w:rPr>
        <w:t>.</w:t>
      </w:r>
    </w:p>
    <w:p w14:paraId="68C6288D" w14:textId="2A3B8E25" w:rsidR="00DF62DF" w:rsidRPr="00901375" w:rsidRDefault="00866F09" w:rsidP="00901375">
      <w:pPr>
        <w:pStyle w:val="Default"/>
        <w:numPr>
          <w:ilvl w:val="0"/>
          <w:numId w:val="17"/>
        </w:numPr>
        <w:spacing w:line="280" w:lineRule="atLeast"/>
        <w:rPr>
          <w:color w:val="auto"/>
          <w:sz w:val="20"/>
        </w:rPr>
      </w:pPr>
      <w:r>
        <w:rPr>
          <w:color w:val="auto"/>
          <w:sz w:val="20"/>
        </w:rPr>
        <w:t>I</w:t>
      </w:r>
      <w:r w:rsidR="00DF62DF" w:rsidRPr="00901375">
        <w:rPr>
          <w:color w:val="auto"/>
          <w:sz w:val="20"/>
        </w:rPr>
        <w:t>nvestigat</w:t>
      </w:r>
      <w:r w:rsidR="002B2D0D">
        <w:rPr>
          <w:color w:val="auto"/>
          <w:sz w:val="20"/>
        </w:rPr>
        <w:t>e</w:t>
      </w:r>
      <w:r w:rsidR="00DF62DF" w:rsidRPr="00901375">
        <w:rPr>
          <w:color w:val="auto"/>
          <w:sz w:val="20"/>
        </w:rPr>
        <w:t xml:space="preserve"> whether and to what degree urban areas of NBN Co’s </w:t>
      </w:r>
      <w:r w:rsidR="009A0311">
        <w:rPr>
          <w:color w:val="auto"/>
          <w:sz w:val="20"/>
        </w:rPr>
        <w:t xml:space="preserve">PTS </w:t>
      </w:r>
      <w:r w:rsidR="00DF62DF" w:rsidRPr="00901375">
        <w:rPr>
          <w:color w:val="auto"/>
          <w:sz w:val="20"/>
        </w:rPr>
        <w:t xml:space="preserve">licence could be made available for use by other operators. This could provide an </w:t>
      </w:r>
      <w:r w:rsidR="00DF62DF" w:rsidRPr="00901375">
        <w:rPr>
          <w:color w:val="auto"/>
          <w:sz w:val="20"/>
        </w:rPr>
        <w:lastRenderedPageBreak/>
        <w:t xml:space="preserve">opportunity to increase </w:t>
      </w:r>
      <w:r w:rsidR="00F87946">
        <w:rPr>
          <w:color w:val="auto"/>
          <w:sz w:val="20"/>
        </w:rPr>
        <w:t xml:space="preserve">utilisation </w:t>
      </w:r>
      <w:r w:rsidR="00DF62DF" w:rsidRPr="00901375">
        <w:rPr>
          <w:color w:val="auto"/>
          <w:sz w:val="20"/>
        </w:rPr>
        <w:t>of the spectrum in these areas and for other operators to enhance the delivery of their services.</w:t>
      </w:r>
    </w:p>
    <w:p w14:paraId="0D86C4C6" w14:textId="6E48FCDE" w:rsidR="00594CB7" w:rsidRPr="003C5923" w:rsidRDefault="00594CB7" w:rsidP="003C5923">
      <w:pPr>
        <w:pStyle w:val="Heading3"/>
        <w:rPr>
          <w:b w:val="0"/>
        </w:rPr>
      </w:pPr>
      <w:bookmarkStart w:id="2" w:name="_Toc6923091"/>
      <w:r w:rsidRPr="00905DCB">
        <w:t>Options for change</w:t>
      </w:r>
      <w:bookmarkEnd w:id="2"/>
      <w:r w:rsidR="002230E8" w:rsidRPr="00905DCB">
        <w:t xml:space="preserve"> </w:t>
      </w:r>
    </w:p>
    <w:p w14:paraId="6BC6639D" w14:textId="1E46D982" w:rsidR="00FE3F49" w:rsidRPr="00E50547" w:rsidRDefault="00594CB7" w:rsidP="003C5923">
      <w:pPr>
        <w:spacing w:after="80"/>
        <w:contextualSpacing/>
        <w:rPr>
          <w:rFonts w:cs="Arial"/>
        </w:rPr>
      </w:pPr>
      <w:r>
        <w:rPr>
          <w:rFonts w:cs="Arial"/>
        </w:rPr>
        <w:t>Regarding the implementation of defrag and making more of the band available for wireless broadband use</w:t>
      </w:r>
      <w:r w:rsidR="00FE3F49">
        <w:rPr>
          <w:rFonts w:cs="Arial"/>
        </w:rPr>
        <w:t xml:space="preserve">, the </w:t>
      </w:r>
      <w:r w:rsidR="00FE3F49" w:rsidRPr="00E50547">
        <w:rPr>
          <w:rFonts w:cs="Arial"/>
        </w:rPr>
        <w:t xml:space="preserve">following </w:t>
      </w:r>
      <w:r w:rsidR="00FE3F49">
        <w:rPr>
          <w:rFonts w:cs="Arial"/>
        </w:rPr>
        <w:t xml:space="preserve">planning </w:t>
      </w:r>
      <w:r w:rsidR="00FE3F49" w:rsidRPr="00E50547">
        <w:rPr>
          <w:rFonts w:cs="Arial"/>
        </w:rPr>
        <w:t>options</w:t>
      </w:r>
      <w:r w:rsidR="00FE3F49">
        <w:rPr>
          <w:rFonts w:cs="Arial"/>
        </w:rPr>
        <w:t xml:space="preserve"> have been identified:</w:t>
      </w:r>
    </w:p>
    <w:p w14:paraId="34E8758C" w14:textId="3985E291" w:rsidR="00FE3F49" w:rsidRPr="00901375" w:rsidRDefault="00FE3F49" w:rsidP="00901375">
      <w:pPr>
        <w:pStyle w:val="Default"/>
        <w:numPr>
          <w:ilvl w:val="0"/>
          <w:numId w:val="17"/>
        </w:numPr>
        <w:spacing w:line="280" w:lineRule="atLeast"/>
        <w:rPr>
          <w:color w:val="auto"/>
          <w:sz w:val="20"/>
        </w:rPr>
      </w:pPr>
      <w:r w:rsidRPr="003C5923">
        <w:rPr>
          <w:color w:val="auto"/>
          <w:sz w:val="20"/>
        </w:rPr>
        <w:t>Option 1</w:t>
      </w:r>
      <w:r w:rsidR="007E1252">
        <w:rPr>
          <w:color w:val="auto"/>
          <w:sz w:val="20"/>
        </w:rPr>
        <w:t xml:space="preserve">: </w:t>
      </w:r>
      <w:r w:rsidRPr="00901375">
        <w:rPr>
          <w:color w:val="auto"/>
          <w:sz w:val="20"/>
        </w:rPr>
        <w:t>No change</w:t>
      </w:r>
      <w:r w:rsidR="007E1252">
        <w:rPr>
          <w:color w:val="auto"/>
          <w:sz w:val="20"/>
        </w:rPr>
        <w:t xml:space="preserve">. </w:t>
      </w:r>
    </w:p>
    <w:p w14:paraId="1E05B0B0" w14:textId="3993E09B" w:rsidR="00FE3F49" w:rsidRPr="00901375" w:rsidRDefault="00FE3F49" w:rsidP="00901375">
      <w:pPr>
        <w:pStyle w:val="Default"/>
        <w:numPr>
          <w:ilvl w:val="0"/>
          <w:numId w:val="17"/>
        </w:numPr>
        <w:spacing w:line="280" w:lineRule="atLeast"/>
        <w:rPr>
          <w:color w:val="auto"/>
          <w:sz w:val="20"/>
        </w:rPr>
      </w:pPr>
      <w:r w:rsidRPr="003C5923">
        <w:rPr>
          <w:color w:val="auto"/>
          <w:sz w:val="20"/>
        </w:rPr>
        <w:t>Option 2</w:t>
      </w:r>
      <w:r w:rsidR="007E1252">
        <w:rPr>
          <w:color w:val="auto"/>
          <w:sz w:val="20"/>
        </w:rPr>
        <w:t xml:space="preserve">: </w:t>
      </w:r>
      <w:r w:rsidRPr="00901375">
        <w:rPr>
          <w:color w:val="auto"/>
          <w:sz w:val="20"/>
        </w:rPr>
        <w:t xml:space="preserve">Convert and re-allocate more of the band for spectrum licensing. Two sub-options are identified. Option 2a re-allocates for spectrum licensing all </w:t>
      </w:r>
      <w:r w:rsidR="00F87946">
        <w:rPr>
          <w:color w:val="auto"/>
          <w:sz w:val="20"/>
        </w:rPr>
        <w:t>r</w:t>
      </w:r>
      <w:r w:rsidRPr="00901375">
        <w:rPr>
          <w:color w:val="auto"/>
          <w:sz w:val="20"/>
        </w:rPr>
        <w:t xml:space="preserve">egional areas and </w:t>
      </w:r>
      <w:r w:rsidR="00F87946">
        <w:rPr>
          <w:color w:val="auto"/>
          <w:sz w:val="20"/>
        </w:rPr>
        <w:t>m</w:t>
      </w:r>
      <w:r w:rsidRPr="00901375">
        <w:rPr>
          <w:color w:val="auto"/>
          <w:sz w:val="20"/>
        </w:rPr>
        <w:t xml:space="preserve">ajor regional centres not currently subject to spectrum licensing. Option 2b only re-allocates some </w:t>
      </w:r>
      <w:r w:rsidR="00F87946">
        <w:rPr>
          <w:color w:val="auto"/>
          <w:sz w:val="20"/>
        </w:rPr>
        <w:t>r</w:t>
      </w:r>
      <w:r w:rsidRPr="00901375">
        <w:rPr>
          <w:color w:val="auto"/>
          <w:sz w:val="20"/>
        </w:rPr>
        <w:t xml:space="preserve">egional areas and </w:t>
      </w:r>
      <w:r w:rsidR="00F87946">
        <w:rPr>
          <w:color w:val="auto"/>
          <w:sz w:val="20"/>
        </w:rPr>
        <w:t>m</w:t>
      </w:r>
      <w:r w:rsidRPr="00901375">
        <w:rPr>
          <w:color w:val="auto"/>
          <w:sz w:val="20"/>
        </w:rPr>
        <w:t xml:space="preserve">ajor regional centres and provides more spectrum for </w:t>
      </w:r>
      <w:r w:rsidR="00C55FF0">
        <w:rPr>
          <w:color w:val="auto"/>
          <w:sz w:val="20"/>
        </w:rPr>
        <w:t>PMP</w:t>
      </w:r>
      <w:r w:rsidRPr="00901375">
        <w:rPr>
          <w:color w:val="auto"/>
          <w:sz w:val="20"/>
        </w:rPr>
        <w:t xml:space="preserve"> licensing in the remaining parts not currently subject to spectrum licensing</w:t>
      </w:r>
      <w:r w:rsidR="007E1252">
        <w:rPr>
          <w:color w:val="auto"/>
          <w:sz w:val="20"/>
        </w:rPr>
        <w:t xml:space="preserve">. </w:t>
      </w:r>
    </w:p>
    <w:p w14:paraId="26FEF4E5" w14:textId="520B59B6" w:rsidR="00FE3F49" w:rsidRPr="00901375" w:rsidRDefault="00FE3F49" w:rsidP="00901375">
      <w:pPr>
        <w:pStyle w:val="Default"/>
        <w:numPr>
          <w:ilvl w:val="0"/>
          <w:numId w:val="17"/>
        </w:numPr>
        <w:spacing w:line="280" w:lineRule="atLeast"/>
        <w:rPr>
          <w:color w:val="auto"/>
          <w:sz w:val="20"/>
        </w:rPr>
      </w:pPr>
      <w:r w:rsidRPr="003C5923">
        <w:rPr>
          <w:color w:val="auto"/>
          <w:sz w:val="20"/>
        </w:rPr>
        <w:t>Option 3</w:t>
      </w:r>
      <w:r w:rsidR="007E1252">
        <w:rPr>
          <w:color w:val="auto"/>
          <w:sz w:val="20"/>
        </w:rPr>
        <w:t xml:space="preserve">: </w:t>
      </w:r>
      <w:r w:rsidRPr="00901375">
        <w:rPr>
          <w:color w:val="auto"/>
          <w:sz w:val="20"/>
        </w:rPr>
        <w:t xml:space="preserve">Restack apparatus licences, then convert NBN </w:t>
      </w:r>
      <w:r w:rsidR="00901375" w:rsidRPr="00901375">
        <w:rPr>
          <w:color w:val="auto"/>
          <w:sz w:val="20"/>
        </w:rPr>
        <w:t xml:space="preserve">Co’s </w:t>
      </w:r>
      <w:r w:rsidRPr="00901375">
        <w:rPr>
          <w:color w:val="auto"/>
          <w:sz w:val="20"/>
        </w:rPr>
        <w:t xml:space="preserve">PTS licences to spectrum licences and re-allocate additional spectrum for spectrum licensing. Two sub-options are identified. Option 3a re-allocates for spectrum licensing all </w:t>
      </w:r>
      <w:r w:rsidR="005450A7">
        <w:rPr>
          <w:color w:val="auto"/>
          <w:sz w:val="20"/>
        </w:rPr>
        <w:t>r</w:t>
      </w:r>
      <w:r w:rsidRPr="00901375">
        <w:rPr>
          <w:color w:val="auto"/>
          <w:sz w:val="20"/>
        </w:rPr>
        <w:t xml:space="preserve">egional areas not encompassed by the newly restacked and consolidated PMP licence arrangements. Option 3b only re-allocates </w:t>
      </w:r>
      <w:r w:rsidR="005450A7">
        <w:rPr>
          <w:color w:val="auto"/>
          <w:sz w:val="20"/>
        </w:rPr>
        <w:t>r</w:t>
      </w:r>
      <w:r w:rsidRPr="00901375">
        <w:rPr>
          <w:color w:val="auto"/>
          <w:sz w:val="20"/>
        </w:rPr>
        <w:t xml:space="preserve">egional areas and </w:t>
      </w:r>
      <w:r w:rsidR="005450A7">
        <w:rPr>
          <w:color w:val="auto"/>
          <w:sz w:val="20"/>
        </w:rPr>
        <w:t>m</w:t>
      </w:r>
      <w:r w:rsidRPr="00901375">
        <w:rPr>
          <w:color w:val="auto"/>
          <w:sz w:val="20"/>
        </w:rPr>
        <w:t>ajor regional centres in the 3400</w:t>
      </w:r>
      <w:r w:rsidR="007E1252">
        <w:rPr>
          <w:color w:val="auto"/>
          <w:sz w:val="20"/>
        </w:rPr>
        <w:t>–</w:t>
      </w:r>
      <w:r w:rsidRPr="00901375">
        <w:rPr>
          <w:color w:val="auto"/>
          <w:sz w:val="20"/>
        </w:rPr>
        <w:t>3442.5 MHz frequency range and provides more spectrum for PMP licensing in the remaining parts not currently subject to spectrum licensing.</w:t>
      </w:r>
    </w:p>
    <w:p w14:paraId="4A27B716" w14:textId="62BA3695" w:rsidR="00DE2B62" w:rsidRPr="00703962" w:rsidRDefault="00DE2B62" w:rsidP="00DE2B62">
      <w:pPr>
        <w:spacing w:before="120"/>
        <w:rPr>
          <w:rFonts w:cs="Arial"/>
        </w:rPr>
      </w:pPr>
      <w:r>
        <w:rPr>
          <w:rFonts w:cs="Arial"/>
        </w:rPr>
        <w:t>Under Options 2 and 3,</w:t>
      </w:r>
      <w:r w:rsidR="00703962" w:rsidRPr="00703962">
        <w:rPr>
          <w:rFonts w:cs="Arial"/>
        </w:rPr>
        <w:t xml:space="preserve"> </w:t>
      </w:r>
      <w:r>
        <w:rPr>
          <w:rFonts w:cs="Arial"/>
        </w:rPr>
        <w:t xml:space="preserve">it is also proposed to extend PMP licensing arrangements across the entire </w:t>
      </w:r>
      <w:r w:rsidR="00703962" w:rsidRPr="00703962">
        <w:rPr>
          <w:rFonts w:cs="Arial"/>
        </w:rPr>
        <w:t>3400</w:t>
      </w:r>
      <w:r w:rsidR="0082093E">
        <w:rPr>
          <w:rFonts w:cs="Arial"/>
        </w:rPr>
        <w:t>–</w:t>
      </w:r>
      <w:r w:rsidR="00703962" w:rsidRPr="00703962">
        <w:rPr>
          <w:rFonts w:cs="Arial"/>
        </w:rPr>
        <w:t>3575 MHz band</w:t>
      </w:r>
      <w:r>
        <w:rPr>
          <w:rFonts w:cs="Arial"/>
        </w:rPr>
        <w:t xml:space="preserve"> in remote areas.</w:t>
      </w:r>
      <w:r w:rsidR="00703962" w:rsidRPr="00703962">
        <w:rPr>
          <w:rFonts w:cs="Arial"/>
        </w:rPr>
        <w:t xml:space="preserve"> This is because </w:t>
      </w:r>
      <w:r w:rsidR="00703962">
        <w:rPr>
          <w:rFonts w:cs="Arial"/>
        </w:rPr>
        <w:t>a single</w:t>
      </w:r>
      <w:r w:rsidR="00703962" w:rsidRPr="00703962">
        <w:rPr>
          <w:rFonts w:cs="Arial"/>
        </w:rPr>
        <w:t xml:space="preserve"> licensing </w:t>
      </w:r>
      <w:r w:rsidR="00703962">
        <w:rPr>
          <w:rFonts w:cs="Arial"/>
        </w:rPr>
        <w:t xml:space="preserve">type </w:t>
      </w:r>
      <w:r w:rsidR="00703962" w:rsidRPr="00703962">
        <w:rPr>
          <w:rFonts w:cs="Arial"/>
        </w:rPr>
        <w:t xml:space="preserve">(apparatus licensing) </w:t>
      </w:r>
      <w:r w:rsidR="00703962">
        <w:rPr>
          <w:rFonts w:cs="Arial"/>
        </w:rPr>
        <w:t xml:space="preserve">already </w:t>
      </w:r>
      <w:r w:rsidR="00703962" w:rsidRPr="00703962">
        <w:rPr>
          <w:rFonts w:cs="Arial"/>
        </w:rPr>
        <w:t>appl</w:t>
      </w:r>
      <w:r w:rsidR="00703962">
        <w:rPr>
          <w:rFonts w:cs="Arial"/>
        </w:rPr>
        <w:t>ies and</w:t>
      </w:r>
      <w:r>
        <w:rPr>
          <w:rFonts w:cs="Arial"/>
        </w:rPr>
        <w:t>,</w:t>
      </w:r>
      <w:r w:rsidR="00703962">
        <w:rPr>
          <w:rFonts w:cs="Arial"/>
        </w:rPr>
        <w:t xml:space="preserve"> in line with the </w:t>
      </w:r>
      <w:hyperlink r:id="rId24" w:history="1">
        <w:r w:rsidR="00703962" w:rsidRPr="00703962">
          <w:rPr>
            <w:rStyle w:val="Hyperlink"/>
            <w:rFonts w:cs="Arial"/>
          </w:rPr>
          <w:t xml:space="preserve">outcomes of the </w:t>
        </w:r>
        <w:r>
          <w:rPr>
            <w:rStyle w:val="Hyperlink"/>
            <w:rFonts w:cs="Arial"/>
          </w:rPr>
          <w:t>adjacent 3575</w:t>
        </w:r>
        <w:r w:rsidR="0082093E">
          <w:rPr>
            <w:rStyle w:val="Hyperlink"/>
            <w:rFonts w:cs="Arial"/>
          </w:rPr>
          <w:t>–</w:t>
        </w:r>
        <w:r>
          <w:rPr>
            <w:rStyle w:val="Hyperlink"/>
            <w:rFonts w:cs="Arial"/>
          </w:rPr>
          <w:t>3700 MHz (</w:t>
        </w:r>
        <w:r w:rsidR="00703962" w:rsidRPr="00703962">
          <w:rPr>
            <w:rStyle w:val="Hyperlink"/>
            <w:rFonts w:cs="Arial"/>
          </w:rPr>
          <w:t>3.6 GHz</w:t>
        </w:r>
        <w:r>
          <w:rPr>
            <w:rStyle w:val="Hyperlink"/>
            <w:rFonts w:cs="Arial"/>
          </w:rPr>
          <w:t>)</w:t>
        </w:r>
        <w:r w:rsidR="00703962" w:rsidRPr="00703962">
          <w:rPr>
            <w:rStyle w:val="Hyperlink"/>
            <w:rFonts w:cs="Arial"/>
          </w:rPr>
          <w:t xml:space="preserve"> band review</w:t>
        </w:r>
      </w:hyperlink>
      <w:r w:rsidR="00703962">
        <w:rPr>
          <w:rFonts w:cs="Arial"/>
        </w:rPr>
        <w:t>, the ACMA does not intend</w:t>
      </w:r>
      <w:r w:rsidR="00703962" w:rsidRPr="00703962">
        <w:rPr>
          <w:rFonts w:cs="Arial"/>
        </w:rPr>
        <w:t xml:space="preserve"> to extend spectrum licensing into remote areas.</w:t>
      </w:r>
      <w:r>
        <w:rPr>
          <w:rFonts w:cs="Arial"/>
        </w:rPr>
        <w:t xml:space="preserve"> Any changes implemented could also</w:t>
      </w:r>
      <w:r w:rsidRPr="00703962">
        <w:rPr>
          <w:rFonts w:cs="Arial"/>
        </w:rPr>
        <w:t xml:space="preserve"> incorporate the PMP arrangements in the adjacent </w:t>
      </w:r>
      <w:r>
        <w:rPr>
          <w:rFonts w:cs="Arial"/>
        </w:rPr>
        <w:t>3.6 G</w:t>
      </w:r>
      <w:r w:rsidRPr="00703962">
        <w:rPr>
          <w:rFonts w:cs="Arial"/>
        </w:rPr>
        <w:t>Hz band. This is because international standards for wireless broadband extend from 3300</w:t>
      </w:r>
      <w:r w:rsidR="0082093E">
        <w:rPr>
          <w:rFonts w:cs="Arial"/>
        </w:rPr>
        <w:t xml:space="preserve"> </w:t>
      </w:r>
      <w:r w:rsidR="0044635E">
        <w:rPr>
          <w:rFonts w:cs="Arial"/>
        </w:rPr>
        <w:t xml:space="preserve">MHz </w:t>
      </w:r>
      <w:r w:rsidR="0082093E">
        <w:rPr>
          <w:rFonts w:cs="Arial"/>
        </w:rPr>
        <w:t xml:space="preserve">to </w:t>
      </w:r>
      <w:r w:rsidRPr="00703962">
        <w:rPr>
          <w:rFonts w:cs="Arial"/>
        </w:rPr>
        <w:t xml:space="preserve">3800 MHz and currently available equipment </w:t>
      </w:r>
      <w:r>
        <w:rPr>
          <w:rFonts w:cs="Arial"/>
        </w:rPr>
        <w:t xml:space="preserve">operates </w:t>
      </w:r>
      <w:r w:rsidRPr="00703962">
        <w:rPr>
          <w:rFonts w:cs="Arial"/>
        </w:rPr>
        <w:t>across this entire frequency range.</w:t>
      </w:r>
    </w:p>
    <w:p w14:paraId="1D64BF2E" w14:textId="26100EFC" w:rsidR="00901375" w:rsidRDefault="00901375" w:rsidP="00901375">
      <w:pPr>
        <w:spacing w:before="240"/>
        <w:rPr>
          <w:rFonts w:cs="Arial"/>
        </w:rPr>
      </w:pPr>
      <w:r>
        <w:rPr>
          <w:rFonts w:cs="Arial"/>
        </w:rPr>
        <w:t xml:space="preserve">After assessing each option against the planning goals and principles for spectrum management, Option 3b has been identified as the preferred way forward in the band. </w:t>
      </w:r>
      <w:r w:rsidR="009405A5">
        <w:rPr>
          <w:rFonts w:cs="Arial"/>
        </w:rPr>
        <w:t xml:space="preserve">This option </w:t>
      </w:r>
      <w:r>
        <w:rPr>
          <w:rFonts w:cs="Arial"/>
        </w:rPr>
        <w:t xml:space="preserve">makes more of the band available for both spectrum licensing and PMP apparatus licensing in </w:t>
      </w:r>
      <w:r w:rsidR="00F87946">
        <w:rPr>
          <w:rFonts w:cs="Arial"/>
        </w:rPr>
        <w:t>r</w:t>
      </w:r>
      <w:r>
        <w:rPr>
          <w:rFonts w:cs="Arial"/>
        </w:rPr>
        <w:t xml:space="preserve">egional areas and </w:t>
      </w:r>
      <w:r w:rsidR="00F87946">
        <w:rPr>
          <w:rFonts w:cs="Arial"/>
        </w:rPr>
        <w:t>m</w:t>
      </w:r>
      <w:r>
        <w:rPr>
          <w:rFonts w:cs="Arial"/>
        </w:rPr>
        <w:t>ajor regional centres. Such an approach provides more spectrum for large wireless broadband operators as well as WISPs and other localised wireless broadband operators.</w:t>
      </w:r>
      <w:r w:rsidR="002B2D0D">
        <w:rPr>
          <w:rFonts w:cs="Arial"/>
        </w:rPr>
        <w:t xml:space="preserve"> This is considered to </w:t>
      </w:r>
      <w:r w:rsidR="002B2D0D" w:rsidRPr="000B58A8">
        <w:rPr>
          <w:rFonts w:cs="Arial"/>
        </w:rPr>
        <w:t xml:space="preserve">represent the </w:t>
      </w:r>
      <w:r w:rsidR="002B2D0D">
        <w:rPr>
          <w:rFonts w:cs="Arial"/>
        </w:rPr>
        <w:t>highest value use (</w:t>
      </w:r>
      <w:r w:rsidR="002B2D0D" w:rsidRPr="000B58A8">
        <w:rPr>
          <w:rFonts w:cs="Arial"/>
        </w:rPr>
        <w:t>HVU</w:t>
      </w:r>
      <w:r w:rsidR="002B2D0D">
        <w:rPr>
          <w:rFonts w:cs="Arial"/>
        </w:rPr>
        <w:t>)</w:t>
      </w:r>
      <w:r w:rsidR="002B2D0D" w:rsidRPr="000B58A8">
        <w:rPr>
          <w:rFonts w:cs="Arial"/>
        </w:rPr>
        <w:t xml:space="preserve"> for the band </w:t>
      </w:r>
      <w:r w:rsidR="002B2D0D">
        <w:rPr>
          <w:rFonts w:cs="Arial"/>
        </w:rPr>
        <w:t>while also</w:t>
      </w:r>
      <w:r w:rsidR="002B2D0D" w:rsidRPr="000B58A8">
        <w:rPr>
          <w:rFonts w:cs="Arial"/>
        </w:rPr>
        <w:t xml:space="preserve"> meet</w:t>
      </w:r>
      <w:r w:rsidR="002B2D0D">
        <w:rPr>
          <w:rFonts w:cs="Arial"/>
        </w:rPr>
        <w:t>ing</w:t>
      </w:r>
      <w:r w:rsidR="002B2D0D" w:rsidRPr="000B58A8">
        <w:rPr>
          <w:rFonts w:cs="Arial"/>
        </w:rPr>
        <w:t xml:space="preserve"> policy objectives</w:t>
      </w:r>
      <w:r w:rsidR="002B2D0D">
        <w:rPr>
          <w:rFonts w:cs="Arial"/>
        </w:rPr>
        <w:t xml:space="preserve"> to promote sharing and efficient use of spectrum</w:t>
      </w:r>
      <w:r w:rsidR="006879A0">
        <w:rPr>
          <w:rFonts w:cs="Arial"/>
        </w:rPr>
        <w:t>,</w:t>
      </w:r>
      <w:r w:rsidR="002B2D0D">
        <w:rPr>
          <w:rFonts w:cs="Arial"/>
        </w:rPr>
        <w:t xml:space="preserve"> as well as </w:t>
      </w:r>
      <w:r w:rsidR="002B2D0D" w:rsidRPr="00A37173">
        <w:t>fostering competitive telecommunications markets</w:t>
      </w:r>
      <w:r w:rsidR="002B2D0D" w:rsidRPr="000B58A8">
        <w:rPr>
          <w:rFonts w:cs="Arial"/>
        </w:rPr>
        <w:t>.</w:t>
      </w:r>
    </w:p>
    <w:p w14:paraId="3B8037D2" w14:textId="2AEC655D" w:rsidR="00A545E8" w:rsidRPr="00F87AC2" w:rsidRDefault="002B2D0D" w:rsidP="00F87AC2">
      <w:pPr>
        <w:rPr>
          <w:rFonts w:cs="Arial"/>
        </w:rPr>
      </w:pPr>
      <w:r>
        <w:t>F</w:t>
      </w:r>
      <w:r w:rsidRPr="00E463BE">
        <w:rPr>
          <w:rFonts w:cs="Arial"/>
        </w:rPr>
        <w:t>eedback is sought</w:t>
      </w:r>
      <w:r w:rsidRPr="000B58A8">
        <w:rPr>
          <w:rFonts w:cs="Arial"/>
        </w:rPr>
        <w:t xml:space="preserve"> from stakeholders on </w:t>
      </w:r>
      <w:r w:rsidR="00BA2883">
        <w:rPr>
          <w:rFonts w:cs="Arial"/>
        </w:rPr>
        <w:t>the planning</w:t>
      </w:r>
      <w:r w:rsidRPr="000B58A8">
        <w:rPr>
          <w:rFonts w:cs="Arial"/>
        </w:rPr>
        <w:t xml:space="preserve"> options </w:t>
      </w:r>
      <w:r w:rsidR="00BA2883">
        <w:rPr>
          <w:rFonts w:cs="Arial"/>
        </w:rPr>
        <w:t>presented in this paper</w:t>
      </w:r>
      <w:r w:rsidRPr="000B58A8">
        <w:rPr>
          <w:rFonts w:cs="Arial"/>
        </w:rPr>
        <w:t>. Any information provided will assist the ACMA in determining</w:t>
      </w:r>
      <w:r w:rsidR="00BA2883">
        <w:rPr>
          <w:rFonts w:cs="Arial"/>
        </w:rPr>
        <w:t xml:space="preserve"> the best way</w:t>
      </w:r>
      <w:r w:rsidRPr="000B58A8">
        <w:rPr>
          <w:rFonts w:cs="Arial"/>
        </w:rPr>
        <w:t xml:space="preserve"> forward in the band.</w:t>
      </w:r>
      <w:r>
        <w:rPr>
          <w:rFonts w:cs="Arial"/>
        </w:rPr>
        <w:t xml:space="preserve"> Once </w:t>
      </w:r>
      <w:r w:rsidR="00BA2883">
        <w:rPr>
          <w:rFonts w:cs="Arial"/>
        </w:rPr>
        <w:t>this has been determined</w:t>
      </w:r>
      <w:r>
        <w:rPr>
          <w:rFonts w:cs="Arial"/>
        </w:rPr>
        <w:t xml:space="preserve">, a detailed plan and timeframe for implementation will be developed.  </w:t>
      </w:r>
    </w:p>
    <w:p w14:paraId="4BED1312" w14:textId="28616584" w:rsidR="00594CB7" w:rsidRPr="00594CB7" w:rsidRDefault="00594CB7" w:rsidP="003C5923">
      <w:pPr>
        <w:pStyle w:val="Heading3"/>
      </w:pPr>
      <w:bookmarkStart w:id="3" w:name="_Toc6923092"/>
      <w:r w:rsidRPr="00594CB7">
        <w:t>Use of urban areas of NBN Co’s PTS licences</w:t>
      </w:r>
      <w:bookmarkEnd w:id="3"/>
    </w:p>
    <w:p w14:paraId="2BE57621" w14:textId="143E7892" w:rsidR="00594CB7" w:rsidRPr="001C6A31" w:rsidRDefault="00594CB7" w:rsidP="003C5923">
      <w:pPr>
        <w:spacing w:after="80"/>
        <w:rPr>
          <w:rFonts w:cs="Arial"/>
        </w:rPr>
      </w:pPr>
      <w:r w:rsidRPr="001C6A31">
        <w:rPr>
          <w:rFonts w:cs="Arial"/>
        </w:rPr>
        <w:t>The ACMA has identified two approaches t</w:t>
      </w:r>
      <w:r>
        <w:rPr>
          <w:rFonts w:cs="Arial"/>
        </w:rPr>
        <w:t>hat could</w:t>
      </w:r>
      <w:r w:rsidRPr="001C6A31">
        <w:rPr>
          <w:rFonts w:cs="Arial"/>
        </w:rPr>
        <w:t xml:space="preserve"> facilitate access to urban areas </w:t>
      </w:r>
      <w:r w:rsidR="00300D66">
        <w:rPr>
          <w:rFonts w:cs="Arial"/>
        </w:rPr>
        <w:t xml:space="preserve">of NBN Co’s PTS licences </w:t>
      </w:r>
      <w:r w:rsidRPr="001C6A31">
        <w:rPr>
          <w:rFonts w:cs="Arial"/>
        </w:rPr>
        <w:t>by other wireless broadband operators. Both these could be applied to any of Options 2a, 2b, 3a and 3b:</w:t>
      </w:r>
    </w:p>
    <w:p w14:paraId="1CF190A7" w14:textId="3ED03EEC" w:rsidR="00594CB7" w:rsidRPr="00594CB7" w:rsidRDefault="00594CB7" w:rsidP="00594CB7">
      <w:pPr>
        <w:pStyle w:val="Default"/>
        <w:numPr>
          <w:ilvl w:val="0"/>
          <w:numId w:val="17"/>
        </w:numPr>
        <w:spacing w:line="280" w:lineRule="atLeast"/>
        <w:rPr>
          <w:color w:val="auto"/>
          <w:sz w:val="20"/>
        </w:rPr>
      </w:pPr>
      <w:r w:rsidRPr="003C5923">
        <w:rPr>
          <w:color w:val="auto"/>
          <w:sz w:val="20"/>
        </w:rPr>
        <w:t>Approach 1</w:t>
      </w:r>
      <w:r w:rsidRPr="00594CB7">
        <w:rPr>
          <w:color w:val="auto"/>
          <w:sz w:val="20"/>
        </w:rPr>
        <w:t xml:space="preserve">: Negotiate access under </w:t>
      </w:r>
      <w:r w:rsidR="00F87946">
        <w:rPr>
          <w:color w:val="auto"/>
          <w:sz w:val="20"/>
        </w:rPr>
        <w:t>third-</w:t>
      </w:r>
      <w:r w:rsidRPr="00594CB7">
        <w:rPr>
          <w:color w:val="auto"/>
          <w:sz w:val="20"/>
        </w:rPr>
        <w:t xml:space="preserve">party authorisation arrangements. This </w:t>
      </w:r>
      <w:r w:rsidR="0094271C">
        <w:rPr>
          <w:color w:val="auto"/>
          <w:sz w:val="20"/>
        </w:rPr>
        <w:t>A</w:t>
      </w:r>
      <w:r w:rsidRPr="00594CB7">
        <w:rPr>
          <w:color w:val="auto"/>
          <w:sz w:val="20"/>
        </w:rPr>
        <w:t xml:space="preserve">pproach is supported under existing apparatus and spectrum licence arrangements. It allows a licensee to </w:t>
      </w:r>
      <w:r w:rsidR="00F87946">
        <w:rPr>
          <w:color w:val="auto"/>
          <w:sz w:val="20"/>
        </w:rPr>
        <w:t>effectively</w:t>
      </w:r>
      <w:r w:rsidR="00F87946" w:rsidRPr="00594CB7">
        <w:rPr>
          <w:color w:val="auto"/>
          <w:sz w:val="20"/>
        </w:rPr>
        <w:t xml:space="preserve"> </w:t>
      </w:r>
      <w:r w:rsidRPr="00594CB7">
        <w:rPr>
          <w:color w:val="auto"/>
          <w:sz w:val="20"/>
        </w:rPr>
        <w:t xml:space="preserve">lease access to their licence under agreed conditions. The main benefit </w:t>
      </w:r>
      <w:r w:rsidR="00BE217A">
        <w:rPr>
          <w:color w:val="auto"/>
          <w:sz w:val="20"/>
        </w:rPr>
        <w:t xml:space="preserve">of this approach </w:t>
      </w:r>
      <w:r w:rsidRPr="00594CB7">
        <w:rPr>
          <w:color w:val="auto"/>
          <w:sz w:val="20"/>
        </w:rPr>
        <w:t xml:space="preserve">is </w:t>
      </w:r>
      <w:r w:rsidR="00F87946">
        <w:rPr>
          <w:color w:val="auto"/>
          <w:sz w:val="20"/>
        </w:rPr>
        <w:t xml:space="preserve">that </w:t>
      </w:r>
      <w:r w:rsidRPr="00594CB7">
        <w:rPr>
          <w:color w:val="auto"/>
          <w:sz w:val="20"/>
        </w:rPr>
        <w:t xml:space="preserve">it provides NBN Co with the flexibility to consider case-by-case access to </w:t>
      </w:r>
      <w:r w:rsidR="00BE217A">
        <w:rPr>
          <w:color w:val="auto"/>
          <w:sz w:val="20"/>
        </w:rPr>
        <w:t xml:space="preserve">urban areas to </w:t>
      </w:r>
      <w:r w:rsidRPr="00594CB7">
        <w:rPr>
          <w:color w:val="auto"/>
          <w:sz w:val="20"/>
        </w:rPr>
        <w:t xml:space="preserve">manage interference and minimise restrictions on future deployments. </w:t>
      </w:r>
    </w:p>
    <w:p w14:paraId="16B56D11" w14:textId="511BA91F" w:rsidR="00594CB7" w:rsidRPr="00594CB7" w:rsidRDefault="00594CB7" w:rsidP="00594CB7">
      <w:pPr>
        <w:pStyle w:val="Default"/>
        <w:numPr>
          <w:ilvl w:val="0"/>
          <w:numId w:val="17"/>
        </w:numPr>
        <w:spacing w:line="280" w:lineRule="atLeast"/>
        <w:rPr>
          <w:color w:val="auto"/>
          <w:sz w:val="20"/>
        </w:rPr>
      </w:pPr>
      <w:r w:rsidRPr="003C5923">
        <w:rPr>
          <w:color w:val="auto"/>
          <w:sz w:val="20"/>
        </w:rPr>
        <w:lastRenderedPageBreak/>
        <w:t>Approach 2</w:t>
      </w:r>
      <w:r w:rsidRPr="00594CB7">
        <w:rPr>
          <w:color w:val="auto"/>
          <w:sz w:val="20"/>
        </w:rPr>
        <w:t>: Excise defined urban areas from NBN Co’s PTS licence and allocate them via market-based mechanisms (</w:t>
      </w:r>
      <w:r w:rsidR="00F87946">
        <w:rPr>
          <w:color w:val="auto"/>
          <w:sz w:val="20"/>
        </w:rPr>
        <w:t>such as</w:t>
      </w:r>
      <w:r w:rsidRPr="00594CB7">
        <w:rPr>
          <w:color w:val="auto"/>
          <w:sz w:val="20"/>
        </w:rPr>
        <w:t xml:space="preserve"> auction). The area available for excising and its usability would depend on the interfere</w:t>
      </w:r>
      <w:r w:rsidR="003F7492">
        <w:rPr>
          <w:color w:val="auto"/>
          <w:sz w:val="20"/>
        </w:rPr>
        <w:t>nce</w:t>
      </w:r>
      <w:r w:rsidRPr="00594CB7">
        <w:rPr>
          <w:color w:val="auto"/>
          <w:sz w:val="20"/>
        </w:rPr>
        <w:t xml:space="preserve"> management techniques implemented. </w:t>
      </w:r>
      <w:r w:rsidR="00BA37D4">
        <w:rPr>
          <w:color w:val="auto"/>
          <w:sz w:val="20"/>
        </w:rPr>
        <w:t xml:space="preserve">This results in a trade-off between providing greater </w:t>
      </w:r>
      <w:r w:rsidRPr="00594CB7">
        <w:rPr>
          <w:color w:val="auto"/>
          <w:sz w:val="20"/>
        </w:rPr>
        <w:t>certainty and flexibility for NBN Co</w:t>
      </w:r>
      <w:r w:rsidR="00BA37D4">
        <w:rPr>
          <w:color w:val="auto"/>
          <w:sz w:val="20"/>
        </w:rPr>
        <w:t>’s</w:t>
      </w:r>
      <w:r w:rsidRPr="00594CB7">
        <w:rPr>
          <w:color w:val="auto"/>
          <w:sz w:val="20"/>
        </w:rPr>
        <w:t xml:space="preserve"> </w:t>
      </w:r>
      <w:r w:rsidR="00BA37D4">
        <w:rPr>
          <w:color w:val="auto"/>
          <w:sz w:val="20"/>
        </w:rPr>
        <w:t>use of the spectrum and the size of the area that might be made available.</w:t>
      </w:r>
      <w:r w:rsidRPr="00594CB7">
        <w:rPr>
          <w:color w:val="auto"/>
          <w:sz w:val="20"/>
        </w:rPr>
        <w:t xml:space="preserve">  </w:t>
      </w:r>
    </w:p>
    <w:p w14:paraId="4925E8B0" w14:textId="0153FEFC" w:rsidR="00594CB7" w:rsidRPr="001C6A31" w:rsidRDefault="00594CB7" w:rsidP="003C5923">
      <w:pPr>
        <w:spacing w:before="240" w:after="80" w:line="240" w:lineRule="auto"/>
      </w:pPr>
      <w:r>
        <w:t xml:space="preserve">While </w:t>
      </w:r>
      <w:r w:rsidRPr="001C6A31">
        <w:t>Approach 1 is available</w:t>
      </w:r>
      <w:r>
        <w:t xml:space="preserve"> now</w:t>
      </w:r>
      <w:r w:rsidRPr="001C6A31">
        <w:t xml:space="preserve"> for wireless broadband operators to investigate</w:t>
      </w:r>
      <w:r>
        <w:t>,</w:t>
      </w:r>
      <w:r w:rsidRPr="001C6A31">
        <w:t xml:space="preserve"> </w:t>
      </w:r>
      <w:r>
        <w:t>A</w:t>
      </w:r>
      <w:r w:rsidRPr="001C6A31">
        <w:t xml:space="preserve">pproach 2 requires further investigation by the ACMA to: </w:t>
      </w:r>
    </w:p>
    <w:p w14:paraId="4E5C74AA" w14:textId="2D33E05B" w:rsidR="00594CB7" w:rsidRPr="00594CB7" w:rsidRDefault="00594CB7" w:rsidP="00594CB7">
      <w:pPr>
        <w:pStyle w:val="Default"/>
        <w:numPr>
          <w:ilvl w:val="0"/>
          <w:numId w:val="17"/>
        </w:numPr>
        <w:spacing w:line="280" w:lineRule="atLeast"/>
        <w:rPr>
          <w:color w:val="auto"/>
          <w:sz w:val="20"/>
        </w:rPr>
      </w:pPr>
      <w:r w:rsidRPr="00594CB7">
        <w:rPr>
          <w:color w:val="auto"/>
          <w:sz w:val="20"/>
        </w:rPr>
        <w:t xml:space="preserve">better understand NBN Co’s future requirements in the 3400-3575 MHz band </w:t>
      </w:r>
    </w:p>
    <w:p w14:paraId="4BF47799" w14:textId="3A32D196" w:rsidR="00594CB7" w:rsidRPr="00594CB7" w:rsidRDefault="00594CB7" w:rsidP="00594CB7">
      <w:pPr>
        <w:pStyle w:val="Default"/>
        <w:numPr>
          <w:ilvl w:val="0"/>
          <w:numId w:val="17"/>
        </w:numPr>
        <w:spacing w:line="280" w:lineRule="atLeast"/>
        <w:rPr>
          <w:color w:val="auto"/>
          <w:sz w:val="20"/>
        </w:rPr>
      </w:pPr>
      <w:r w:rsidRPr="00594CB7">
        <w:rPr>
          <w:color w:val="auto"/>
          <w:sz w:val="20"/>
        </w:rPr>
        <w:t xml:space="preserve">determine an appropriate co-channel interference management technique </w:t>
      </w:r>
    </w:p>
    <w:p w14:paraId="7C9CFA40" w14:textId="77777777" w:rsidR="00594CB7" w:rsidRPr="00594CB7" w:rsidRDefault="00594CB7" w:rsidP="00594CB7">
      <w:pPr>
        <w:pStyle w:val="Default"/>
        <w:numPr>
          <w:ilvl w:val="0"/>
          <w:numId w:val="17"/>
        </w:numPr>
        <w:spacing w:line="280" w:lineRule="atLeast"/>
        <w:rPr>
          <w:color w:val="auto"/>
          <w:sz w:val="20"/>
          <w:u w:val="single"/>
        </w:rPr>
      </w:pPr>
      <w:r w:rsidRPr="00594CB7">
        <w:rPr>
          <w:color w:val="auto"/>
          <w:sz w:val="20"/>
        </w:rPr>
        <w:t>determine the effect the previous two points would have on the availability of urban areas.</w:t>
      </w:r>
      <w:r w:rsidRPr="00594CB7">
        <w:rPr>
          <w:color w:val="auto"/>
          <w:sz w:val="20"/>
          <w:u w:val="single"/>
        </w:rPr>
        <w:t xml:space="preserve">  </w:t>
      </w:r>
    </w:p>
    <w:p w14:paraId="056B7C7D" w14:textId="10326313" w:rsidR="00E463BE" w:rsidRPr="00594CB7" w:rsidRDefault="00594CB7" w:rsidP="003641CC">
      <w:pPr>
        <w:spacing w:before="240"/>
        <w:rPr>
          <w:rFonts w:cs="Arial"/>
        </w:rPr>
      </w:pPr>
      <w:r w:rsidRPr="00594CB7">
        <w:rPr>
          <w:rFonts w:cs="Arial"/>
        </w:rPr>
        <w:t xml:space="preserve">The ACMA is seeking feedback on whether it should </w:t>
      </w:r>
      <w:r>
        <w:rPr>
          <w:rFonts w:cs="Arial"/>
        </w:rPr>
        <w:t xml:space="preserve">further </w:t>
      </w:r>
      <w:r w:rsidRPr="00594CB7">
        <w:rPr>
          <w:rFonts w:cs="Arial"/>
        </w:rPr>
        <w:t>investigate what</w:t>
      </w:r>
      <w:r>
        <w:rPr>
          <w:rFonts w:cs="Arial"/>
        </w:rPr>
        <w:t>, if any,</w:t>
      </w:r>
      <w:r w:rsidRPr="00594CB7">
        <w:rPr>
          <w:rFonts w:cs="Arial"/>
        </w:rPr>
        <w:t xml:space="preserve"> urban areas of NBN Co’s PTS licences might be made under Approach 2. This includes any views stakeholders may have on the appropriate interference management techniques to implement. </w:t>
      </w:r>
      <w:r w:rsidR="00F87946">
        <w:rPr>
          <w:rFonts w:cs="Arial"/>
        </w:rPr>
        <w:t>We acknowledge</w:t>
      </w:r>
      <w:r w:rsidRPr="00594CB7">
        <w:rPr>
          <w:rFonts w:cs="Arial"/>
        </w:rPr>
        <w:t xml:space="preserve"> that since the 3.5 GHz band was made available for use by NBN Co as a result of the 2014 Ministerial Direction, the ACMA would consult with the Minister </w:t>
      </w:r>
      <w:r w:rsidR="00E66EF0">
        <w:rPr>
          <w:rFonts w:cs="Arial"/>
        </w:rPr>
        <w:t xml:space="preserve">for </w:t>
      </w:r>
      <w:r w:rsidR="003641CC">
        <w:rPr>
          <w:rFonts w:cs="Arial"/>
        </w:rPr>
        <w:t xml:space="preserve">the </w:t>
      </w:r>
      <w:r w:rsidR="00E66EF0">
        <w:rPr>
          <w:rFonts w:cs="Arial"/>
        </w:rPr>
        <w:t xml:space="preserve">Communications </w:t>
      </w:r>
      <w:r w:rsidR="003641CC">
        <w:rPr>
          <w:rFonts w:cs="Arial"/>
        </w:rPr>
        <w:t xml:space="preserve">portfolio </w:t>
      </w:r>
      <w:r w:rsidRPr="00594CB7">
        <w:rPr>
          <w:rFonts w:cs="Arial"/>
        </w:rPr>
        <w:t>before implementing any changes.</w:t>
      </w:r>
    </w:p>
    <w:p w14:paraId="322DD98D" w14:textId="77777777" w:rsidR="00715722" w:rsidRDefault="00715722" w:rsidP="00715722">
      <w:pPr>
        <w:pStyle w:val="Heading1"/>
      </w:pPr>
      <w:bookmarkStart w:id="4" w:name="_Toc433122125"/>
      <w:bookmarkStart w:id="5" w:name="_Toc6923093"/>
      <w:r>
        <w:lastRenderedPageBreak/>
        <w:t>Issue</w:t>
      </w:r>
      <w:r w:rsidRPr="00C63AC0">
        <w:t>s</w:t>
      </w:r>
      <w:r>
        <w:t xml:space="preserve"> for comment</w:t>
      </w:r>
      <w:bookmarkEnd w:id="4"/>
      <w:bookmarkEnd w:id="5"/>
    </w:p>
    <w:p w14:paraId="23FFC067" w14:textId="5455D224" w:rsidR="00715722" w:rsidRDefault="00715722" w:rsidP="00715722">
      <w:pPr>
        <w:spacing w:after="80"/>
        <w:rPr>
          <w:rFonts w:cs="Arial"/>
        </w:rPr>
      </w:pPr>
      <w:r w:rsidRPr="00190673">
        <w:rPr>
          <w:rFonts w:cs="Arial"/>
        </w:rPr>
        <w:t>The ACMA invites comments on the issues set out in this discussion paper:</w:t>
      </w:r>
    </w:p>
    <w:p w14:paraId="7B6B822C" w14:textId="771B4DF0" w:rsidR="000B728E" w:rsidRDefault="000B728E" w:rsidP="00715722">
      <w:pPr>
        <w:spacing w:after="80"/>
        <w:rPr>
          <w:rFonts w:cs="Arial"/>
        </w:rPr>
      </w:pPr>
    </w:p>
    <w:p w14:paraId="182C0119" w14:textId="4A9F28C1" w:rsidR="000B728E" w:rsidRPr="00AC2CAC"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sidRPr="00AC2CAC">
        <w:rPr>
          <w:b/>
        </w:rPr>
        <w:t>Do stakeholders have any comments on the case for action in the 3400</w:t>
      </w:r>
      <w:r w:rsidR="00E66EF0">
        <w:rPr>
          <w:b/>
        </w:rPr>
        <w:t>–</w:t>
      </w:r>
      <w:r w:rsidRPr="00AC2CAC">
        <w:rPr>
          <w:b/>
        </w:rPr>
        <w:t>3575 MHz band?</w:t>
      </w:r>
    </w:p>
    <w:p w14:paraId="6B32D014" w14:textId="519C27C1" w:rsidR="000B728E" w:rsidRPr="009A7A2A"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sidRPr="00AC2CAC">
        <w:rPr>
          <w:b/>
        </w:rPr>
        <w:t xml:space="preserve">Do stakeholders have any comments </w:t>
      </w:r>
      <w:r>
        <w:rPr>
          <w:b/>
        </w:rPr>
        <w:t>on the planning options identified</w:t>
      </w:r>
      <w:r w:rsidRPr="00AC2CAC">
        <w:rPr>
          <w:b/>
        </w:rPr>
        <w:t>?</w:t>
      </w:r>
      <w:r>
        <w:rPr>
          <w:b/>
        </w:rPr>
        <w:t xml:space="preserve"> Are the</w:t>
      </w:r>
      <w:r w:rsidR="002A2932">
        <w:rPr>
          <w:b/>
        </w:rPr>
        <w:t>re</w:t>
      </w:r>
      <w:r>
        <w:rPr>
          <w:b/>
        </w:rPr>
        <w:t xml:space="preserve"> any other planning options that should be considered</w:t>
      </w:r>
      <w:r w:rsidR="00E66EF0">
        <w:rPr>
          <w:b/>
        </w:rPr>
        <w:t>?</w:t>
      </w:r>
      <w:r>
        <w:rPr>
          <w:b/>
        </w:rPr>
        <w:t xml:space="preserve"> (</w:t>
      </w:r>
      <w:r w:rsidR="00E66EF0">
        <w:rPr>
          <w:b/>
        </w:rPr>
        <w:t>P</w:t>
      </w:r>
      <w:r>
        <w:rPr>
          <w:b/>
        </w:rPr>
        <w:t>lease provide reasoning</w:t>
      </w:r>
      <w:r w:rsidR="00E66EF0">
        <w:rPr>
          <w:b/>
        </w:rPr>
        <w:t>.</w:t>
      </w:r>
      <w:r>
        <w:rPr>
          <w:b/>
        </w:rPr>
        <w:t>)</w:t>
      </w:r>
    </w:p>
    <w:p w14:paraId="176591B8" w14:textId="6EADE70F" w:rsidR="000B728E" w:rsidRPr="009A7A2A"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sidRPr="00AC2CAC">
        <w:rPr>
          <w:b/>
        </w:rPr>
        <w:t xml:space="preserve">Do stakeholders have any comments </w:t>
      </w:r>
      <w:r>
        <w:rPr>
          <w:b/>
        </w:rPr>
        <w:t>on the planning goals for the 3400</w:t>
      </w:r>
      <w:r w:rsidR="00E66EF0">
        <w:rPr>
          <w:b/>
        </w:rPr>
        <w:t>–</w:t>
      </w:r>
      <w:r>
        <w:rPr>
          <w:b/>
        </w:rPr>
        <w:t>3575 MHz band</w:t>
      </w:r>
      <w:r w:rsidRPr="00AC2CAC">
        <w:rPr>
          <w:b/>
        </w:rPr>
        <w:t>?</w:t>
      </w:r>
      <w:r>
        <w:rPr>
          <w:b/>
        </w:rPr>
        <w:t xml:space="preserve"> Are the</w:t>
      </w:r>
      <w:r w:rsidR="006C4214">
        <w:rPr>
          <w:b/>
        </w:rPr>
        <w:t>re</w:t>
      </w:r>
      <w:r>
        <w:rPr>
          <w:b/>
        </w:rPr>
        <w:t xml:space="preserve"> any other planning goals that should be considered?</w:t>
      </w:r>
    </w:p>
    <w:p w14:paraId="2E93FC76" w14:textId="77777777" w:rsidR="000B728E" w:rsidRPr="00AC2CAC"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Pr>
          <w:b/>
        </w:rPr>
        <w:t>If Option 2a or 2b are adopted, do stakeholders have views on how long the re-allocation period should be</w:t>
      </w:r>
      <w:r w:rsidRPr="00AC2CAC">
        <w:rPr>
          <w:b/>
        </w:rPr>
        <w:t>?</w:t>
      </w:r>
    </w:p>
    <w:p w14:paraId="7E4912AE" w14:textId="55084709" w:rsidR="000B728E" w:rsidRPr="00AC2CAC"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Pr>
          <w:b/>
        </w:rPr>
        <w:t>If Option 3a or 3b are adopted, do stakeholders have views on the period of time incumbent apparatus licensees should be given to implement restack</w:t>
      </w:r>
      <w:r w:rsidR="00E66EF0">
        <w:rPr>
          <w:b/>
        </w:rPr>
        <w:t>?</w:t>
      </w:r>
      <w:r>
        <w:rPr>
          <w:b/>
        </w:rPr>
        <w:t xml:space="preserve"> (</w:t>
      </w:r>
      <w:r w:rsidR="00E66EF0">
        <w:rPr>
          <w:b/>
        </w:rPr>
        <w:t>N</w:t>
      </w:r>
      <w:r>
        <w:rPr>
          <w:b/>
        </w:rPr>
        <w:t>oting effected licences would not be reissued on existing frequencies beyond this point</w:t>
      </w:r>
      <w:r w:rsidR="00E66EF0">
        <w:rPr>
          <w:b/>
        </w:rPr>
        <w:t>.</w:t>
      </w:r>
      <w:r>
        <w:rPr>
          <w:b/>
        </w:rPr>
        <w:t xml:space="preserve">) </w:t>
      </w:r>
    </w:p>
    <w:p w14:paraId="545E98EB" w14:textId="77777777" w:rsidR="000B728E" w:rsidRPr="00AC2CAC"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Pr>
          <w:b/>
        </w:rPr>
        <w:t xml:space="preserve">If Option 3a or 3b are adopted, do stakeholders have views on how long the re-allocation period should be? </w:t>
      </w:r>
    </w:p>
    <w:p w14:paraId="4C1D4504" w14:textId="24646AFA" w:rsidR="000B728E" w:rsidRDefault="00DA7D65" w:rsidP="000B728E">
      <w:pPr>
        <w:pStyle w:val="ListParagraph"/>
        <w:numPr>
          <w:ilvl w:val="0"/>
          <w:numId w:val="61"/>
        </w:numPr>
        <w:shd w:val="clear" w:color="auto" w:fill="F2F2F2" w:themeFill="background1" w:themeFillShade="F2"/>
        <w:spacing w:before="120" w:after="120" w:line="240" w:lineRule="auto"/>
        <w:contextualSpacing w:val="0"/>
        <w:rPr>
          <w:b/>
        </w:rPr>
      </w:pPr>
      <w:r>
        <w:rPr>
          <w:b/>
        </w:rPr>
        <w:t>Do stakeholders have any comments on the assessment of planning options against the principles?</w:t>
      </w:r>
    </w:p>
    <w:p w14:paraId="19ED7589" w14:textId="77777777" w:rsidR="000B728E" w:rsidRPr="006F6683"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Pr>
          <w:b/>
          <w:bCs/>
        </w:rPr>
        <w:t>Is there any relevant evidence that provides an indication of the value wireless broadband operators place on how additional spectrum is made available (i.e. under spectrum or apparatus licensing arrangements)?</w:t>
      </w:r>
    </w:p>
    <w:p w14:paraId="45C2BC65" w14:textId="707E2635" w:rsidR="000B728E" w:rsidRDefault="00DA7D65" w:rsidP="000B728E">
      <w:pPr>
        <w:pStyle w:val="ListParagraph"/>
        <w:numPr>
          <w:ilvl w:val="0"/>
          <w:numId w:val="61"/>
        </w:numPr>
        <w:shd w:val="clear" w:color="auto" w:fill="F2F2F2" w:themeFill="background1" w:themeFillShade="F2"/>
        <w:spacing w:before="120" w:after="120" w:line="240" w:lineRule="auto"/>
        <w:contextualSpacing w:val="0"/>
        <w:rPr>
          <w:b/>
        </w:rPr>
      </w:pPr>
      <w:r>
        <w:rPr>
          <w:b/>
        </w:rPr>
        <w:t>Do stakeholders have any comments on the preferred planning option for remote areas?</w:t>
      </w:r>
    </w:p>
    <w:p w14:paraId="5AC24E4C" w14:textId="0AECC29C" w:rsidR="000B728E" w:rsidRDefault="00DA7D65" w:rsidP="000B728E">
      <w:pPr>
        <w:pStyle w:val="ListParagraph"/>
        <w:numPr>
          <w:ilvl w:val="0"/>
          <w:numId w:val="61"/>
        </w:numPr>
        <w:shd w:val="clear" w:color="auto" w:fill="F2F2F2" w:themeFill="background1" w:themeFillShade="F2"/>
        <w:spacing w:before="120" w:after="120" w:line="240" w:lineRule="auto"/>
        <w:contextualSpacing w:val="0"/>
        <w:rPr>
          <w:b/>
        </w:rPr>
      </w:pPr>
      <w:r>
        <w:rPr>
          <w:b/>
        </w:rPr>
        <w:t>Should the broader 3400–3700 MHz band be considered when expanding arrangements for PMP in remote areas?</w:t>
      </w:r>
    </w:p>
    <w:p w14:paraId="6B42B11E" w14:textId="6C6A7219" w:rsidR="000B728E"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Pr>
          <w:b/>
        </w:rPr>
        <w:t xml:space="preserve">Do stakeholders have any comments on the preferred planning option for </w:t>
      </w:r>
      <w:r w:rsidR="009531CB">
        <w:rPr>
          <w:b/>
        </w:rPr>
        <w:t>m</w:t>
      </w:r>
      <w:r>
        <w:rPr>
          <w:b/>
        </w:rPr>
        <w:t xml:space="preserve">etropolitan areas, </w:t>
      </w:r>
      <w:r w:rsidR="009531CB">
        <w:rPr>
          <w:b/>
        </w:rPr>
        <w:t>r</w:t>
      </w:r>
      <w:r>
        <w:rPr>
          <w:b/>
        </w:rPr>
        <w:t xml:space="preserve">egional areas and </w:t>
      </w:r>
      <w:r w:rsidR="009531CB">
        <w:rPr>
          <w:b/>
        </w:rPr>
        <w:t>m</w:t>
      </w:r>
      <w:r>
        <w:rPr>
          <w:b/>
        </w:rPr>
        <w:t>ajor regional centres?</w:t>
      </w:r>
    </w:p>
    <w:p w14:paraId="7891C13C" w14:textId="2B4580E5" w:rsidR="000B728E"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Pr>
          <w:b/>
        </w:rPr>
        <w:t xml:space="preserve">Would an earlier conversion of NBN Co’s </w:t>
      </w:r>
      <w:r w:rsidRPr="00F4620C">
        <w:rPr>
          <w:b/>
        </w:rPr>
        <w:t xml:space="preserve">PTS licences in </w:t>
      </w:r>
      <w:r w:rsidR="009531CB">
        <w:rPr>
          <w:b/>
        </w:rPr>
        <w:t>m</w:t>
      </w:r>
      <w:r w:rsidRPr="00F4620C">
        <w:rPr>
          <w:b/>
        </w:rPr>
        <w:t>etropolitan areas</w:t>
      </w:r>
      <w:r>
        <w:rPr>
          <w:b/>
        </w:rPr>
        <w:t xml:space="preserve"> provide greater certainty for negotiations on defrag to occur?</w:t>
      </w:r>
    </w:p>
    <w:p w14:paraId="0AAF0606" w14:textId="03E86A6D" w:rsidR="000B728E"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Pr>
          <w:b/>
        </w:rPr>
        <w:t>Are the existing</w:t>
      </w:r>
      <w:r w:rsidR="00E66EF0">
        <w:rPr>
          <w:b/>
        </w:rPr>
        <w:t xml:space="preserve"> third-</w:t>
      </w:r>
      <w:r>
        <w:rPr>
          <w:b/>
        </w:rPr>
        <w:t>party authorisation arrangements (Approach 1) sufficient to facilitate access to urban areas of NBN Co’s PTS licences by other operators? If not, should the ACMA investigate what, if any, urban areas might be available under Approach 2?</w:t>
      </w:r>
    </w:p>
    <w:p w14:paraId="7786C4F4" w14:textId="77777777" w:rsidR="000B728E" w:rsidRDefault="000B728E" w:rsidP="000B728E">
      <w:pPr>
        <w:pStyle w:val="ListParagraph"/>
        <w:numPr>
          <w:ilvl w:val="0"/>
          <w:numId w:val="61"/>
        </w:numPr>
        <w:shd w:val="clear" w:color="auto" w:fill="F2F2F2" w:themeFill="background1" w:themeFillShade="F2"/>
        <w:spacing w:before="120" w:after="120" w:line="240" w:lineRule="auto"/>
        <w:contextualSpacing w:val="0"/>
        <w:rPr>
          <w:b/>
        </w:rPr>
      </w:pPr>
      <w:r>
        <w:rPr>
          <w:b/>
        </w:rPr>
        <w:t>Do stakeholders have any views on what co-channel interference management technique should be applied under Approach 2?</w:t>
      </w:r>
    </w:p>
    <w:p w14:paraId="6D89EC57" w14:textId="77777777" w:rsidR="000B728E" w:rsidRPr="00190673" w:rsidRDefault="000B728E" w:rsidP="00715722">
      <w:pPr>
        <w:spacing w:after="80"/>
        <w:rPr>
          <w:rFonts w:cs="Arial"/>
        </w:rPr>
      </w:pPr>
    </w:p>
    <w:p w14:paraId="7ABE4649" w14:textId="77777777" w:rsidR="00BE4C11" w:rsidRPr="000D76E0" w:rsidRDefault="00170F60" w:rsidP="00777BA2">
      <w:pPr>
        <w:pStyle w:val="Heading1"/>
      </w:pPr>
      <w:bookmarkStart w:id="6" w:name="_Toc6923094"/>
      <w:r>
        <w:lastRenderedPageBreak/>
        <w:t>Introduction</w:t>
      </w:r>
      <w:bookmarkEnd w:id="6"/>
    </w:p>
    <w:p w14:paraId="33FA1422" w14:textId="06479977" w:rsidR="00DD009D" w:rsidRDefault="00335EF9" w:rsidP="00640272">
      <w:pPr>
        <w:rPr>
          <w:rFonts w:cs="Arial"/>
        </w:rPr>
      </w:pPr>
      <w:bookmarkStart w:id="7" w:name="_Hlk5603619"/>
      <w:r w:rsidRPr="007B380E">
        <w:t>The 3400</w:t>
      </w:r>
      <w:r w:rsidR="00E66EF0">
        <w:t>–</w:t>
      </w:r>
      <w:r w:rsidRPr="007B380E">
        <w:t>3575 MHz</w:t>
      </w:r>
      <w:r w:rsidR="001F5BDB">
        <w:t xml:space="preserve"> </w:t>
      </w:r>
      <w:r w:rsidRPr="007B380E">
        <w:t xml:space="preserve">band is subject to a mix of spectrum and apparatus licensing arrangements across Australia. </w:t>
      </w:r>
      <w:r w:rsidRPr="00EC65B3">
        <w:t>These arrangements authorise a variety of services, including wireless broadband (</w:t>
      </w:r>
      <w:r w:rsidR="001A51A5" w:rsidRPr="00EC65B3">
        <w:t>both fixed and mobile</w:t>
      </w:r>
      <w:r w:rsidRPr="00EC65B3">
        <w:t>), fixed satellite, radiolocation and amateur services</w:t>
      </w:r>
      <w:r w:rsidR="00B82EDA" w:rsidRPr="00EC65B3">
        <w:rPr>
          <w:rFonts w:cs="Arial"/>
        </w:rPr>
        <w:t xml:space="preserve"> (refer to </w:t>
      </w:r>
      <w:r w:rsidR="00B82EDA" w:rsidRPr="003C5923">
        <w:rPr>
          <w:rFonts w:cs="Arial"/>
        </w:rPr>
        <w:t>Appendix A</w:t>
      </w:r>
      <w:r w:rsidR="00B82EDA" w:rsidRPr="00EC65B3">
        <w:rPr>
          <w:rFonts w:cs="Arial"/>
        </w:rPr>
        <w:t xml:space="preserve"> for further details). </w:t>
      </w:r>
      <w:r w:rsidR="007E113F" w:rsidRPr="00EC65B3">
        <w:rPr>
          <w:rFonts w:cs="Arial"/>
        </w:rPr>
        <w:t xml:space="preserve">For historical reasons the </w:t>
      </w:r>
      <w:r w:rsidR="00DD009D" w:rsidRPr="00EC65B3">
        <w:rPr>
          <w:rFonts w:cs="Arial"/>
        </w:rPr>
        <w:t xml:space="preserve">existing spectrum and apparatus licensing arrangements in the band have resulted in fragmented spectrum </w:t>
      </w:r>
      <w:r w:rsidR="002573BA" w:rsidRPr="00EC65B3">
        <w:rPr>
          <w:rFonts w:cs="Arial"/>
        </w:rPr>
        <w:t>arrangements</w:t>
      </w:r>
      <w:r w:rsidR="00DD009D" w:rsidRPr="00EC65B3">
        <w:rPr>
          <w:rFonts w:cs="Arial"/>
        </w:rPr>
        <w:t xml:space="preserve"> for </w:t>
      </w:r>
      <w:r w:rsidR="00D82563" w:rsidRPr="00EC65B3">
        <w:rPr>
          <w:rFonts w:cs="Arial"/>
        </w:rPr>
        <w:t>wireless</w:t>
      </w:r>
      <w:r w:rsidR="00D82563">
        <w:rPr>
          <w:rFonts w:cs="Arial"/>
        </w:rPr>
        <w:t xml:space="preserve"> broadband </w:t>
      </w:r>
      <w:r w:rsidR="002573BA">
        <w:rPr>
          <w:rFonts w:cs="Arial"/>
        </w:rPr>
        <w:t>use</w:t>
      </w:r>
      <w:r w:rsidR="00DD009D">
        <w:rPr>
          <w:rFonts w:cs="Arial"/>
        </w:rPr>
        <w:t xml:space="preserve">. </w:t>
      </w:r>
      <w:bookmarkEnd w:id="7"/>
    </w:p>
    <w:p w14:paraId="176DC192" w14:textId="51FB2433" w:rsidR="002C3AA4" w:rsidRDefault="00334688" w:rsidP="00640272">
      <w:pPr>
        <w:rPr>
          <w:rFonts w:cs="Arial"/>
        </w:rPr>
      </w:pPr>
      <w:bookmarkStart w:id="8" w:name="_Hlk5603669"/>
      <w:r>
        <w:rPr>
          <w:color w:val="000000" w:themeColor="text1"/>
          <w:szCs w:val="20"/>
        </w:rPr>
        <w:t xml:space="preserve">The ACMA has considered </w:t>
      </w:r>
      <w:r w:rsidR="00EE1F80">
        <w:rPr>
          <w:color w:val="000000" w:themeColor="text1"/>
          <w:szCs w:val="20"/>
        </w:rPr>
        <w:t xml:space="preserve">planning </w:t>
      </w:r>
      <w:r>
        <w:rPr>
          <w:color w:val="000000" w:themeColor="text1"/>
          <w:szCs w:val="20"/>
        </w:rPr>
        <w:t xml:space="preserve">options and made proposals to address the issue of fragmentation in the past. Most notably this included the release of the discussion paper </w:t>
      </w:r>
      <w:r w:rsidR="00E66EF0">
        <w:rPr>
          <w:rStyle w:val="Hyperlink"/>
          <w:i/>
          <w:szCs w:val="20"/>
        </w:rPr>
        <w:t>Transitioning the 3.5 GHz band for future opportunities</w:t>
      </w:r>
      <w:r w:rsidRPr="003C2912">
        <w:rPr>
          <w:color w:val="000000" w:themeColor="text1"/>
          <w:szCs w:val="20"/>
        </w:rPr>
        <w:t xml:space="preserve"> </w:t>
      </w:r>
      <w:r>
        <w:rPr>
          <w:color w:val="000000" w:themeColor="text1"/>
          <w:szCs w:val="20"/>
        </w:rPr>
        <w:t xml:space="preserve">in 2014. </w:t>
      </w:r>
      <w:bookmarkEnd w:id="8"/>
      <w:r w:rsidR="005619B4">
        <w:rPr>
          <w:color w:val="000000" w:themeColor="text1"/>
          <w:szCs w:val="20"/>
        </w:rPr>
        <w:t>Also</w:t>
      </w:r>
      <w:r>
        <w:rPr>
          <w:color w:val="000000" w:themeColor="text1"/>
          <w:szCs w:val="20"/>
        </w:rPr>
        <w:t xml:space="preserve">, as part of the re-issue </w:t>
      </w:r>
      <w:r w:rsidR="006F204D">
        <w:rPr>
          <w:color w:val="000000" w:themeColor="text1"/>
          <w:szCs w:val="20"/>
        </w:rPr>
        <w:t xml:space="preserve">of </w:t>
      </w:r>
      <w:r w:rsidR="001C3C95">
        <w:rPr>
          <w:color w:val="000000" w:themeColor="text1"/>
          <w:szCs w:val="20"/>
        </w:rPr>
        <w:t xml:space="preserve">3.4 GHz </w:t>
      </w:r>
      <w:r w:rsidR="006F204D">
        <w:rPr>
          <w:color w:val="000000" w:themeColor="text1"/>
          <w:szCs w:val="20"/>
        </w:rPr>
        <w:t xml:space="preserve">spectrum licences </w:t>
      </w:r>
      <w:r>
        <w:rPr>
          <w:color w:val="000000" w:themeColor="text1"/>
          <w:szCs w:val="20"/>
        </w:rPr>
        <w:t xml:space="preserve">process, the ACMA facilitated the defragmentation of spectrum </w:t>
      </w:r>
      <w:r w:rsidR="001C3C95">
        <w:rPr>
          <w:color w:val="000000" w:themeColor="text1"/>
          <w:szCs w:val="20"/>
        </w:rPr>
        <w:t>holdings</w:t>
      </w:r>
      <w:r>
        <w:rPr>
          <w:color w:val="000000" w:themeColor="text1"/>
          <w:szCs w:val="20"/>
        </w:rPr>
        <w:t xml:space="preserve"> within the space identified for spectrum licensing. </w:t>
      </w:r>
      <w:r w:rsidR="00DF06A8">
        <w:rPr>
          <w:color w:val="000000" w:themeColor="text1"/>
          <w:szCs w:val="20"/>
        </w:rPr>
        <w:t xml:space="preserve">Leaving </w:t>
      </w:r>
      <w:r>
        <w:rPr>
          <w:color w:val="000000" w:themeColor="text1"/>
          <w:szCs w:val="20"/>
        </w:rPr>
        <w:t xml:space="preserve">industry and incumbents to resolve the issue via commercial negotiation has also been considered. However, </w:t>
      </w:r>
      <w:r>
        <w:rPr>
          <w:rFonts w:cs="Arial"/>
        </w:rPr>
        <w:t>s</w:t>
      </w:r>
      <w:r w:rsidR="00DD009D">
        <w:rPr>
          <w:rFonts w:cs="Arial"/>
        </w:rPr>
        <w:t>everal impediments have been identified th</w:t>
      </w:r>
      <w:r w:rsidR="002925F4">
        <w:rPr>
          <w:rFonts w:cs="Arial"/>
        </w:rPr>
        <w:t>at</w:t>
      </w:r>
      <w:r w:rsidR="00DD009D">
        <w:rPr>
          <w:rFonts w:cs="Arial"/>
        </w:rPr>
        <w:t xml:space="preserve"> have prevented the use of market mechanisms. For this reason, t</w:t>
      </w:r>
      <w:r w:rsidR="00F90CAE">
        <w:rPr>
          <w:rFonts w:cs="Arial"/>
        </w:rPr>
        <w:t xml:space="preserve">here has been growing interest </w:t>
      </w:r>
      <w:r w:rsidR="00AE310C">
        <w:rPr>
          <w:rFonts w:cs="Arial"/>
        </w:rPr>
        <w:t xml:space="preserve">from incumbent licensees </w:t>
      </w:r>
      <w:r w:rsidR="007E113F">
        <w:rPr>
          <w:rFonts w:cs="Arial"/>
        </w:rPr>
        <w:t>for</w:t>
      </w:r>
      <w:r w:rsidR="00F90CAE">
        <w:rPr>
          <w:rFonts w:cs="Arial"/>
        </w:rPr>
        <w:t xml:space="preserve"> the ACMA to </w:t>
      </w:r>
      <w:r w:rsidR="00A23905">
        <w:rPr>
          <w:rFonts w:cs="Arial"/>
        </w:rPr>
        <w:t>assist with the</w:t>
      </w:r>
      <w:r w:rsidR="00DD009D">
        <w:rPr>
          <w:rFonts w:cs="Arial"/>
        </w:rPr>
        <w:t xml:space="preserve"> d</w:t>
      </w:r>
      <w:r w:rsidR="00DD009D" w:rsidRPr="001F5BDB">
        <w:rPr>
          <w:rFonts w:cs="Arial"/>
        </w:rPr>
        <w:t xml:space="preserve">efragmentation of </w:t>
      </w:r>
      <w:r w:rsidR="00DD009D">
        <w:rPr>
          <w:rFonts w:cs="Arial"/>
        </w:rPr>
        <w:t xml:space="preserve">spectrum and apparatus licensing arrangements </w:t>
      </w:r>
      <w:r w:rsidR="006364E7">
        <w:rPr>
          <w:rFonts w:cs="Arial"/>
        </w:rPr>
        <w:t>in the band</w:t>
      </w:r>
      <w:r w:rsidR="00DD009D">
        <w:rPr>
          <w:rFonts w:cs="Arial"/>
        </w:rPr>
        <w:t xml:space="preserve"> (</w:t>
      </w:r>
      <w:r w:rsidR="00EF54DB">
        <w:rPr>
          <w:rFonts w:cs="Arial"/>
        </w:rPr>
        <w:t xml:space="preserve">referred to </w:t>
      </w:r>
      <w:r w:rsidR="006364E7">
        <w:rPr>
          <w:rFonts w:cs="Arial"/>
        </w:rPr>
        <w:t xml:space="preserve">in this paper </w:t>
      </w:r>
      <w:r w:rsidR="00EF54DB">
        <w:rPr>
          <w:rFonts w:cs="Arial"/>
        </w:rPr>
        <w:t xml:space="preserve">as </w:t>
      </w:r>
      <w:r w:rsidR="00A62F94">
        <w:rPr>
          <w:rFonts w:cs="Arial"/>
        </w:rPr>
        <w:t>‘</w:t>
      </w:r>
      <w:r w:rsidR="00DD009D">
        <w:rPr>
          <w:rFonts w:cs="Arial"/>
        </w:rPr>
        <w:t>defrag</w:t>
      </w:r>
      <w:r w:rsidR="00A62F94">
        <w:rPr>
          <w:rFonts w:cs="Arial"/>
        </w:rPr>
        <w:t>’</w:t>
      </w:r>
      <w:r w:rsidR="00EF54DB">
        <w:rPr>
          <w:rFonts w:cs="Arial"/>
        </w:rPr>
        <w:t>)</w:t>
      </w:r>
      <w:r w:rsidR="00F90CAE">
        <w:rPr>
          <w:rFonts w:cs="Arial"/>
        </w:rPr>
        <w:t xml:space="preserve">. </w:t>
      </w:r>
    </w:p>
    <w:p w14:paraId="31DE7DCE" w14:textId="2311C86F" w:rsidR="00E32CB2" w:rsidRDefault="006D7FE2" w:rsidP="00640272">
      <w:pPr>
        <w:rPr>
          <w:color w:val="000000" w:themeColor="text1"/>
          <w:szCs w:val="20"/>
        </w:rPr>
      </w:pPr>
      <w:r>
        <w:rPr>
          <w:rFonts w:cs="Arial"/>
        </w:rPr>
        <w:t>Internationally the broader 3300</w:t>
      </w:r>
      <w:r w:rsidR="00E66EF0">
        <w:rPr>
          <w:rFonts w:cs="Arial"/>
        </w:rPr>
        <w:t>–</w:t>
      </w:r>
      <w:r>
        <w:rPr>
          <w:rFonts w:cs="Arial"/>
        </w:rPr>
        <w:t xml:space="preserve">3800 MHz band has been identified for 5G. </w:t>
      </w:r>
      <w:r w:rsidR="002C3AA4">
        <w:rPr>
          <w:rFonts w:cs="Arial"/>
        </w:rPr>
        <w:t>W</w:t>
      </w:r>
      <w:r w:rsidR="00F90CAE">
        <w:rPr>
          <w:rFonts w:cs="Arial"/>
        </w:rPr>
        <w:t>ith the advent of 5G</w:t>
      </w:r>
      <w:r w:rsidR="00B64DF7">
        <w:rPr>
          <w:rFonts w:cs="Arial"/>
        </w:rPr>
        <w:t>, use of the</w:t>
      </w:r>
      <w:r w:rsidR="00E32CB2">
        <w:rPr>
          <w:rFonts w:cs="Arial"/>
        </w:rPr>
        <w:t xml:space="preserve"> band</w:t>
      </w:r>
      <w:r w:rsidR="00F90CAE">
        <w:rPr>
          <w:rFonts w:cs="Arial"/>
        </w:rPr>
        <w:t xml:space="preserve"> </w:t>
      </w:r>
      <w:r w:rsidR="00AE310C">
        <w:rPr>
          <w:rFonts w:cs="Arial"/>
        </w:rPr>
        <w:t xml:space="preserve">by wireless broadband services </w:t>
      </w:r>
      <w:r w:rsidR="00F90CAE">
        <w:rPr>
          <w:rFonts w:cs="Arial"/>
        </w:rPr>
        <w:t xml:space="preserve">is expected to increase </w:t>
      </w:r>
      <w:r w:rsidR="00E32CB2">
        <w:rPr>
          <w:rFonts w:cs="Arial"/>
        </w:rPr>
        <w:t>considerably</w:t>
      </w:r>
      <w:r w:rsidR="002C3AA4">
        <w:rPr>
          <w:rFonts w:cs="Arial"/>
        </w:rPr>
        <w:t xml:space="preserve"> over the coming years. This means</w:t>
      </w:r>
      <w:r w:rsidR="00B64DF7">
        <w:rPr>
          <w:rFonts w:cs="Arial"/>
        </w:rPr>
        <w:t xml:space="preserve"> t</w:t>
      </w:r>
      <w:r w:rsidR="00B64DF7">
        <w:rPr>
          <w:color w:val="000000" w:themeColor="text1"/>
          <w:szCs w:val="20"/>
        </w:rPr>
        <w:t>he longer it takes to find a solution</w:t>
      </w:r>
      <w:r w:rsidR="00E66EF0">
        <w:rPr>
          <w:color w:val="000000" w:themeColor="text1"/>
          <w:szCs w:val="20"/>
        </w:rPr>
        <w:t>,</w:t>
      </w:r>
      <w:r w:rsidR="00B64DF7">
        <w:rPr>
          <w:color w:val="000000" w:themeColor="text1"/>
          <w:szCs w:val="20"/>
        </w:rPr>
        <w:t xml:space="preserve"> the greater the cost and complexity in performing a defrag </w:t>
      </w:r>
      <w:r w:rsidR="002C3AA4">
        <w:rPr>
          <w:color w:val="000000" w:themeColor="text1"/>
          <w:szCs w:val="20"/>
        </w:rPr>
        <w:t>is likely to</w:t>
      </w:r>
      <w:r w:rsidR="007F0205">
        <w:rPr>
          <w:color w:val="000000" w:themeColor="text1"/>
          <w:szCs w:val="20"/>
        </w:rPr>
        <w:t xml:space="preserve"> </w:t>
      </w:r>
      <w:r w:rsidR="00B64DF7">
        <w:rPr>
          <w:color w:val="000000" w:themeColor="text1"/>
          <w:szCs w:val="20"/>
        </w:rPr>
        <w:t>become as more services are deployed</w:t>
      </w:r>
      <w:r w:rsidR="002925F4">
        <w:rPr>
          <w:color w:val="000000" w:themeColor="text1"/>
          <w:szCs w:val="20"/>
        </w:rPr>
        <w:t xml:space="preserve"> in the band</w:t>
      </w:r>
      <w:r w:rsidR="00B64DF7">
        <w:rPr>
          <w:color w:val="000000" w:themeColor="text1"/>
          <w:szCs w:val="20"/>
        </w:rPr>
        <w:t xml:space="preserve">. </w:t>
      </w:r>
    </w:p>
    <w:p w14:paraId="4AB822D9" w14:textId="7C430EBB" w:rsidR="00A23905" w:rsidRDefault="00E32CB2" w:rsidP="003C5923">
      <w:pPr>
        <w:spacing w:after="80"/>
        <w:rPr>
          <w:rFonts w:cs="Arial"/>
        </w:rPr>
      </w:pPr>
      <w:r>
        <w:rPr>
          <w:color w:val="000000" w:themeColor="text1"/>
          <w:szCs w:val="20"/>
        </w:rPr>
        <w:t xml:space="preserve">The </w:t>
      </w:r>
      <w:r w:rsidR="007F0205">
        <w:rPr>
          <w:color w:val="000000" w:themeColor="text1"/>
          <w:szCs w:val="20"/>
        </w:rPr>
        <w:t>ACMA</w:t>
      </w:r>
      <w:r>
        <w:rPr>
          <w:color w:val="000000" w:themeColor="text1"/>
          <w:szCs w:val="20"/>
        </w:rPr>
        <w:t xml:space="preserve"> </w:t>
      </w:r>
      <w:r w:rsidR="002925F4">
        <w:rPr>
          <w:color w:val="000000" w:themeColor="text1"/>
          <w:szCs w:val="20"/>
        </w:rPr>
        <w:t>considers</w:t>
      </w:r>
      <w:r w:rsidR="007F0205">
        <w:rPr>
          <w:color w:val="000000" w:themeColor="text1"/>
          <w:szCs w:val="20"/>
        </w:rPr>
        <w:t xml:space="preserve"> it is timely to </w:t>
      </w:r>
      <w:bookmarkStart w:id="9" w:name="_Hlk5606442"/>
      <w:r w:rsidR="007F0205">
        <w:rPr>
          <w:color w:val="000000" w:themeColor="text1"/>
          <w:szCs w:val="20"/>
        </w:rPr>
        <w:t xml:space="preserve">consider </w:t>
      </w:r>
      <w:r w:rsidR="00A23905">
        <w:rPr>
          <w:rFonts w:cs="Arial"/>
        </w:rPr>
        <w:t xml:space="preserve">whether regulatory intervention is required to facilitate change in the </w:t>
      </w:r>
      <w:r w:rsidR="005619B4">
        <w:rPr>
          <w:rFonts w:cs="Arial"/>
        </w:rPr>
        <w:t>3400</w:t>
      </w:r>
      <w:r w:rsidR="00FD655D">
        <w:rPr>
          <w:rFonts w:cs="Arial"/>
        </w:rPr>
        <w:t>–</w:t>
      </w:r>
      <w:r w:rsidR="005619B4">
        <w:rPr>
          <w:rFonts w:cs="Arial"/>
        </w:rPr>
        <w:t>3575 MHz</w:t>
      </w:r>
      <w:r w:rsidR="00A23905">
        <w:rPr>
          <w:rFonts w:cs="Arial"/>
        </w:rPr>
        <w:t xml:space="preserve"> band. </w:t>
      </w:r>
      <w:r w:rsidR="001A4F7A">
        <w:rPr>
          <w:rFonts w:cs="Arial"/>
        </w:rPr>
        <w:t>Consequently,</w:t>
      </w:r>
      <w:r w:rsidR="008F52B2">
        <w:rPr>
          <w:rFonts w:cs="Arial"/>
        </w:rPr>
        <w:t xml:space="preserve"> this</w:t>
      </w:r>
      <w:r w:rsidR="00A23905">
        <w:rPr>
          <w:rFonts w:cs="Arial"/>
        </w:rPr>
        <w:t xml:space="preserve"> paper seeks to identify:</w:t>
      </w:r>
    </w:p>
    <w:p w14:paraId="151DC76F" w14:textId="339915EB" w:rsidR="00A23905" w:rsidRPr="00AE310C" w:rsidRDefault="00A23905" w:rsidP="00AE310C">
      <w:pPr>
        <w:pStyle w:val="ListBullet"/>
        <w:numPr>
          <w:ilvl w:val="0"/>
          <w:numId w:val="18"/>
        </w:numPr>
        <w:spacing w:line="240" w:lineRule="auto"/>
      </w:pPr>
      <w:r w:rsidRPr="00AE310C">
        <w:t xml:space="preserve">what the final optimised arrangements in the </w:t>
      </w:r>
      <w:r w:rsidR="00334688" w:rsidRPr="00AE310C">
        <w:t xml:space="preserve">band </w:t>
      </w:r>
      <w:r w:rsidRPr="00AE310C">
        <w:t xml:space="preserve">should look like </w:t>
      </w:r>
    </w:p>
    <w:p w14:paraId="3278B6AE" w14:textId="12EAA720" w:rsidR="00A23905" w:rsidRPr="00AE310C" w:rsidRDefault="00A23905" w:rsidP="00AE310C">
      <w:pPr>
        <w:pStyle w:val="ListBullet"/>
        <w:numPr>
          <w:ilvl w:val="0"/>
          <w:numId w:val="18"/>
        </w:numPr>
        <w:spacing w:line="240" w:lineRule="auto"/>
      </w:pPr>
      <w:r w:rsidRPr="00AE310C">
        <w:t xml:space="preserve">the most appropriate mechanisms for the ACMA to facilitate the </w:t>
      </w:r>
      <w:r w:rsidR="005619B4" w:rsidRPr="00AE310C">
        <w:t>3400</w:t>
      </w:r>
      <w:r w:rsidR="00FD655D">
        <w:t>–</w:t>
      </w:r>
      <w:r w:rsidR="005619B4" w:rsidRPr="00AE310C">
        <w:t>3575 MHz</w:t>
      </w:r>
      <w:r w:rsidRPr="00AE310C">
        <w:t xml:space="preserve"> band moving towards the final optimised arrangements.</w:t>
      </w:r>
    </w:p>
    <w:bookmarkEnd w:id="9"/>
    <w:p w14:paraId="71F2FBC7" w14:textId="2CC2BC92" w:rsidR="00EF54DB" w:rsidRDefault="00EF54DB" w:rsidP="001A4F7A">
      <w:pPr>
        <w:spacing w:before="240"/>
        <w:rPr>
          <w:color w:val="000000" w:themeColor="text1"/>
          <w:szCs w:val="20"/>
        </w:rPr>
      </w:pPr>
      <w:r>
        <w:rPr>
          <w:color w:val="000000" w:themeColor="text1"/>
          <w:szCs w:val="20"/>
        </w:rPr>
        <w:t>The ACMA notes that while there are likely to be measure</w:t>
      </w:r>
      <w:r w:rsidR="001A2FB1">
        <w:rPr>
          <w:color w:val="000000" w:themeColor="text1"/>
          <w:szCs w:val="20"/>
        </w:rPr>
        <w:t>s</w:t>
      </w:r>
      <w:r>
        <w:rPr>
          <w:color w:val="000000" w:themeColor="text1"/>
          <w:szCs w:val="20"/>
        </w:rPr>
        <w:t xml:space="preserve"> </w:t>
      </w:r>
      <w:r w:rsidR="006C565D">
        <w:rPr>
          <w:color w:val="000000" w:themeColor="text1"/>
          <w:szCs w:val="20"/>
        </w:rPr>
        <w:t>it</w:t>
      </w:r>
      <w:r>
        <w:rPr>
          <w:color w:val="000000" w:themeColor="text1"/>
          <w:szCs w:val="20"/>
        </w:rPr>
        <w:t xml:space="preserve"> can take to facilitate a defragmentation of holdings in the band, </w:t>
      </w:r>
      <w:r w:rsidR="0012415D">
        <w:rPr>
          <w:color w:val="000000" w:themeColor="text1"/>
          <w:szCs w:val="20"/>
        </w:rPr>
        <w:t xml:space="preserve">there are </w:t>
      </w:r>
      <w:r w:rsidR="006C565D">
        <w:rPr>
          <w:color w:val="000000" w:themeColor="text1"/>
          <w:szCs w:val="20"/>
        </w:rPr>
        <w:t>some</w:t>
      </w:r>
      <w:r w:rsidR="0012415D">
        <w:rPr>
          <w:color w:val="000000" w:themeColor="text1"/>
          <w:szCs w:val="20"/>
        </w:rPr>
        <w:t xml:space="preserve"> elements of </w:t>
      </w:r>
      <w:r w:rsidR="006C565D">
        <w:rPr>
          <w:color w:val="000000" w:themeColor="text1"/>
          <w:szCs w:val="20"/>
        </w:rPr>
        <w:t xml:space="preserve">defrag that </w:t>
      </w:r>
      <w:r w:rsidR="0012415D">
        <w:rPr>
          <w:color w:val="000000" w:themeColor="text1"/>
          <w:szCs w:val="20"/>
        </w:rPr>
        <w:t xml:space="preserve">will need to be undertaken </w:t>
      </w:r>
      <w:r w:rsidR="006C565D">
        <w:rPr>
          <w:color w:val="000000" w:themeColor="text1"/>
          <w:szCs w:val="20"/>
        </w:rPr>
        <w:t>via negotiation and agreement between</w:t>
      </w:r>
      <w:r w:rsidR="0012415D">
        <w:rPr>
          <w:color w:val="000000" w:themeColor="text1"/>
          <w:szCs w:val="20"/>
        </w:rPr>
        <w:t xml:space="preserve"> licensees themselves.</w:t>
      </w:r>
    </w:p>
    <w:p w14:paraId="610F6C42" w14:textId="586D8D61" w:rsidR="00310887" w:rsidRDefault="00102E77" w:rsidP="003C5923">
      <w:pPr>
        <w:spacing w:after="80"/>
        <w:rPr>
          <w:color w:val="000000" w:themeColor="text1"/>
          <w:szCs w:val="20"/>
        </w:rPr>
      </w:pPr>
      <w:bookmarkStart w:id="10" w:name="_Hlk5606469"/>
      <w:r w:rsidRPr="00102E77">
        <w:rPr>
          <w:color w:val="000000" w:themeColor="text1"/>
          <w:szCs w:val="20"/>
        </w:rPr>
        <w:t xml:space="preserve">As part of </w:t>
      </w:r>
      <w:r>
        <w:rPr>
          <w:color w:val="000000" w:themeColor="text1"/>
          <w:szCs w:val="20"/>
        </w:rPr>
        <w:t xml:space="preserve">the </w:t>
      </w:r>
      <w:r w:rsidR="00EE1F80">
        <w:rPr>
          <w:color w:val="000000" w:themeColor="text1"/>
          <w:szCs w:val="20"/>
        </w:rPr>
        <w:t xml:space="preserve">planning </w:t>
      </w:r>
      <w:r w:rsidRPr="00102E77">
        <w:rPr>
          <w:color w:val="000000" w:themeColor="text1"/>
          <w:szCs w:val="20"/>
        </w:rPr>
        <w:t xml:space="preserve">options </w:t>
      </w:r>
      <w:r>
        <w:rPr>
          <w:color w:val="000000" w:themeColor="text1"/>
          <w:szCs w:val="20"/>
        </w:rPr>
        <w:t xml:space="preserve">to facilitate </w:t>
      </w:r>
      <w:r w:rsidRPr="00102E77">
        <w:rPr>
          <w:color w:val="000000" w:themeColor="text1"/>
          <w:szCs w:val="20"/>
        </w:rPr>
        <w:t xml:space="preserve">defrag, </w:t>
      </w:r>
      <w:bookmarkEnd w:id="10"/>
      <w:r w:rsidRPr="00102E77">
        <w:rPr>
          <w:color w:val="000000" w:themeColor="text1"/>
          <w:szCs w:val="20"/>
        </w:rPr>
        <w:t xml:space="preserve">the ACMA is </w:t>
      </w:r>
      <w:r>
        <w:rPr>
          <w:color w:val="000000" w:themeColor="text1"/>
          <w:szCs w:val="20"/>
        </w:rPr>
        <w:t>also</w:t>
      </w:r>
      <w:r w:rsidR="00310887">
        <w:rPr>
          <w:color w:val="000000" w:themeColor="text1"/>
          <w:szCs w:val="20"/>
        </w:rPr>
        <w:t>:</w:t>
      </w:r>
      <w:r>
        <w:rPr>
          <w:color w:val="000000" w:themeColor="text1"/>
          <w:szCs w:val="20"/>
        </w:rPr>
        <w:t xml:space="preserve"> </w:t>
      </w:r>
    </w:p>
    <w:p w14:paraId="2E9C8D4E" w14:textId="2B9938A9" w:rsidR="006364E7" w:rsidRPr="00AE310C" w:rsidRDefault="00310887" w:rsidP="00AE310C">
      <w:pPr>
        <w:pStyle w:val="ListBullet"/>
        <w:numPr>
          <w:ilvl w:val="0"/>
          <w:numId w:val="18"/>
        </w:numPr>
        <w:spacing w:line="240" w:lineRule="auto"/>
      </w:pPr>
      <w:r w:rsidRPr="00AE310C">
        <w:t xml:space="preserve">considering </w:t>
      </w:r>
      <w:r w:rsidR="00102E77" w:rsidRPr="00AE310C">
        <w:t>o</w:t>
      </w:r>
      <w:bookmarkStart w:id="11" w:name="_Hlk5606566"/>
      <w:r w:rsidR="00102E77" w:rsidRPr="00AE310C">
        <w:t>ptions to make more of the band available for wireless broadband use. Both spectrum and apparatus licensing arrangements are being considered. This accounts for interest from large fixed and mobile network operators as well as wireless internet service providers (WISPs) and other localised wireless broadband operators</w:t>
      </w:r>
      <w:bookmarkEnd w:id="11"/>
    </w:p>
    <w:p w14:paraId="5E999183" w14:textId="272FF91D" w:rsidR="00310887" w:rsidRPr="00AE310C" w:rsidRDefault="000C0BF0" w:rsidP="00AE310C">
      <w:pPr>
        <w:pStyle w:val="ListBullet"/>
        <w:numPr>
          <w:ilvl w:val="0"/>
          <w:numId w:val="18"/>
        </w:numPr>
        <w:spacing w:line="240" w:lineRule="auto"/>
      </w:pPr>
      <w:bookmarkStart w:id="12" w:name="_Hlk5605654"/>
      <w:r w:rsidRPr="00AE310C">
        <w:t>investigating whether and to what degree urban areas of NBN Co’s Public Telephony Service (PTS) licence could be made available for use by other operators</w:t>
      </w:r>
      <w:r w:rsidR="00310887" w:rsidRPr="00AE310C">
        <w:t xml:space="preserve">. </w:t>
      </w:r>
      <w:bookmarkEnd w:id="12"/>
      <w:r w:rsidR="00310887" w:rsidRPr="00AE310C">
        <w:t>This could provide an opportunity to increase util</w:t>
      </w:r>
      <w:r w:rsidR="00AE310C">
        <w:t xml:space="preserve">isation </w:t>
      </w:r>
      <w:r w:rsidR="00310887" w:rsidRPr="00AE310C">
        <w:t>of the spectrum in these areas and for other operators to</w:t>
      </w:r>
      <w:r w:rsidR="00310887" w:rsidRPr="00A37173">
        <w:t xml:space="preserve"> enhanc</w:t>
      </w:r>
      <w:r w:rsidR="00310887">
        <w:t>e the</w:t>
      </w:r>
      <w:r w:rsidR="00310887" w:rsidRPr="00A37173">
        <w:t xml:space="preserve"> delivery of</w:t>
      </w:r>
      <w:r w:rsidR="00310887">
        <w:t xml:space="preserve"> their </w:t>
      </w:r>
      <w:r w:rsidR="00310887" w:rsidRPr="00A37173">
        <w:t>services</w:t>
      </w:r>
      <w:r w:rsidR="00310887">
        <w:t>.</w:t>
      </w:r>
    </w:p>
    <w:p w14:paraId="00461833" w14:textId="144CEF32" w:rsidR="00CC7B66" w:rsidRPr="00CC7B66" w:rsidRDefault="00E32CB2" w:rsidP="00CC4F13">
      <w:pPr>
        <w:spacing w:before="240"/>
        <w:rPr>
          <w:rFonts w:cs="Arial"/>
        </w:rPr>
      </w:pPr>
      <w:bookmarkStart w:id="13" w:name="_Hlk6987962"/>
      <w:r>
        <w:rPr>
          <w:color w:val="000000" w:themeColor="text1"/>
          <w:szCs w:val="20"/>
        </w:rPr>
        <w:t xml:space="preserve">While this paper </w:t>
      </w:r>
      <w:r w:rsidRPr="00E32CB2">
        <w:rPr>
          <w:color w:val="000000" w:themeColor="text1"/>
          <w:szCs w:val="20"/>
        </w:rPr>
        <w:t xml:space="preserve">explores </w:t>
      </w:r>
      <w:r w:rsidR="00DD009D" w:rsidRPr="00E32CB2">
        <w:rPr>
          <w:color w:val="000000" w:themeColor="text1"/>
          <w:szCs w:val="20"/>
        </w:rPr>
        <w:t>several</w:t>
      </w:r>
      <w:r w:rsidRPr="00E32CB2">
        <w:rPr>
          <w:color w:val="000000" w:themeColor="text1"/>
          <w:szCs w:val="20"/>
        </w:rPr>
        <w:t xml:space="preserve"> </w:t>
      </w:r>
      <w:r w:rsidR="00EE1F80">
        <w:rPr>
          <w:color w:val="000000" w:themeColor="text1"/>
          <w:szCs w:val="20"/>
        </w:rPr>
        <w:t xml:space="preserve">planning </w:t>
      </w:r>
      <w:r w:rsidR="00A23905">
        <w:rPr>
          <w:color w:val="000000" w:themeColor="text1"/>
          <w:szCs w:val="20"/>
        </w:rPr>
        <w:t xml:space="preserve">options </w:t>
      </w:r>
      <w:r w:rsidRPr="00E32CB2">
        <w:rPr>
          <w:color w:val="000000" w:themeColor="text1"/>
          <w:szCs w:val="20"/>
        </w:rPr>
        <w:t xml:space="preserve">and identifies a preliminary preferred </w:t>
      </w:r>
      <w:r w:rsidR="00CC1789">
        <w:rPr>
          <w:color w:val="000000" w:themeColor="text1"/>
          <w:szCs w:val="20"/>
        </w:rPr>
        <w:t>approach</w:t>
      </w:r>
      <w:r w:rsidR="002925F4">
        <w:rPr>
          <w:rFonts w:cs="Arial"/>
        </w:rPr>
        <w:t>,</w:t>
      </w:r>
      <w:r w:rsidR="00E2787A">
        <w:rPr>
          <w:rFonts w:cs="Arial"/>
        </w:rPr>
        <w:t xml:space="preserve"> </w:t>
      </w:r>
      <w:r w:rsidR="002925F4">
        <w:rPr>
          <w:rFonts w:cs="Arial"/>
        </w:rPr>
        <w:t xml:space="preserve">final decisions will </w:t>
      </w:r>
      <w:r w:rsidR="00AE310C">
        <w:rPr>
          <w:rFonts w:cs="Arial"/>
        </w:rPr>
        <w:t xml:space="preserve">be made by the ACMA following careful consideration of </w:t>
      </w:r>
      <w:r w:rsidR="008F1F60" w:rsidRPr="00E32CB2">
        <w:rPr>
          <w:rFonts w:cs="Arial"/>
        </w:rPr>
        <w:t>submissions from stakeholder</w:t>
      </w:r>
      <w:r w:rsidR="002925F4">
        <w:rPr>
          <w:rFonts w:cs="Arial"/>
        </w:rPr>
        <w:t>s.</w:t>
      </w:r>
      <w:r w:rsidR="008F1F60">
        <w:rPr>
          <w:rFonts w:cs="Arial"/>
        </w:rPr>
        <w:t xml:space="preserve"> </w:t>
      </w:r>
      <w:r w:rsidR="00CC4F13">
        <w:t>As the government is currently in a caretaker period</w:t>
      </w:r>
      <w:r w:rsidR="00C46A05">
        <w:rPr>
          <w:iCs/>
        </w:rPr>
        <w:t xml:space="preserve">, it is noted </w:t>
      </w:r>
      <w:r w:rsidR="00CC7B66" w:rsidRPr="00A53E1C">
        <w:rPr>
          <w:iCs/>
        </w:rPr>
        <w:t>that the spectrum management policies of an incoming government may have implications for future planning arrangements in the 3400</w:t>
      </w:r>
      <w:r w:rsidR="00F77797">
        <w:rPr>
          <w:iCs/>
        </w:rPr>
        <w:t>–</w:t>
      </w:r>
      <w:r w:rsidR="00CC7B66" w:rsidRPr="00A53E1C">
        <w:rPr>
          <w:iCs/>
        </w:rPr>
        <w:t>3575 MHz band.</w:t>
      </w:r>
    </w:p>
    <w:p w14:paraId="4285B921" w14:textId="77777777" w:rsidR="00B82EDA" w:rsidRDefault="00B82EDA" w:rsidP="00B82EDA">
      <w:pPr>
        <w:pStyle w:val="Heading2"/>
      </w:pPr>
      <w:bookmarkStart w:id="14" w:name="_Toc525132230"/>
      <w:bookmarkStart w:id="15" w:name="_Toc521585768"/>
      <w:bookmarkStart w:id="16" w:name="_Toc519765102"/>
      <w:bookmarkStart w:id="17" w:name="_Ref498436813"/>
      <w:bookmarkStart w:id="18" w:name="_Ref498078173"/>
      <w:bookmarkStart w:id="19" w:name="_Toc468705310"/>
      <w:bookmarkStart w:id="20" w:name="_Toc468438955"/>
      <w:bookmarkStart w:id="21" w:name="_Toc466017060"/>
      <w:bookmarkStart w:id="22" w:name="_Ref461109606"/>
      <w:bookmarkStart w:id="23" w:name="_Toc457809930"/>
      <w:bookmarkStart w:id="24" w:name="_Toc6923095"/>
      <w:bookmarkStart w:id="25" w:name="_Toc514146648"/>
      <w:bookmarkStart w:id="26" w:name="_Toc513143734"/>
      <w:bookmarkEnd w:id="13"/>
      <w:r w:rsidRPr="00B82EDA">
        <w:lastRenderedPageBreak/>
        <w:t>Legislative and policy environment</w:t>
      </w:r>
      <w:bookmarkEnd w:id="14"/>
      <w:bookmarkEnd w:id="15"/>
      <w:bookmarkEnd w:id="16"/>
      <w:bookmarkEnd w:id="17"/>
      <w:bookmarkEnd w:id="18"/>
      <w:bookmarkEnd w:id="19"/>
      <w:bookmarkEnd w:id="20"/>
      <w:bookmarkEnd w:id="21"/>
      <w:bookmarkEnd w:id="22"/>
      <w:bookmarkEnd w:id="23"/>
      <w:bookmarkEnd w:id="24"/>
    </w:p>
    <w:p w14:paraId="1F1C06D3" w14:textId="65B525DD" w:rsidR="00B82EDA" w:rsidRDefault="00B82EDA" w:rsidP="00B82EDA">
      <w:r>
        <w:t>Managing spectrum efficiently and effectively for the benefit of all Australians is a key priority for the ACMA</w:t>
      </w:r>
      <w:r>
        <w:rPr>
          <w:vertAlign w:val="superscript"/>
        </w:rPr>
        <w:footnoteReference w:id="2"/>
      </w:r>
      <w:r>
        <w:t xml:space="preserve">. The ACMA draws on a range of legislative and administrative tools in executing these functions. </w:t>
      </w:r>
    </w:p>
    <w:p w14:paraId="113E8C58" w14:textId="77777777" w:rsidR="00B82EDA" w:rsidRDefault="00B82EDA" w:rsidP="00B82EDA">
      <w:pPr>
        <w:pStyle w:val="Heading3"/>
      </w:pPr>
      <w:bookmarkStart w:id="27" w:name="_Toc6923096"/>
      <w:r>
        <w:t>Guiding legislation</w:t>
      </w:r>
      <w:bookmarkEnd w:id="27"/>
    </w:p>
    <w:p w14:paraId="279ACE95" w14:textId="77777777" w:rsidR="00B82EDA" w:rsidRDefault="00B82EDA" w:rsidP="003C5923">
      <w:pPr>
        <w:spacing w:after="80"/>
      </w:pPr>
      <w:r>
        <w:t xml:space="preserve">Section 9 of the </w:t>
      </w:r>
      <w:r>
        <w:rPr>
          <w:i/>
        </w:rPr>
        <w:t>Australian Communications and Media Authority Act 2005</w:t>
      </w:r>
      <w:r>
        <w:t xml:space="preserve"> (ACMA Act) sets out the spectrum management functions of the ACMA, including to:</w:t>
      </w:r>
    </w:p>
    <w:p w14:paraId="78F3EFF5" w14:textId="77777777" w:rsidR="00B82EDA" w:rsidRDefault="00B82EDA" w:rsidP="00822E37">
      <w:pPr>
        <w:pStyle w:val="ListBullet"/>
        <w:numPr>
          <w:ilvl w:val="0"/>
          <w:numId w:val="11"/>
        </w:numPr>
        <w:spacing w:line="240" w:lineRule="auto"/>
      </w:pPr>
      <w:r>
        <w:t xml:space="preserve">manage the radiofrequency spectrum in accordance with the </w:t>
      </w:r>
      <w:r>
        <w:rPr>
          <w:i/>
        </w:rPr>
        <w:t>Radiocommunications Act 1992</w:t>
      </w:r>
      <w:r>
        <w:t xml:space="preserve"> (the Act)</w:t>
      </w:r>
    </w:p>
    <w:p w14:paraId="4149954C" w14:textId="77777777" w:rsidR="00B82EDA" w:rsidRDefault="00B82EDA" w:rsidP="00822E37">
      <w:pPr>
        <w:pStyle w:val="ListBulletLast"/>
        <w:numPr>
          <w:ilvl w:val="0"/>
          <w:numId w:val="11"/>
        </w:numPr>
        <w:spacing w:line="240" w:lineRule="auto"/>
      </w:pPr>
      <w:r>
        <w:t>advise and assist the radiocommunications community.</w:t>
      </w:r>
    </w:p>
    <w:p w14:paraId="3EF151DC" w14:textId="77777777" w:rsidR="00B82EDA" w:rsidRDefault="00B82EDA" w:rsidP="003C5923">
      <w:pPr>
        <w:spacing w:after="80"/>
      </w:pPr>
      <w:r>
        <w:t>Consistent with the spectrum management functions set out in the ACMA Act, the object of the Act is to provide for management of the radiofrequency spectrum in order to (among other goals):</w:t>
      </w:r>
    </w:p>
    <w:p w14:paraId="4ADE492D" w14:textId="77777777" w:rsidR="00B82EDA" w:rsidRDefault="00B82EDA" w:rsidP="00822E37">
      <w:pPr>
        <w:pStyle w:val="ListBullet"/>
        <w:numPr>
          <w:ilvl w:val="0"/>
          <w:numId w:val="11"/>
        </w:numPr>
        <w:spacing w:line="240" w:lineRule="auto"/>
      </w:pPr>
      <w:r>
        <w:t>maximise, by ensuring the efficient allocation and use of the spectrum, the overall public benefit derived from using the radiofrequency spectrum</w:t>
      </w:r>
    </w:p>
    <w:p w14:paraId="4CAA1E89" w14:textId="77777777" w:rsidR="00B82EDA" w:rsidRDefault="00B82EDA" w:rsidP="00822E37">
      <w:pPr>
        <w:pStyle w:val="ListBullet"/>
        <w:numPr>
          <w:ilvl w:val="0"/>
          <w:numId w:val="11"/>
        </w:numPr>
        <w:spacing w:line="240" w:lineRule="auto"/>
      </w:pPr>
      <w:r>
        <w:t>provide a responsive and flexible approach to meeting the needs of users of the spectrum</w:t>
      </w:r>
    </w:p>
    <w:p w14:paraId="670ED44B" w14:textId="3B016890" w:rsidR="00F5331A" w:rsidRDefault="00B82EDA" w:rsidP="002C388E">
      <w:pPr>
        <w:pStyle w:val="ListBulletLast"/>
        <w:numPr>
          <w:ilvl w:val="0"/>
          <w:numId w:val="11"/>
        </w:numPr>
        <w:spacing w:after="120" w:line="240" w:lineRule="auto"/>
      </w:pPr>
      <w:r>
        <w:t>encourage the use of efficient radiocommunication technologies so that a wide range of services of an adequate quality can be provided</w:t>
      </w:r>
    </w:p>
    <w:p w14:paraId="2BA0EF30" w14:textId="4B81B624" w:rsidR="002C388E" w:rsidRPr="00A37173" w:rsidRDefault="002C388E" w:rsidP="003C5923">
      <w:pPr>
        <w:pStyle w:val="ListBulletLast"/>
        <w:numPr>
          <w:ilvl w:val="0"/>
          <w:numId w:val="11"/>
        </w:numPr>
        <w:spacing w:after="120" w:line="240" w:lineRule="auto"/>
      </w:pPr>
      <w:r w:rsidRPr="00A37173">
        <w:t>support</w:t>
      </w:r>
      <w:r w:rsidR="00F5331A">
        <w:t xml:space="preserve"> </w:t>
      </w:r>
      <w:r w:rsidRPr="00A37173">
        <w:t xml:space="preserve">the communications policy objectives of the </w:t>
      </w:r>
      <w:r w:rsidR="00F5331A">
        <w:t>Australian</w:t>
      </w:r>
      <w:r w:rsidR="00F5331A" w:rsidRPr="00A37173">
        <w:t xml:space="preserve"> </w:t>
      </w:r>
      <w:r w:rsidRPr="00A37173">
        <w:t>Government.</w:t>
      </w:r>
    </w:p>
    <w:p w14:paraId="1FD78F4B" w14:textId="7BA21BE5" w:rsidR="002C388E" w:rsidRDefault="002C388E" w:rsidP="002C388E">
      <w:pPr>
        <w:pStyle w:val="ListBullet"/>
        <w:spacing w:before="240" w:after="240"/>
      </w:pPr>
      <w:r w:rsidRPr="00A37173">
        <w:t xml:space="preserve">The </w:t>
      </w:r>
      <w:r w:rsidR="00122289">
        <w:t>planning options</w:t>
      </w:r>
      <w:r w:rsidRPr="00A37173">
        <w:t xml:space="preserve"> set out in this paper are consistent with these goals. Specifically, regarding the latter goal, </w:t>
      </w:r>
      <w:r>
        <w:t>improving access and use of the 3400</w:t>
      </w:r>
      <w:r w:rsidR="00FE0707">
        <w:t>–</w:t>
      </w:r>
      <w:r>
        <w:t>3575 MHz</w:t>
      </w:r>
      <w:r w:rsidRPr="00A37173">
        <w:t xml:space="preserve"> band </w:t>
      </w:r>
      <w:r>
        <w:t xml:space="preserve">for wireless broadband services </w:t>
      </w:r>
      <w:r w:rsidR="00AE310C">
        <w:t>aligns</w:t>
      </w:r>
      <w:r w:rsidRPr="00A37173">
        <w:t xml:space="preserve"> with a number of key policy objectives, </w:t>
      </w:r>
      <w:r w:rsidR="00AE310C">
        <w:t>including</w:t>
      </w:r>
      <w:r>
        <w:t>;</w:t>
      </w:r>
      <w:r w:rsidRPr="00A37173">
        <w:t xml:space="preserve"> </w:t>
      </w:r>
      <w:bookmarkStart w:id="28" w:name="_Hlk4497305"/>
      <w:bookmarkStart w:id="29" w:name="_Hlk5111156"/>
      <w:r w:rsidRPr="00A37173">
        <w:t>promoting sharing</w:t>
      </w:r>
      <w:r w:rsidR="00DF06A8">
        <w:t xml:space="preserve"> </w:t>
      </w:r>
      <w:r w:rsidR="00D90106">
        <w:t xml:space="preserve">and enabling trading </w:t>
      </w:r>
      <w:r w:rsidR="00DF06A8">
        <w:t>of spectrum</w:t>
      </w:r>
      <w:r w:rsidRPr="00A37173">
        <w:t>, enhancing delivery of fast broadband services, promoting the efficient use of spectrum through optimising its use, and fostering competitive telecommunications markets by providing alternative delivery mechanisms for ultra-fast broadband</w:t>
      </w:r>
      <w:bookmarkEnd w:id="28"/>
      <w:r w:rsidRPr="00A37173">
        <w:t>.</w:t>
      </w:r>
    </w:p>
    <w:p w14:paraId="16B55999" w14:textId="77777777" w:rsidR="00B82EDA" w:rsidRDefault="00B82EDA" w:rsidP="00B82EDA">
      <w:pPr>
        <w:pStyle w:val="Heading3"/>
      </w:pPr>
      <w:bookmarkStart w:id="30" w:name="_Ref517344978"/>
      <w:bookmarkStart w:id="31" w:name="_Toc6923097"/>
      <w:bookmarkEnd w:id="29"/>
      <w:r>
        <w:t>Principles for spectrum management</w:t>
      </w:r>
      <w:bookmarkEnd w:id="30"/>
      <w:bookmarkEnd w:id="31"/>
    </w:p>
    <w:p w14:paraId="463AF130" w14:textId="64B40971" w:rsidR="00B82EDA" w:rsidRDefault="00B82EDA" w:rsidP="002C388E">
      <w:pPr>
        <w:rPr>
          <w:rFonts w:cs="Arial"/>
        </w:rPr>
      </w:pPr>
      <w:r>
        <w:rPr>
          <w:rFonts w:cs="Arial"/>
        </w:rPr>
        <w:t>The ACMA is also guided by the</w:t>
      </w:r>
      <w:r w:rsidR="00FE0707">
        <w:rPr>
          <w:rFonts w:cs="Arial"/>
        </w:rPr>
        <w:t xml:space="preserve"> </w:t>
      </w:r>
      <w:hyperlink r:id="rId25" w:history="1">
        <w:r w:rsidR="00FE0707" w:rsidRPr="00FE0707">
          <w:rPr>
            <w:rStyle w:val="Hyperlink"/>
            <w:rFonts w:cs="Arial"/>
          </w:rPr>
          <w:t>Principals for Spectrum Management</w:t>
        </w:r>
      </w:hyperlink>
      <w:r>
        <w:rPr>
          <w:vertAlign w:val="superscript"/>
        </w:rPr>
        <w:footnoteReference w:id="3"/>
      </w:r>
      <w:r>
        <w:rPr>
          <w:rFonts w:cs="Arial"/>
        </w:rPr>
        <w:t xml:space="preserve"> (the Principles), which are:</w:t>
      </w:r>
    </w:p>
    <w:p w14:paraId="5E439787" w14:textId="77777777" w:rsidR="00B82EDA" w:rsidRDefault="00B82EDA" w:rsidP="00822E37">
      <w:pPr>
        <w:pStyle w:val="ListNumber"/>
        <w:numPr>
          <w:ilvl w:val="0"/>
          <w:numId w:val="13"/>
        </w:numPr>
        <w:spacing w:line="240" w:lineRule="auto"/>
      </w:pPr>
      <w:r>
        <w:t>Allocate spectrum to the highest value use (HVU) or uses.</w:t>
      </w:r>
    </w:p>
    <w:p w14:paraId="6218EEC2" w14:textId="77777777" w:rsidR="00B82EDA" w:rsidRDefault="00B82EDA" w:rsidP="00822E37">
      <w:pPr>
        <w:pStyle w:val="ListNumber"/>
        <w:numPr>
          <w:ilvl w:val="0"/>
          <w:numId w:val="13"/>
        </w:numPr>
        <w:spacing w:line="240" w:lineRule="auto"/>
      </w:pPr>
      <w:r>
        <w:t>Enable and encourage spectrum to move to its HVU.</w:t>
      </w:r>
    </w:p>
    <w:p w14:paraId="718C64B6" w14:textId="77777777" w:rsidR="00B82EDA" w:rsidRDefault="00B82EDA" w:rsidP="00822E37">
      <w:pPr>
        <w:pStyle w:val="ListNumber"/>
        <w:numPr>
          <w:ilvl w:val="0"/>
          <w:numId w:val="13"/>
        </w:numPr>
        <w:spacing w:line="240" w:lineRule="auto"/>
      </w:pPr>
      <w:r>
        <w:t>Use the least cost and least restrictive approach to achieving policy objectives.</w:t>
      </w:r>
    </w:p>
    <w:p w14:paraId="32008AF6" w14:textId="77777777" w:rsidR="00B82EDA" w:rsidRDefault="00B82EDA" w:rsidP="00822E37">
      <w:pPr>
        <w:pStyle w:val="ListNumber"/>
        <w:numPr>
          <w:ilvl w:val="0"/>
          <w:numId w:val="13"/>
        </w:numPr>
        <w:spacing w:line="240" w:lineRule="auto"/>
      </w:pPr>
      <w:r>
        <w:t>To the extent possible, promote both certainty and flexibility.</w:t>
      </w:r>
    </w:p>
    <w:p w14:paraId="59DFC81F" w14:textId="406EC176" w:rsidR="00B82EDA" w:rsidRDefault="00B82EDA" w:rsidP="00822E37">
      <w:pPr>
        <w:pStyle w:val="ListNumber"/>
        <w:numPr>
          <w:ilvl w:val="0"/>
          <w:numId w:val="13"/>
        </w:numPr>
        <w:spacing w:after="240" w:line="240" w:lineRule="auto"/>
      </w:pPr>
      <w:r>
        <w:t>Balance the cost of interference and the benefits of greater spectrum utilisation.</w:t>
      </w:r>
    </w:p>
    <w:p w14:paraId="41774A23" w14:textId="77777777" w:rsidR="00905DCB" w:rsidRDefault="00E04E04">
      <w:pPr>
        <w:spacing w:after="0" w:line="240" w:lineRule="auto"/>
        <w:sectPr w:rsidR="00905DCB" w:rsidSect="00ED39AB">
          <w:headerReference w:type="even" r:id="rId26"/>
          <w:headerReference w:type="default" r:id="rId27"/>
          <w:footerReference w:type="even" r:id="rId28"/>
          <w:footerReference w:type="default" r:id="rId29"/>
          <w:pgSz w:w="11906" w:h="16838" w:code="9"/>
          <w:pgMar w:top="993" w:right="3101" w:bottom="1135" w:left="1134" w:header="709" w:footer="119" w:gutter="0"/>
          <w:pgNumType w:start="1"/>
          <w:cols w:space="708"/>
          <w:docGrid w:linePitch="360"/>
        </w:sectPr>
      </w:pPr>
      <w:r>
        <w:br w:type="page"/>
      </w:r>
    </w:p>
    <w:p w14:paraId="3BB463C6" w14:textId="39FB2C75" w:rsidR="00CC1789" w:rsidRDefault="00CC1789" w:rsidP="006C4214">
      <w:pPr>
        <w:pStyle w:val="ACMAFigureHeader"/>
        <w:tabs>
          <w:tab w:val="clear" w:pos="1021"/>
          <w:tab w:val="num" w:pos="0"/>
        </w:tabs>
        <w:ind w:left="0" w:firstLine="0"/>
      </w:pPr>
      <w:r w:rsidRPr="00FF449E">
        <w:lastRenderedPageBreak/>
        <w:t xml:space="preserve">Spectrum </w:t>
      </w:r>
      <w:r w:rsidRPr="00301163">
        <w:t>management decision framework</w:t>
      </w:r>
      <w:r w:rsidR="00904768" w:rsidRPr="0018778A">
        <w:rPr>
          <w:noProof/>
        </w:rPr>
        <w:drawing>
          <wp:inline distT="0" distB="0" distL="0" distR="0" wp14:anchorId="0116E54B" wp14:editId="5AAB2242">
            <wp:extent cx="8651942" cy="4902200"/>
            <wp:effectExtent l="0" t="0" r="0" b="0"/>
            <wp:docPr id="3" name="Picture 3" descr="Spectrum management decision framewo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rotWithShape="1">
                    <a:blip r:embed="rId30">
                      <a:extLst>
                        <a:ext uri="{28A0092B-C50C-407E-A947-70E740481C1C}">
                          <a14:useLocalDpi xmlns:a14="http://schemas.microsoft.com/office/drawing/2010/main" val="0"/>
                        </a:ext>
                      </a:extLst>
                    </a:blip>
                    <a:srcRect l="8746" t="6660" r="7675"/>
                    <a:stretch/>
                  </pic:blipFill>
                  <pic:spPr bwMode="auto">
                    <a:xfrm>
                      <a:off x="0" y="0"/>
                      <a:ext cx="8651942" cy="4902200"/>
                    </a:xfrm>
                    <a:prstGeom prst="rect">
                      <a:avLst/>
                    </a:prstGeom>
                    <a:noFill/>
                    <a:ln>
                      <a:noFill/>
                    </a:ln>
                    <a:extLst>
                      <a:ext uri="{53640926-AAD7-44D8-BBD7-CCE9431645EC}">
                        <a14:shadowObscured xmlns:a14="http://schemas.microsoft.com/office/drawing/2010/main"/>
                      </a:ext>
                    </a:extLst>
                  </pic:spPr>
                </pic:pic>
              </a:graphicData>
            </a:graphic>
          </wp:inline>
        </w:drawing>
      </w:r>
    </w:p>
    <w:p w14:paraId="625C05B5" w14:textId="4E1A108F" w:rsidR="00B82EDA" w:rsidRDefault="00B82EDA" w:rsidP="00CC1789">
      <w:r>
        <w:t xml:space="preserve">Figure </w:t>
      </w:r>
      <w:r w:rsidR="00CE1CCC">
        <w:t>1</w:t>
      </w:r>
      <w:r>
        <w:t xml:space="preserve"> describes the ACMA’s general approach to spectrum management decision-making. </w:t>
      </w:r>
    </w:p>
    <w:p w14:paraId="1CC08080" w14:textId="77777777" w:rsidR="00905DCB" w:rsidRDefault="00905DCB" w:rsidP="00CC1789">
      <w:pPr>
        <w:sectPr w:rsidR="00905DCB" w:rsidSect="006C4214">
          <w:pgSz w:w="16838" w:h="11906" w:orient="landscape" w:code="9"/>
          <w:pgMar w:top="1418" w:right="993" w:bottom="1560" w:left="1135" w:header="709" w:footer="119" w:gutter="0"/>
          <w:cols w:space="708"/>
          <w:docGrid w:linePitch="360"/>
        </w:sectPr>
      </w:pPr>
    </w:p>
    <w:p w14:paraId="7F53CA4A" w14:textId="77777777" w:rsidR="00B82EDA" w:rsidRDefault="00B82EDA" w:rsidP="00B82EDA">
      <w:pPr>
        <w:pStyle w:val="Heading3"/>
      </w:pPr>
      <w:bookmarkStart w:id="32" w:name="_Ref517340300"/>
      <w:bookmarkStart w:id="33" w:name="_Toc468705312"/>
      <w:bookmarkStart w:id="34" w:name="_Toc468438957"/>
      <w:bookmarkStart w:id="35" w:name="_Toc466017062"/>
      <w:bookmarkStart w:id="36" w:name="_Toc6923098"/>
      <w:r>
        <w:lastRenderedPageBreak/>
        <w:t>Existing licensing regimes</w:t>
      </w:r>
      <w:bookmarkEnd w:id="32"/>
      <w:bookmarkEnd w:id="33"/>
      <w:bookmarkEnd w:id="34"/>
      <w:bookmarkEnd w:id="35"/>
      <w:bookmarkEnd w:id="36"/>
    </w:p>
    <w:p w14:paraId="4C847B68" w14:textId="1A82755A" w:rsidR="00B82EDA" w:rsidRDefault="00B82EDA" w:rsidP="00640272">
      <w:r>
        <w:t xml:space="preserve">There are three licence types available to authorise access to spectrum—spectrum, apparatus and class licences. </w:t>
      </w:r>
    </w:p>
    <w:p w14:paraId="117F2ECF" w14:textId="168DB486" w:rsidR="00B82EDA" w:rsidRDefault="00B82EDA" w:rsidP="00640272">
      <w:r>
        <w:t>An apparatus licence authorises the use of a radiocommunications device (or group of devices) operating under a particular radiocommunications service type</w:t>
      </w:r>
      <w:r w:rsidR="00CE1CCC">
        <w:t xml:space="preserve">. Authorisation can be for a particular location </w:t>
      </w:r>
      <w:r w:rsidR="00CE1CCC" w:rsidRPr="00CC1789">
        <w:t>(site-based licence</w:t>
      </w:r>
      <w:r w:rsidR="00E50547" w:rsidRPr="00CC1789">
        <w:t>)</w:t>
      </w:r>
      <w:r w:rsidR="00CE1CCC" w:rsidRPr="00CC1789">
        <w:t xml:space="preserve"> or for a defined area (area-wide licence)</w:t>
      </w:r>
      <w:r w:rsidRPr="00CC1789">
        <w:t xml:space="preserve">, </w:t>
      </w:r>
      <w:r w:rsidR="00E04E04">
        <w:t xml:space="preserve">across </w:t>
      </w:r>
      <w:r w:rsidRPr="00CC1789">
        <w:t>a particular frequency range</w:t>
      </w:r>
      <w:r>
        <w:t xml:space="preserve"> for a period of up to five years. </w:t>
      </w:r>
      <w:r w:rsidR="00E50547">
        <w:t>Site</w:t>
      </w:r>
      <w:r w:rsidR="0013619C">
        <w:t>-</w:t>
      </w:r>
      <w:r w:rsidR="00E50547">
        <w:t>based a</w:t>
      </w:r>
      <w:r w:rsidR="00CE1CCC">
        <w:t xml:space="preserve">pparatus licences are </w:t>
      </w:r>
      <w:r>
        <w:t xml:space="preserve">typically issued </w:t>
      </w:r>
      <w:r w:rsidR="00CE1CCC">
        <w:t xml:space="preserve">on a first-in-time basis </w:t>
      </w:r>
      <w:r>
        <w:t>‘over-the-counter’ in accordance with coordination rules developed by the ACMA.</w:t>
      </w:r>
      <w:r w:rsidR="00E50547">
        <w:t xml:space="preserve"> For an area-based apparatus licence, the licensee typically has sole or primary access to a defined frequency and area for the deployment of services. Service</w:t>
      </w:r>
      <w:r w:rsidR="0013619C">
        <w:t>s</w:t>
      </w:r>
      <w:r w:rsidR="00E50547">
        <w:t xml:space="preserve"> deployed under an area-based licence still need to coordinate with other services, though this is often limited to services in adjacent bands and areas.</w:t>
      </w:r>
    </w:p>
    <w:p w14:paraId="57336F80" w14:textId="55534302" w:rsidR="00B82EDA" w:rsidRDefault="00B82EDA" w:rsidP="00640272">
      <w:r>
        <w:t>A spectrum licence authorises the use of a particular frequency band within a particular geographic area for a period of up to 15 years. The geographic area can vary in size</w:t>
      </w:r>
      <w:r w:rsidR="00D073E4">
        <w:t xml:space="preserve"> up to Australia-wide</w:t>
      </w:r>
      <w:r>
        <w:t xml:space="preserve">. Spectrum licences have historically been utilised </w:t>
      </w:r>
      <w:r w:rsidR="00CE1CCC">
        <w:t xml:space="preserve">to facilitate the rollout of wide-area </w:t>
      </w:r>
      <w:r w:rsidR="00D82563">
        <w:t>wireless broadband</w:t>
      </w:r>
      <w:r w:rsidR="00CE1CCC">
        <w:t xml:space="preserve"> networks</w:t>
      </w:r>
      <w:r>
        <w:t xml:space="preserve">. </w:t>
      </w:r>
    </w:p>
    <w:p w14:paraId="6B495318" w14:textId="164616BB" w:rsidR="00B82EDA" w:rsidRDefault="00B82EDA" w:rsidP="00640272">
      <w:r>
        <w:t xml:space="preserve">An inherent feature of spectrum licensing is technological flexibility—that is, the licensing rules, while usually optimised for an expected technology, generally specify only generic technical </w:t>
      </w:r>
      <w:r w:rsidR="00922D07">
        <w:t xml:space="preserve">details </w:t>
      </w:r>
      <w:r>
        <w:t>and limitations</w:t>
      </w:r>
      <w:r>
        <w:rPr>
          <w:vertAlign w:val="superscript"/>
        </w:rPr>
        <w:footnoteReference w:id="4"/>
      </w:r>
      <w:r>
        <w:t xml:space="preserve">, while not expressly mandating a particular type of technology or service. This allows a licensee to deploy any technology as long as it complies with the terms and conditions of the licence, without intervention from the regulator. It is up to the licensee to manage interference between </w:t>
      </w:r>
      <w:r w:rsidR="00DF06A8">
        <w:t xml:space="preserve">radiocommunications </w:t>
      </w:r>
      <w:r>
        <w:t xml:space="preserve">devices, although </w:t>
      </w:r>
      <w:r w:rsidR="00D073E4">
        <w:t xml:space="preserve">this can be mitigated by </w:t>
      </w:r>
      <w:r>
        <w:t>the adoption of international standards. Spectrum licences are</w:t>
      </w:r>
      <w:r w:rsidR="00D073E4">
        <w:t xml:space="preserve"> also</w:t>
      </w:r>
      <w:r>
        <w:t xml:space="preserve"> more conducive to spectrum trading than apparatus licences, </w:t>
      </w:r>
      <w:r w:rsidR="00D073E4">
        <w:t>due to their longer and more certain tenure, ability to be sub-divided and technological flexibility.</w:t>
      </w:r>
    </w:p>
    <w:p w14:paraId="7705B880" w14:textId="2C7F91D7" w:rsidR="00B82EDA" w:rsidRDefault="00B82EDA" w:rsidP="00B82EDA">
      <w:r>
        <w:t>Class licences are a standing authorisation to use spectrum without the need to apply to the ACMA for access, so long as the conditions of th</w:t>
      </w:r>
      <w:r w:rsidR="00D073E4">
        <w:t xml:space="preserve">e class </w:t>
      </w:r>
      <w:r>
        <w:t xml:space="preserve">licence are met. These conditions can be technical, geographic and/or pertain to the type of use or class of user. </w:t>
      </w:r>
    </w:p>
    <w:p w14:paraId="0C64E8B3" w14:textId="763E84C1" w:rsidR="00D95E09" w:rsidRDefault="00D95E09" w:rsidP="00B82EDA">
      <w:r>
        <w:t>All three forms of licensing are currently used in the 3400</w:t>
      </w:r>
      <w:r w:rsidR="0013619C">
        <w:t>–</w:t>
      </w:r>
      <w:r>
        <w:t>3575 MHz band.</w:t>
      </w:r>
    </w:p>
    <w:p w14:paraId="363EDBC9" w14:textId="64DBE33F" w:rsidR="00A702C4" w:rsidRPr="00A05EC9" w:rsidRDefault="00A702C4" w:rsidP="00A702C4">
      <w:pPr>
        <w:pStyle w:val="Heading2"/>
        <w:keepLines/>
      </w:pPr>
      <w:bookmarkStart w:id="37" w:name="_Toc458175603"/>
      <w:bookmarkStart w:id="38" w:name="_Toc459906710"/>
      <w:bookmarkStart w:id="39" w:name="_Toc464480504"/>
      <w:bookmarkStart w:id="40" w:name="_Toc482886574"/>
      <w:bookmarkStart w:id="41" w:name="_Toc482886616"/>
      <w:bookmarkStart w:id="42" w:name="_Toc482888957"/>
      <w:bookmarkStart w:id="43" w:name="_Toc482891228"/>
      <w:bookmarkStart w:id="44" w:name="_Toc482891295"/>
      <w:bookmarkStart w:id="45" w:name="_Toc482956503"/>
      <w:bookmarkStart w:id="46" w:name="_Toc484011475"/>
      <w:bookmarkStart w:id="47" w:name="_Toc484511691"/>
      <w:bookmarkStart w:id="48" w:name="_Toc519765106"/>
      <w:bookmarkStart w:id="49" w:name="_Toc521585772"/>
      <w:bookmarkStart w:id="50" w:name="_Toc4512520"/>
      <w:bookmarkStart w:id="51" w:name="_Toc6923099"/>
      <w:r w:rsidRPr="00A05EC9">
        <w:t xml:space="preserve">Issues </w:t>
      </w:r>
      <w:r w:rsidR="00D073E4">
        <w:t xml:space="preserve">outside </w:t>
      </w:r>
      <w:r w:rsidRPr="00A05EC9">
        <w:t>the scope</w:t>
      </w:r>
      <w:bookmarkEnd w:id="37"/>
      <w:bookmarkEnd w:id="38"/>
      <w:bookmarkEnd w:id="39"/>
      <w:bookmarkEnd w:id="40"/>
      <w:bookmarkEnd w:id="41"/>
      <w:bookmarkEnd w:id="42"/>
      <w:bookmarkEnd w:id="43"/>
      <w:bookmarkEnd w:id="44"/>
      <w:bookmarkEnd w:id="45"/>
      <w:bookmarkEnd w:id="46"/>
      <w:bookmarkEnd w:id="47"/>
      <w:r w:rsidRPr="00A05EC9">
        <w:t xml:space="preserve"> of this paper</w:t>
      </w:r>
      <w:bookmarkEnd w:id="48"/>
      <w:bookmarkEnd w:id="49"/>
      <w:bookmarkEnd w:id="50"/>
      <w:bookmarkEnd w:id="51"/>
    </w:p>
    <w:p w14:paraId="24826E16" w14:textId="611E3B7B" w:rsidR="00A702C4" w:rsidRPr="00A05EC9" w:rsidRDefault="00A702C4" w:rsidP="003C5923">
      <w:pPr>
        <w:keepNext/>
        <w:keepLines/>
      </w:pPr>
      <w:r w:rsidRPr="00A05EC9">
        <w:t>The following issue</w:t>
      </w:r>
      <w:r w:rsidR="00D95E09">
        <w:t xml:space="preserve">s are </w:t>
      </w:r>
      <w:r w:rsidRPr="00A05EC9">
        <w:t xml:space="preserve">not within the scope of </w:t>
      </w:r>
      <w:r w:rsidR="00D95E09">
        <w:t xml:space="preserve">options considered in </w:t>
      </w:r>
      <w:r w:rsidRPr="00A05EC9">
        <w:t>this paper:</w:t>
      </w:r>
    </w:p>
    <w:p w14:paraId="1B63D566" w14:textId="78B79F95" w:rsidR="006B4688" w:rsidRPr="00A05EC9" w:rsidRDefault="006B4688" w:rsidP="003C5923">
      <w:pPr>
        <w:pStyle w:val="Heading3"/>
      </w:pPr>
      <w:bookmarkStart w:id="52" w:name="_Toc6923100"/>
      <w:r>
        <w:t xml:space="preserve">Re-allocation and </w:t>
      </w:r>
      <w:r w:rsidR="0036743F">
        <w:t>d</w:t>
      </w:r>
      <w:r>
        <w:t>esignation of spectrum process</w:t>
      </w:r>
      <w:bookmarkEnd w:id="52"/>
    </w:p>
    <w:p w14:paraId="5FFE652C" w14:textId="5777E8EE" w:rsidR="006B4688" w:rsidRPr="00A05EC9" w:rsidRDefault="006B4688" w:rsidP="00640272">
      <w:pPr>
        <w:spacing w:after="120"/>
      </w:pPr>
      <w:r>
        <w:t>Work associated with the re-allocation or designation of spectrum for the issue of spectrum licences</w:t>
      </w:r>
      <w:r w:rsidR="0036743F">
        <w:t xml:space="preserve"> (including consulting on and making a recommendation to the </w:t>
      </w:r>
      <w:r w:rsidR="0013619C">
        <w:t>m</w:t>
      </w:r>
      <w:r w:rsidR="0036743F">
        <w:t>inister and development of marketing or conversion plans)</w:t>
      </w:r>
      <w:r>
        <w:t xml:space="preserve">, while discussed in this paper, would be conducted under </w:t>
      </w:r>
      <w:r w:rsidR="0036743F">
        <w:t xml:space="preserve">a </w:t>
      </w:r>
      <w:r>
        <w:t>separate and subsequent process</w:t>
      </w:r>
      <w:r w:rsidR="0036743F">
        <w:t>, if required, once</w:t>
      </w:r>
      <w:r w:rsidRPr="00A05EC9">
        <w:t xml:space="preserve"> </w:t>
      </w:r>
      <w:r>
        <w:t>a</w:t>
      </w:r>
      <w:r w:rsidRPr="00A05EC9">
        <w:t xml:space="preserve"> suitable planning </w:t>
      </w:r>
      <w:r>
        <w:t xml:space="preserve">option for the band </w:t>
      </w:r>
      <w:r w:rsidRPr="00A05EC9">
        <w:t>is determined.</w:t>
      </w:r>
    </w:p>
    <w:p w14:paraId="3AC60115" w14:textId="459BDF07" w:rsidR="00A702C4" w:rsidRPr="00A05EC9" w:rsidRDefault="00A702C4" w:rsidP="003C5923">
      <w:pPr>
        <w:pStyle w:val="Heading3"/>
      </w:pPr>
      <w:bookmarkStart w:id="53" w:name="_Toc6923101"/>
      <w:r>
        <w:t>Apparatus tax arrangements</w:t>
      </w:r>
      <w:bookmarkEnd w:id="53"/>
    </w:p>
    <w:p w14:paraId="5A69399F" w14:textId="7EA5CAA3" w:rsidR="00A702C4" w:rsidRPr="00EC65B3" w:rsidRDefault="00A702C4" w:rsidP="002C388E">
      <w:r>
        <w:t xml:space="preserve">A review of the apparatus licence tax arrangements is not within scope of this paper. The ACMA is </w:t>
      </w:r>
      <w:r w:rsidRPr="00015152">
        <w:t xml:space="preserve">seeking feedback from industry on its general review of apparatus licence taxes as part of </w:t>
      </w:r>
      <w:r>
        <w:t>the</w:t>
      </w:r>
      <w:r w:rsidRPr="00015152">
        <w:t xml:space="preserve"> consultation on its annual work program, the </w:t>
      </w:r>
      <w:hyperlink r:id="rId31" w:history="1">
        <w:r w:rsidRPr="00D019E8">
          <w:rPr>
            <w:rStyle w:val="Hyperlink"/>
          </w:rPr>
          <w:t>F</w:t>
        </w:r>
        <w:r w:rsidR="0013619C">
          <w:rPr>
            <w:rStyle w:val="Hyperlink"/>
          </w:rPr>
          <w:t>ive-year spectrum outlook (FY</w:t>
        </w:r>
        <w:r w:rsidRPr="00D019E8">
          <w:rPr>
            <w:rStyle w:val="Hyperlink"/>
          </w:rPr>
          <w:t>S</w:t>
        </w:r>
        <w:r w:rsidR="0013619C">
          <w:rPr>
            <w:rStyle w:val="Hyperlink"/>
          </w:rPr>
          <w:t>O)</w:t>
        </w:r>
      </w:hyperlink>
      <w:r w:rsidRPr="00015152">
        <w:t>.</w:t>
      </w:r>
      <w:r>
        <w:t xml:space="preserve"> Interested parties </w:t>
      </w:r>
      <w:r w:rsidRPr="00EC65B3">
        <w:t xml:space="preserve">are invited to provide any views as part of this process.   </w:t>
      </w:r>
    </w:p>
    <w:p w14:paraId="687D753B" w14:textId="10DB889B" w:rsidR="00B82EDA" w:rsidRPr="00EC65B3" w:rsidRDefault="008707B3" w:rsidP="00640272">
      <w:pPr>
        <w:pStyle w:val="Heading2"/>
        <w:spacing w:after="120"/>
      </w:pPr>
      <w:bookmarkStart w:id="54" w:name="_Toc6923102"/>
      <w:bookmarkStart w:id="55" w:name="_Toc513143735"/>
      <w:bookmarkEnd w:id="25"/>
      <w:bookmarkEnd w:id="26"/>
      <w:r w:rsidRPr="00EC65B3">
        <w:lastRenderedPageBreak/>
        <w:t>Next steps</w:t>
      </w:r>
      <w:bookmarkEnd w:id="54"/>
      <w:r w:rsidR="00B82EDA" w:rsidRPr="00EC65B3">
        <w:t xml:space="preserve"> </w:t>
      </w:r>
      <w:bookmarkEnd w:id="55"/>
    </w:p>
    <w:p w14:paraId="2A820375" w14:textId="6BFF68F7" w:rsidR="00795D2E" w:rsidRPr="00EC65B3" w:rsidRDefault="00795D2E" w:rsidP="00795D2E">
      <w:pPr>
        <w:spacing w:after="120"/>
      </w:pPr>
      <w:r w:rsidRPr="00EC65B3">
        <w:t xml:space="preserve">Table 1 provides a notional timeline for the </w:t>
      </w:r>
      <w:r w:rsidR="006341E9" w:rsidRPr="00EC65B3">
        <w:t xml:space="preserve">next steps of the </w:t>
      </w:r>
      <w:r w:rsidRPr="00EC65B3">
        <w:t>optimisation of arrangements in the 3400</w:t>
      </w:r>
      <w:r w:rsidR="0013619C">
        <w:t>–</w:t>
      </w:r>
      <w:r w:rsidRPr="00EC65B3">
        <w:t>3575 MHz process.</w:t>
      </w:r>
      <w:r w:rsidR="002C388E" w:rsidRPr="00EC65B3">
        <w:t xml:space="preserve"> A more detailed timeline will be </w:t>
      </w:r>
      <w:r w:rsidR="006341E9" w:rsidRPr="00EC65B3">
        <w:t>developed</w:t>
      </w:r>
      <w:r w:rsidR="002C388E" w:rsidRPr="00EC65B3">
        <w:t xml:space="preserve"> once </w:t>
      </w:r>
      <w:r w:rsidR="00332C99" w:rsidRPr="00EC65B3">
        <w:t>a way forward in the band has been identified</w:t>
      </w:r>
      <w:r w:rsidR="00EE61C2" w:rsidRPr="00EC65B3">
        <w:t>, following consultation</w:t>
      </w:r>
      <w:r w:rsidR="0013619C">
        <w:t xml:space="preserve">. </w:t>
      </w:r>
    </w:p>
    <w:p w14:paraId="58CB6483" w14:textId="4D9B7D2E" w:rsidR="00795D2E" w:rsidRPr="00EC65B3" w:rsidRDefault="00795D2E" w:rsidP="00795D2E">
      <w:r w:rsidRPr="00EC65B3">
        <w:t xml:space="preserve">   </w:t>
      </w:r>
    </w:p>
    <w:p w14:paraId="0DDBDA99" w14:textId="406AAC2A" w:rsidR="00795D2E" w:rsidRPr="00EC65B3" w:rsidRDefault="00795D2E" w:rsidP="00795D2E">
      <w:pPr>
        <w:pStyle w:val="ACMATableHeader"/>
        <w:numPr>
          <w:ilvl w:val="0"/>
          <w:numId w:val="26"/>
        </w:numPr>
      </w:pPr>
      <w:r w:rsidRPr="00EC65B3">
        <w:t>Indicative timeline for 3400</w:t>
      </w:r>
      <w:r w:rsidR="0013619C">
        <w:t>–</w:t>
      </w:r>
      <w:r w:rsidRPr="00EC65B3">
        <w:t>3575 MHz band review process</w:t>
      </w:r>
    </w:p>
    <w:tbl>
      <w:tblPr>
        <w:tblStyle w:val="TableGrid"/>
        <w:tblW w:w="5681" w:type="dxa"/>
        <w:jc w:val="center"/>
        <w:tblLayout w:type="fixed"/>
        <w:tblCellMar>
          <w:top w:w="57" w:type="dxa"/>
          <w:left w:w="57" w:type="dxa"/>
          <w:bottom w:w="57" w:type="dxa"/>
          <w:right w:w="57" w:type="dxa"/>
        </w:tblCellMar>
        <w:tblLook w:val="04A0" w:firstRow="1" w:lastRow="0" w:firstColumn="1" w:lastColumn="0" w:noHBand="0" w:noVBand="1"/>
        <w:tblCaption w:val="Indicative timeline for the progression of one band through the process for consideration of additional spectrum for mobile borabdand services"/>
        <w:tblDescription w:val="includes stage, milestones and indicative timings."/>
      </w:tblPr>
      <w:tblGrid>
        <w:gridCol w:w="4270"/>
        <w:gridCol w:w="1411"/>
      </w:tblGrid>
      <w:tr w:rsidR="00795D2E" w:rsidRPr="00EC65B3" w14:paraId="319B437C" w14:textId="77777777" w:rsidTr="0086408B">
        <w:trPr>
          <w:trHeight w:val="86"/>
          <w:tblHeader/>
          <w:jc w:val="center"/>
        </w:trPr>
        <w:tc>
          <w:tcPr>
            <w:tcW w:w="4270"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179C41F4" w14:textId="77777777" w:rsidR="00795D2E" w:rsidRPr="00EC65B3" w:rsidRDefault="00795D2E" w:rsidP="00904768">
            <w:pPr>
              <w:pStyle w:val="TableHeading"/>
              <w:rPr>
                <w:color w:val="FFFFFF" w:themeColor="background1"/>
              </w:rPr>
            </w:pPr>
            <w:r w:rsidRPr="00EC65B3">
              <w:rPr>
                <w:color w:val="FFFFFF" w:themeColor="background1"/>
              </w:rPr>
              <w:t>Milestone</w:t>
            </w:r>
          </w:p>
        </w:tc>
        <w:tc>
          <w:tcPr>
            <w:tcW w:w="1411" w:type="dxa"/>
            <w:tcBorders>
              <w:top w:val="single" w:sz="4" w:space="0" w:color="auto"/>
              <w:left w:val="single" w:sz="4" w:space="0" w:color="auto"/>
              <w:bottom w:val="single" w:sz="4" w:space="0" w:color="auto"/>
              <w:right w:val="single" w:sz="4" w:space="0" w:color="auto"/>
            </w:tcBorders>
            <w:shd w:val="clear" w:color="auto" w:fill="404040" w:themeFill="text1" w:themeFillTint="BF"/>
            <w:hideMark/>
          </w:tcPr>
          <w:p w14:paraId="609AE6F6" w14:textId="77777777" w:rsidR="00795D2E" w:rsidRPr="00EC65B3" w:rsidRDefault="00795D2E" w:rsidP="00904768">
            <w:pPr>
              <w:pStyle w:val="TableHeading"/>
              <w:rPr>
                <w:color w:val="FFFFFF" w:themeColor="background1"/>
              </w:rPr>
            </w:pPr>
            <w:r w:rsidRPr="00EC65B3">
              <w:rPr>
                <w:color w:val="FFFFFF" w:themeColor="background1"/>
              </w:rPr>
              <w:t>Date</w:t>
            </w:r>
          </w:p>
        </w:tc>
      </w:tr>
      <w:tr w:rsidR="00795D2E" w:rsidRPr="00EC65B3" w14:paraId="399CC87B" w14:textId="77777777" w:rsidTr="0086408B">
        <w:trPr>
          <w:jc w:val="center"/>
        </w:trPr>
        <w:tc>
          <w:tcPr>
            <w:tcW w:w="427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2E0D8101" w14:textId="575B9867" w:rsidR="00795D2E" w:rsidRPr="00EC65B3" w:rsidRDefault="00795D2E" w:rsidP="00904768">
            <w:pPr>
              <w:spacing w:after="0"/>
              <w:rPr>
                <w:rFonts w:cs="Arial"/>
                <w:sz w:val="18"/>
                <w:szCs w:val="18"/>
              </w:rPr>
            </w:pPr>
            <w:r w:rsidRPr="00EC65B3">
              <w:rPr>
                <w:rFonts w:cs="Arial"/>
                <w:sz w:val="18"/>
                <w:szCs w:val="18"/>
              </w:rPr>
              <w:t xml:space="preserve">Release: </w:t>
            </w:r>
            <w:r w:rsidR="00E04E04" w:rsidRPr="00EC65B3">
              <w:rPr>
                <w:rFonts w:cs="Arial"/>
                <w:i/>
                <w:sz w:val="18"/>
                <w:szCs w:val="18"/>
              </w:rPr>
              <w:t xml:space="preserve">Optimising </w:t>
            </w:r>
            <w:r w:rsidR="00332C99" w:rsidRPr="00EC65B3">
              <w:rPr>
                <w:rFonts w:cs="Arial"/>
                <w:i/>
                <w:sz w:val="18"/>
                <w:szCs w:val="18"/>
              </w:rPr>
              <w:t>arrangements in</w:t>
            </w:r>
            <w:r w:rsidR="00E04E04" w:rsidRPr="00EC65B3">
              <w:rPr>
                <w:rFonts w:cs="Arial"/>
                <w:i/>
                <w:sz w:val="18"/>
                <w:szCs w:val="18"/>
              </w:rPr>
              <w:t xml:space="preserve"> the 3400</w:t>
            </w:r>
            <w:r w:rsidR="0013619C">
              <w:rPr>
                <w:rFonts w:cs="Arial"/>
                <w:i/>
                <w:sz w:val="18"/>
                <w:szCs w:val="18"/>
              </w:rPr>
              <w:t>–</w:t>
            </w:r>
            <w:r w:rsidR="00E04E04" w:rsidRPr="00EC65B3">
              <w:rPr>
                <w:rFonts w:cs="Arial"/>
                <w:i/>
                <w:sz w:val="18"/>
                <w:szCs w:val="18"/>
              </w:rPr>
              <w:t>3575 MHz band: Options paper</w:t>
            </w:r>
            <w:r w:rsidRPr="00EC65B3">
              <w:rPr>
                <w:rFonts w:cs="Arial"/>
                <w:sz w:val="18"/>
                <w:szCs w:val="18"/>
              </w:rPr>
              <w:t xml:space="preserve"> </w:t>
            </w:r>
          </w:p>
        </w:tc>
        <w:tc>
          <w:tcPr>
            <w:tcW w:w="1411"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71AC8F8" w14:textId="77777777" w:rsidR="00795D2E" w:rsidRPr="00EC65B3" w:rsidRDefault="00795D2E" w:rsidP="00904768">
            <w:pPr>
              <w:spacing w:after="0"/>
              <w:rPr>
                <w:rFonts w:cs="Arial"/>
                <w:sz w:val="18"/>
                <w:szCs w:val="18"/>
              </w:rPr>
            </w:pPr>
            <w:r w:rsidRPr="00EC65B3">
              <w:rPr>
                <w:rFonts w:cs="Arial"/>
                <w:sz w:val="18"/>
                <w:szCs w:val="18"/>
              </w:rPr>
              <w:t>April 2019</w:t>
            </w:r>
          </w:p>
        </w:tc>
      </w:tr>
      <w:tr w:rsidR="00795D2E" w:rsidRPr="00EC65B3" w14:paraId="6D2A5D67" w14:textId="77777777" w:rsidTr="003C5923">
        <w:trPr>
          <w:jc w:val="center"/>
        </w:trPr>
        <w:tc>
          <w:tcPr>
            <w:tcW w:w="4270" w:type="dxa"/>
            <w:tcBorders>
              <w:top w:val="single" w:sz="4" w:space="0" w:color="auto"/>
              <w:left w:val="single" w:sz="4" w:space="0" w:color="auto"/>
              <w:bottom w:val="single" w:sz="4" w:space="0" w:color="auto"/>
              <w:right w:val="single" w:sz="4" w:space="0" w:color="auto"/>
            </w:tcBorders>
            <w:shd w:val="clear" w:color="auto" w:fill="auto"/>
            <w:hideMark/>
          </w:tcPr>
          <w:p w14:paraId="4DE396DE" w14:textId="77777777" w:rsidR="00795D2E" w:rsidRPr="00EC65B3" w:rsidRDefault="00795D2E" w:rsidP="00904768">
            <w:pPr>
              <w:spacing w:after="0"/>
              <w:rPr>
                <w:rFonts w:cs="Arial"/>
                <w:sz w:val="18"/>
                <w:szCs w:val="18"/>
              </w:rPr>
            </w:pPr>
            <w:r w:rsidRPr="00EC65B3">
              <w:rPr>
                <w:rFonts w:cs="Arial"/>
                <w:sz w:val="18"/>
                <w:szCs w:val="18"/>
              </w:rPr>
              <w:t>Submissions due to options paper</w:t>
            </w:r>
          </w:p>
        </w:tc>
        <w:tc>
          <w:tcPr>
            <w:tcW w:w="1411" w:type="dxa"/>
            <w:tcBorders>
              <w:top w:val="single" w:sz="4" w:space="0" w:color="auto"/>
              <w:left w:val="single" w:sz="4" w:space="0" w:color="auto"/>
              <w:bottom w:val="single" w:sz="4" w:space="0" w:color="auto"/>
              <w:right w:val="single" w:sz="4" w:space="0" w:color="auto"/>
            </w:tcBorders>
            <w:shd w:val="clear" w:color="auto" w:fill="auto"/>
            <w:hideMark/>
          </w:tcPr>
          <w:p w14:paraId="2F1FAC86" w14:textId="6FF29CC1" w:rsidR="00795D2E" w:rsidRPr="00EC65B3" w:rsidRDefault="00D9081B" w:rsidP="00904768">
            <w:pPr>
              <w:spacing w:after="0"/>
              <w:rPr>
                <w:rFonts w:cs="Arial"/>
                <w:sz w:val="18"/>
                <w:szCs w:val="18"/>
              </w:rPr>
            </w:pPr>
            <w:r w:rsidRPr="00EC65B3">
              <w:rPr>
                <w:rFonts w:cs="Arial"/>
                <w:sz w:val="18"/>
                <w:szCs w:val="18"/>
              </w:rPr>
              <w:t>2</w:t>
            </w:r>
            <w:r w:rsidR="000B728E" w:rsidRPr="00EC65B3">
              <w:rPr>
                <w:rFonts w:cs="Arial"/>
                <w:sz w:val="18"/>
                <w:szCs w:val="18"/>
              </w:rPr>
              <w:t xml:space="preserve">4 </w:t>
            </w:r>
            <w:r w:rsidR="00795D2E" w:rsidRPr="00EC65B3">
              <w:rPr>
                <w:rFonts w:cs="Arial"/>
                <w:sz w:val="18"/>
                <w:szCs w:val="18"/>
              </w:rPr>
              <w:t>May 2019</w:t>
            </w:r>
          </w:p>
        </w:tc>
      </w:tr>
      <w:tr w:rsidR="00795D2E" w14:paraId="4243F899" w14:textId="77777777" w:rsidTr="0086408B">
        <w:trPr>
          <w:trHeight w:val="604"/>
          <w:jc w:val="center"/>
        </w:trPr>
        <w:tc>
          <w:tcPr>
            <w:tcW w:w="4270" w:type="dxa"/>
            <w:tcBorders>
              <w:top w:val="single" w:sz="4" w:space="0" w:color="auto"/>
              <w:left w:val="single" w:sz="4" w:space="0" w:color="auto"/>
              <w:right w:val="single" w:sz="4" w:space="0" w:color="auto"/>
            </w:tcBorders>
            <w:shd w:val="clear" w:color="auto" w:fill="F2F2F2" w:themeFill="background1" w:themeFillShade="F2"/>
          </w:tcPr>
          <w:p w14:paraId="0CDEFD83" w14:textId="1370332E" w:rsidR="00795D2E" w:rsidRPr="00EC65B3" w:rsidRDefault="00795D2E" w:rsidP="00904768">
            <w:pPr>
              <w:spacing w:after="0"/>
              <w:rPr>
                <w:rFonts w:cs="Arial"/>
                <w:sz w:val="18"/>
                <w:szCs w:val="18"/>
              </w:rPr>
            </w:pPr>
            <w:r w:rsidRPr="00EC65B3">
              <w:rPr>
                <w:rFonts w:cs="Arial"/>
                <w:sz w:val="18"/>
                <w:szCs w:val="18"/>
              </w:rPr>
              <w:t xml:space="preserve">Release: </w:t>
            </w:r>
            <w:r w:rsidR="0013619C">
              <w:rPr>
                <w:rFonts w:cs="Arial"/>
                <w:sz w:val="18"/>
                <w:szCs w:val="18"/>
              </w:rPr>
              <w:t>P</w:t>
            </w:r>
            <w:r w:rsidR="00122289" w:rsidRPr="00EC65B3">
              <w:rPr>
                <w:rFonts w:cs="Arial"/>
                <w:sz w:val="18"/>
                <w:szCs w:val="18"/>
              </w:rPr>
              <w:t xml:space="preserve">lanning </w:t>
            </w:r>
            <w:r w:rsidRPr="00EC65B3">
              <w:rPr>
                <w:rFonts w:cs="Arial"/>
                <w:sz w:val="18"/>
                <w:szCs w:val="18"/>
              </w:rPr>
              <w:t xml:space="preserve">decision and preliminary views paper for </w:t>
            </w:r>
            <w:r w:rsidR="00E04E04" w:rsidRPr="00EC65B3">
              <w:rPr>
                <w:rFonts w:cs="Arial"/>
                <w:sz w:val="18"/>
                <w:szCs w:val="18"/>
              </w:rPr>
              <w:t xml:space="preserve">optimising </w:t>
            </w:r>
            <w:r w:rsidRPr="00EC65B3">
              <w:rPr>
                <w:rFonts w:cs="Arial"/>
                <w:sz w:val="18"/>
                <w:szCs w:val="18"/>
              </w:rPr>
              <w:t>the 3400</w:t>
            </w:r>
            <w:r w:rsidR="0013619C">
              <w:rPr>
                <w:rFonts w:cs="Arial"/>
                <w:sz w:val="18"/>
                <w:szCs w:val="18"/>
              </w:rPr>
              <w:t>–</w:t>
            </w:r>
            <w:r w:rsidRPr="00EC65B3">
              <w:rPr>
                <w:rFonts w:cs="Arial"/>
                <w:sz w:val="18"/>
                <w:szCs w:val="18"/>
              </w:rPr>
              <w:t xml:space="preserve">3575 MHz band </w:t>
            </w:r>
          </w:p>
        </w:tc>
        <w:tc>
          <w:tcPr>
            <w:tcW w:w="1411" w:type="dxa"/>
            <w:tcBorders>
              <w:top w:val="single" w:sz="4" w:space="0" w:color="auto"/>
              <w:left w:val="single" w:sz="4" w:space="0" w:color="auto"/>
              <w:right w:val="single" w:sz="4" w:space="0" w:color="auto"/>
            </w:tcBorders>
            <w:shd w:val="clear" w:color="auto" w:fill="F2F2F2" w:themeFill="background1" w:themeFillShade="F2"/>
          </w:tcPr>
          <w:p w14:paraId="61B04495" w14:textId="71D75B1F" w:rsidR="00795D2E" w:rsidRDefault="00795D2E" w:rsidP="00904768">
            <w:pPr>
              <w:spacing w:after="0"/>
              <w:rPr>
                <w:rFonts w:cs="Arial"/>
                <w:sz w:val="18"/>
                <w:szCs w:val="18"/>
              </w:rPr>
            </w:pPr>
            <w:r w:rsidRPr="00EC65B3">
              <w:rPr>
                <w:rFonts w:cs="Arial"/>
                <w:sz w:val="18"/>
                <w:szCs w:val="18"/>
              </w:rPr>
              <w:t>Mid-2019</w:t>
            </w:r>
          </w:p>
        </w:tc>
      </w:tr>
      <w:tr w:rsidR="00795D2E" w14:paraId="2AB86697" w14:textId="77777777" w:rsidTr="0086408B">
        <w:trPr>
          <w:jc w:val="center"/>
        </w:trPr>
        <w:tc>
          <w:tcPr>
            <w:tcW w:w="4270" w:type="dxa"/>
            <w:tcBorders>
              <w:top w:val="single" w:sz="4" w:space="0" w:color="auto"/>
              <w:left w:val="single" w:sz="4" w:space="0" w:color="auto"/>
              <w:bottom w:val="single" w:sz="4" w:space="0" w:color="auto"/>
              <w:right w:val="single" w:sz="4" w:space="0" w:color="auto"/>
            </w:tcBorders>
            <w:hideMark/>
          </w:tcPr>
          <w:p w14:paraId="07D2C069" w14:textId="1594DF19" w:rsidR="00795D2E" w:rsidRDefault="00795D2E" w:rsidP="00904768">
            <w:pPr>
              <w:spacing w:after="0"/>
              <w:rPr>
                <w:rFonts w:cs="Arial"/>
                <w:sz w:val="18"/>
                <w:szCs w:val="18"/>
              </w:rPr>
            </w:pPr>
            <w:r>
              <w:rPr>
                <w:rFonts w:cs="Arial"/>
                <w:sz w:val="18"/>
                <w:szCs w:val="18"/>
              </w:rPr>
              <w:t xml:space="preserve">Commencement of </w:t>
            </w:r>
            <w:r w:rsidR="00584F5E" w:rsidRPr="0086408B">
              <w:rPr>
                <w:rFonts w:cs="Arial"/>
                <w:sz w:val="18"/>
                <w:szCs w:val="18"/>
              </w:rPr>
              <w:t xml:space="preserve">ACMA </w:t>
            </w:r>
            <w:r w:rsidR="00584F5E">
              <w:rPr>
                <w:rFonts w:cs="Arial"/>
                <w:sz w:val="18"/>
                <w:szCs w:val="18"/>
              </w:rPr>
              <w:t>regulatory</w:t>
            </w:r>
            <w:r w:rsidR="00584F5E" w:rsidRPr="0086408B">
              <w:rPr>
                <w:rFonts w:cs="Arial"/>
                <w:sz w:val="18"/>
                <w:szCs w:val="18"/>
              </w:rPr>
              <w:t xml:space="preserve"> actions </w:t>
            </w:r>
            <w:r w:rsidR="00584F5E">
              <w:rPr>
                <w:rFonts w:cs="Arial"/>
                <w:sz w:val="18"/>
                <w:szCs w:val="18"/>
              </w:rPr>
              <w:t>to support defragmentation</w:t>
            </w:r>
          </w:p>
        </w:tc>
        <w:tc>
          <w:tcPr>
            <w:tcW w:w="1411" w:type="dxa"/>
            <w:tcBorders>
              <w:top w:val="single" w:sz="4" w:space="0" w:color="auto"/>
              <w:left w:val="single" w:sz="4" w:space="0" w:color="auto"/>
              <w:bottom w:val="single" w:sz="4" w:space="0" w:color="auto"/>
              <w:right w:val="single" w:sz="4" w:space="0" w:color="auto"/>
            </w:tcBorders>
            <w:hideMark/>
          </w:tcPr>
          <w:p w14:paraId="3B2C39F6" w14:textId="09E1E46F" w:rsidR="00795D2E" w:rsidRDefault="00795D2E" w:rsidP="00904768">
            <w:pPr>
              <w:spacing w:after="0"/>
              <w:rPr>
                <w:rFonts w:cs="Arial"/>
                <w:sz w:val="18"/>
                <w:szCs w:val="18"/>
                <w:highlight w:val="yellow"/>
              </w:rPr>
            </w:pPr>
            <w:r>
              <w:rPr>
                <w:rFonts w:cs="Arial"/>
                <w:sz w:val="18"/>
                <w:szCs w:val="18"/>
              </w:rPr>
              <w:t>Q3 2019</w:t>
            </w:r>
            <w:r w:rsidR="00584F5E">
              <w:rPr>
                <w:rFonts w:cs="Arial"/>
                <w:sz w:val="18"/>
                <w:szCs w:val="18"/>
              </w:rPr>
              <w:t xml:space="preserve"> onwards</w:t>
            </w:r>
          </w:p>
        </w:tc>
      </w:tr>
    </w:tbl>
    <w:p w14:paraId="073C2C74" w14:textId="77777777" w:rsidR="00795D2E" w:rsidRDefault="00795D2E" w:rsidP="00B82EDA">
      <w:pPr>
        <w:rPr>
          <w:highlight w:val="yellow"/>
        </w:rPr>
      </w:pPr>
    </w:p>
    <w:p w14:paraId="07F274A4" w14:textId="34A68E0E" w:rsidR="00BA04FA" w:rsidRPr="006D46E5" w:rsidRDefault="00BA04FA" w:rsidP="00BA04FA">
      <w:pPr>
        <w:pStyle w:val="Heading1"/>
      </w:pPr>
      <w:bookmarkStart w:id="56" w:name="_Toc6923103"/>
      <w:r>
        <w:lastRenderedPageBreak/>
        <w:t xml:space="preserve">Case for </w:t>
      </w:r>
      <w:r w:rsidR="00E40A8C">
        <w:t>action</w:t>
      </w:r>
      <w:bookmarkEnd w:id="56"/>
      <w:r w:rsidRPr="006D46E5">
        <w:t xml:space="preserve"> </w:t>
      </w:r>
    </w:p>
    <w:p w14:paraId="2F86A5AB" w14:textId="78213A24" w:rsidR="006C565D" w:rsidRPr="00616340" w:rsidRDefault="0087010E" w:rsidP="00E04E04">
      <w:pPr>
        <w:spacing w:after="120"/>
        <w:rPr>
          <w:rFonts w:cs="Arial"/>
        </w:rPr>
      </w:pPr>
      <w:bookmarkStart w:id="57" w:name="_Hlk5778596"/>
      <w:r w:rsidRPr="00616340">
        <w:rPr>
          <w:rFonts w:cs="Arial"/>
        </w:rPr>
        <w:t xml:space="preserve">The </w:t>
      </w:r>
      <w:r w:rsidR="005619B4">
        <w:rPr>
          <w:rFonts w:cs="Arial"/>
        </w:rPr>
        <w:t>3400</w:t>
      </w:r>
      <w:r w:rsidR="0013619C">
        <w:rPr>
          <w:rFonts w:cs="Arial"/>
        </w:rPr>
        <w:t>–</w:t>
      </w:r>
      <w:r w:rsidR="005619B4">
        <w:rPr>
          <w:rFonts w:cs="Arial"/>
        </w:rPr>
        <w:t>3575 MHz</w:t>
      </w:r>
      <w:r w:rsidRPr="00616340">
        <w:rPr>
          <w:rFonts w:cs="Arial"/>
        </w:rPr>
        <w:t xml:space="preserve"> band is subject to a mix of spectrum and apparatus licensing arrangements. These arrangements authorise a variety of services, including </w:t>
      </w:r>
      <w:r w:rsidR="00D82563">
        <w:rPr>
          <w:rFonts w:cs="Arial"/>
        </w:rPr>
        <w:t>wireless broadband</w:t>
      </w:r>
      <w:r w:rsidRPr="00616340">
        <w:rPr>
          <w:rFonts w:cs="Arial"/>
        </w:rPr>
        <w:t>, fixed satellite, radiolocation and amateur services</w:t>
      </w:r>
      <w:r w:rsidR="006C565D">
        <w:rPr>
          <w:rFonts w:cs="Arial"/>
        </w:rPr>
        <w:t>.</w:t>
      </w:r>
      <w:r w:rsidR="00417359">
        <w:rPr>
          <w:rFonts w:cs="Arial"/>
        </w:rPr>
        <w:t xml:space="preserve"> </w:t>
      </w:r>
      <w:bookmarkEnd w:id="57"/>
      <w:r w:rsidR="00D073E4">
        <w:rPr>
          <w:rFonts w:cs="Arial"/>
        </w:rPr>
        <w:t>Wireless broadband and radiolocation use of the band is on a primary basis, while use by fixed satellite and amateur services is on a secondary basis.</w:t>
      </w:r>
      <w:r w:rsidR="007D0CB4">
        <w:rPr>
          <w:rFonts w:cs="Arial"/>
        </w:rPr>
        <w:t xml:space="preserve"> </w:t>
      </w:r>
      <w:r w:rsidR="006D7FE2">
        <w:rPr>
          <w:rFonts w:cs="Arial"/>
        </w:rPr>
        <w:t xml:space="preserve">Existing area-wide apparatus and spectrum licensees in the band are NBN Co, Optus and Telstra. WISPs, local councils and miners are typically representative of localised wireless </w:t>
      </w:r>
      <w:r w:rsidR="006D7FE2" w:rsidRPr="00EC65B3">
        <w:rPr>
          <w:rFonts w:cs="Arial"/>
        </w:rPr>
        <w:t xml:space="preserve">broadband operators in the band that make use of site-base apparatus licence arrangements. </w:t>
      </w:r>
      <w:r w:rsidR="006C565D" w:rsidRPr="00EC65B3">
        <w:rPr>
          <w:rFonts w:cs="Arial"/>
        </w:rPr>
        <w:t xml:space="preserve">Current arrangements in the </w:t>
      </w:r>
      <w:r w:rsidR="005619B4" w:rsidRPr="00EC65B3">
        <w:rPr>
          <w:rFonts w:cs="Arial"/>
        </w:rPr>
        <w:t>3400</w:t>
      </w:r>
      <w:r w:rsidR="00D250D5">
        <w:rPr>
          <w:rFonts w:cs="Arial"/>
        </w:rPr>
        <w:t>–</w:t>
      </w:r>
      <w:r w:rsidR="005619B4" w:rsidRPr="00EC65B3">
        <w:rPr>
          <w:rFonts w:cs="Arial"/>
        </w:rPr>
        <w:t>3575 MHz</w:t>
      </w:r>
      <w:r w:rsidR="006C565D" w:rsidRPr="00EC65B3">
        <w:rPr>
          <w:rFonts w:cs="Arial"/>
        </w:rPr>
        <w:t xml:space="preserve"> band are detailed in </w:t>
      </w:r>
      <w:r w:rsidR="006C565D" w:rsidRPr="003C5923">
        <w:rPr>
          <w:rFonts w:cs="Arial"/>
        </w:rPr>
        <w:t>Appendix A</w:t>
      </w:r>
      <w:r w:rsidR="006C565D" w:rsidRPr="00EC65B3">
        <w:rPr>
          <w:rFonts w:cs="Arial"/>
        </w:rPr>
        <w:t xml:space="preserve"> and summarised </w:t>
      </w:r>
      <w:r w:rsidR="00D073E4" w:rsidRPr="00EC65B3">
        <w:rPr>
          <w:rFonts w:cs="Arial"/>
        </w:rPr>
        <w:t>at</w:t>
      </w:r>
      <w:r w:rsidR="006C565D" w:rsidRPr="00EC65B3">
        <w:rPr>
          <w:rFonts w:cs="Arial"/>
        </w:rPr>
        <w:t xml:space="preserve"> Figure 2</w:t>
      </w:r>
      <w:r w:rsidR="00D073E4" w:rsidRPr="00EC65B3">
        <w:rPr>
          <w:rFonts w:cs="Arial"/>
        </w:rPr>
        <w:t xml:space="preserve"> below.</w:t>
      </w:r>
      <w:r w:rsidR="00261530" w:rsidRPr="00EC65B3">
        <w:rPr>
          <w:rStyle w:val="FootnoteReference"/>
          <w:rFonts w:cs="Arial"/>
        </w:rPr>
        <w:footnoteReference w:id="5"/>
      </w:r>
      <w:r w:rsidR="006D7FE2">
        <w:rPr>
          <w:rFonts w:cs="Arial"/>
        </w:rPr>
        <w:t xml:space="preserve"> </w:t>
      </w:r>
    </w:p>
    <w:p w14:paraId="0EB3AD97" w14:textId="2DC06F57" w:rsidR="006C565D" w:rsidRDefault="006C565D" w:rsidP="006C565D">
      <w:pPr>
        <w:pStyle w:val="ACMAFigureHeader"/>
        <w:spacing w:before="360"/>
      </w:pPr>
      <w:bookmarkStart w:id="58" w:name="_Hlk5607615"/>
      <w:r>
        <w:t>Current arrangements in the 3400</w:t>
      </w:r>
      <w:r w:rsidR="00D250D5">
        <w:t>–</w:t>
      </w:r>
      <w:r>
        <w:t xml:space="preserve">3575 MHz band </w:t>
      </w:r>
    </w:p>
    <w:p w14:paraId="1E17259E" w14:textId="77777777" w:rsidR="006C565D" w:rsidRPr="00FD12E6" w:rsidRDefault="006C565D" w:rsidP="006C565D">
      <w:pPr>
        <w:pStyle w:val="ACMAFigureHeader"/>
        <w:numPr>
          <w:ilvl w:val="0"/>
          <w:numId w:val="0"/>
        </w:numPr>
        <w:spacing w:after="0"/>
        <w:ind w:left="1021"/>
        <w:rPr>
          <w:i/>
          <w:sz w:val="16"/>
          <w:szCs w:val="16"/>
        </w:rPr>
      </w:pPr>
      <w:r w:rsidRPr="00FD12E6">
        <w:rPr>
          <w:i/>
          <w:sz w:val="16"/>
          <w:szCs w:val="16"/>
        </w:rPr>
        <w:t xml:space="preserve">AM = amateur, FSS = fixed satellite service, PMP = point-to-multipoint, </w:t>
      </w:r>
    </w:p>
    <w:p w14:paraId="790AD4DE" w14:textId="77777777" w:rsidR="006C565D" w:rsidRPr="00FD12E6" w:rsidRDefault="006C565D" w:rsidP="006C565D">
      <w:pPr>
        <w:pStyle w:val="ACMAFigureHeader"/>
        <w:numPr>
          <w:ilvl w:val="0"/>
          <w:numId w:val="0"/>
        </w:numPr>
        <w:ind w:left="1021"/>
        <w:rPr>
          <w:rFonts w:cs="Arial"/>
          <w:i/>
          <w:sz w:val="16"/>
          <w:szCs w:val="16"/>
        </w:rPr>
      </w:pPr>
      <w:r w:rsidRPr="00FD12E6">
        <w:rPr>
          <w:i/>
          <w:sz w:val="16"/>
          <w:szCs w:val="16"/>
        </w:rPr>
        <w:t>PTS = public telecommunication service, SL = spectrum licence</w:t>
      </w:r>
    </w:p>
    <w:p w14:paraId="2F954AE0" w14:textId="4A7C249C" w:rsidR="006C565D" w:rsidRDefault="009E39DE" w:rsidP="006C565D">
      <w:pPr>
        <w:spacing w:after="0"/>
        <w:jc w:val="center"/>
        <w:rPr>
          <w:rFonts w:cs="Arial"/>
        </w:rPr>
      </w:pPr>
      <w:r>
        <w:rPr>
          <w:noProof/>
        </w:rPr>
        <w:drawing>
          <wp:inline distT="0" distB="0" distL="0" distR="0" wp14:anchorId="395E4EA8" wp14:editId="2F661141">
            <wp:extent cx="5936615" cy="3514297"/>
            <wp:effectExtent l="0" t="0" r="6985"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939955" cy="3516274"/>
                    </a:xfrm>
                    <a:prstGeom prst="rect">
                      <a:avLst/>
                    </a:prstGeom>
                  </pic:spPr>
                </pic:pic>
              </a:graphicData>
            </a:graphic>
          </wp:inline>
        </w:drawing>
      </w:r>
    </w:p>
    <w:p w14:paraId="011746AF" w14:textId="6D6C36AB" w:rsidR="008E6A9C" w:rsidRPr="00EE0B9B" w:rsidRDefault="008E6A9C" w:rsidP="00EE0B9B">
      <w:pPr>
        <w:pStyle w:val="Heading2"/>
      </w:pPr>
      <w:bookmarkStart w:id="59" w:name="_Toc6923104"/>
      <w:bookmarkEnd w:id="58"/>
      <w:r w:rsidRPr="00EE0B9B">
        <w:t xml:space="preserve">Fragmented </w:t>
      </w:r>
      <w:r w:rsidR="00EE0B9B" w:rsidRPr="00EE0B9B">
        <w:t>arrangements</w:t>
      </w:r>
      <w:bookmarkEnd w:id="59"/>
    </w:p>
    <w:p w14:paraId="6AB5DD46" w14:textId="77777777" w:rsidR="00EE61C2" w:rsidRDefault="00F4054D" w:rsidP="00640272">
      <w:pPr>
        <w:spacing w:before="120"/>
        <w:rPr>
          <w:rFonts w:cs="Arial"/>
        </w:rPr>
      </w:pPr>
      <w:r w:rsidRPr="00616340">
        <w:rPr>
          <w:rFonts w:cs="Arial"/>
        </w:rPr>
        <w:t>The s</w:t>
      </w:r>
      <w:r w:rsidR="0087010E" w:rsidRPr="00616340">
        <w:rPr>
          <w:rFonts w:cs="Arial"/>
        </w:rPr>
        <w:t xml:space="preserve">pectrum and apparatus licence </w:t>
      </w:r>
      <w:r w:rsidRPr="00616340">
        <w:rPr>
          <w:rFonts w:cs="Arial"/>
        </w:rPr>
        <w:t>arrangements originally developed for</w:t>
      </w:r>
      <w:r w:rsidR="0087010E" w:rsidRPr="00616340">
        <w:rPr>
          <w:rFonts w:cs="Arial"/>
        </w:rPr>
        <w:t xml:space="preserve"> the band were designed to support frequency division duplex (FDD) fixed wireless broadband technologies that operated over bandwidths in the order of a few </w:t>
      </w:r>
      <w:r w:rsidRPr="00616340">
        <w:rPr>
          <w:rFonts w:cs="Arial"/>
        </w:rPr>
        <w:t>megahertz</w:t>
      </w:r>
      <w:r w:rsidR="0087010E" w:rsidRPr="00616340">
        <w:rPr>
          <w:rFonts w:cs="Arial"/>
        </w:rPr>
        <w:t xml:space="preserve">. </w:t>
      </w:r>
    </w:p>
    <w:p w14:paraId="74B7C65A" w14:textId="3429B416" w:rsidR="00DB4615" w:rsidRPr="00616340" w:rsidRDefault="0087010E" w:rsidP="00EE0B9B">
      <w:pPr>
        <w:spacing w:before="120" w:after="120"/>
        <w:rPr>
          <w:rFonts w:cs="Arial"/>
        </w:rPr>
      </w:pPr>
      <w:r w:rsidRPr="00616340">
        <w:rPr>
          <w:rFonts w:cs="Arial"/>
        </w:rPr>
        <w:t>In recent years</w:t>
      </w:r>
      <w:r w:rsidR="00512AC9">
        <w:rPr>
          <w:rFonts w:cs="Arial"/>
        </w:rPr>
        <w:t>,</w:t>
      </w:r>
      <w:r w:rsidR="00DB4615" w:rsidRPr="00616340">
        <w:rPr>
          <w:rFonts w:cs="Arial"/>
        </w:rPr>
        <w:t xml:space="preserve"> international</w:t>
      </w:r>
      <w:r w:rsidRPr="00616340">
        <w:rPr>
          <w:rFonts w:cs="Arial"/>
        </w:rPr>
        <w:t xml:space="preserve"> </w:t>
      </w:r>
      <w:r w:rsidR="00D82563">
        <w:rPr>
          <w:rFonts w:cs="Arial"/>
        </w:rPr>
        <w:t>wireless broadband</w:t>
      </w:r>
      <w:r w:rsidR="00F4054D" w:rsidRPr="00616340">
        <w:rPr>
          <w:rFonts w:cs="Arial"/>
        </w:rPr>
        <w:t xml:space="preserve"> </w:t>
      </w:r>
      <w:r w:rsidRPr="00616340">
        <w:rPr>
          <w:rFonts w:cs="Arial"/>
        </w:rPr>
        <w:t xml:space="preserve">use of the </w:t>
      </w:r>
      <w:r w:rsidR="005619B4">
        <w:rPr>
          <w:rFonts w:cs="Arial"/>
        </w:rPr>
        <w:t>3400</w:t>
      </w:r>
      <w:r w:rsidR="00D250D5">
        <w:rPr>
          <w:rFonts w:cs="Arial"/>
        </w:rPr>
        <w:t>–</w:t>
      </w:r>
      <w:r w:rsidR="005619B4">
        <w:rPr>
          <w:rFonts w:cs="Arial"/>
        </w:rPr>
        <w:t>3575 MHz</w:t>
      </w:r>
      <w:r w:rsidRPr="00616340">
        <w:rPr>
          <w:rFonts w:cs="Arial"/>
        </w:rPr>
        <w:t xml:space="preserve"> </w:t>
      </w:r>
      <w:r w:rsidR="00F4054D" w:rsidRPr="00616340">
        <w:rPr>
          <w:rFonts w:cs="Arial"/>
        </w:rPr>
        <w:t>(and broader 3300</w:t>
      </w:r>
      <w:r w:rsidR="00D250D5">
        <w:rPr>
          <w:rFonts w:cs="Arial"/>
        </w:rPr>
        <w:t>–</w:t>
      </w:r>
      <w:r w:rsidR="00F4054D" w:rsidRPr="00616340">
        <w:rPr>
          <w:rFonts w:cs="Arial"/>
        </w:rPr>
        <w:t xml:space="preserve">3800 MHz) </w:t>
      </w:r>
      <w:r w:rsidRPr="00616340">
        <w:rPr>
          <w:rFonts w:cs="Arial"/>
        </w:rPr>
        <w:t>band has moved away from FDD to time division duplex (TDD) technologies and wider contiguous bandwidths (up to 100 MHz).</w:t>
      </w:r>
      <w:r w:rsidR="00512AC9">
        <w:rPr>
          <w:rStyle w:val="FootnoteReference"/>
          <w:rFonts w:cs="Arial"/>
        </w:rPr>
        <w:footnoteReference w:id="6"/>
      </w:r>
      <w:r w:rsidRPr="00616340">
        <w:rPr>
          <w:rFonts w:cs="Arial"/>
        </w:rPr>
        <w:t xml:space="preserve"> </w:t>
      </w:r>
      <w:r w:rsidR="00F4054D" w:rsidRPr="00616340">
        <w:rPr>
          <w:rFonts w:cs="Arial"/>
        </w:rPr>
        <w:t xml:space="preserve">A </w:t>
      </w:r>
      <w:r w:rsidR="00F4054D" w:rsidRPr="00616340">
        <w:rPr>
          <w:rFonts w:cs="Arial"/>
        </w:rPr>
        <w:lastRenderedPageBreak/>
        <w:t>consequence of these historical arrangements</w:t>
      </w:r>
      <w:r w:rsidR="00D250D5">
        <w:rPr>
          <w:rFonts w:cs="Arial"/>
        </w:rPr>
        <w:t>,</w:t>
      </w:r>
      <w:r w:rsidR="00F4054D" w:rsidRPr="00616340">
        <w:rPr>
          <w:rFonts w:cs="Arial"/>
        </w:rPr>
        <w:t xml:space="preserve"> combined with the</w:t>
      </w:r>
      <w:r w:rsidRPr="00616340">
        <w:rPr>
          <w:rFonts w:cs="Arial"/>
        </w:rPr>
        <w:t xml:space="preserve"> move to TDD technologies</w:t>
      </w:r>
      <w:r w:rsidR="00D250D5">
        <w:rPr>
          <w:rFonts w:cs="Arial"/>
        </w:rPr>
        <w:t>,</w:t>
      </w:r>
      <w:r w:rsidRPr="00616340">
        <w:rPr>
          <w:rFonts w:cs="Arial"/>
        </w:rPr>
        <w:t xml:space="preserve"> ha</w:t>
      </w:r>
      <w:r w:rsidR="00F4054D" w:rsidRPr="00616340">
        <w:rPr>
          <w:rFonts w:cs="Arial"/>
        </w:rPr>
        <w:t>s</w:t>
      </w:r>
      <w:r w:rsidRPr="00616340">
        <w:rPr>
          <w:rFonts w:cs="Arial"/>
        </w:rPr>
        <w:t xml:space="preserve"> resulted in fragmented spectrum </w:t>
      </w:r>
      <w:r w:rsidR="00F4054D" w:rsidRPr="00616340">
        <w:rPr>
          <w:rFonts w:cs="Arial"/>
        </w:rPr>
        <w:t xml:space="preserve">arrangements </w:t>
      </w:r>
      <w:r w:rsidRPr="00616340">
        <w:rPr>
          <w:rFonts w:cs="Arial"/>
        </w:rPr>
        <w:t xml:space="preserve">across the band. </w:t>
      </w:r>
    </w:p>
    <w:p w14:paraId="38D4C49D" w14:textId="3EEE7B98" w:rsidR="00DB4615" w:rsidRPr="00616340" w:rsidRDefault="00DB4615" w:rsidP="003C5923">
      <w:pPr>
        <w:spacing w:after="80"/>
        <w:rPr>
          <w:rFonts w:cs="Arial"/>
        </w:rPr>
      </w:pPr>
      <w:r w:rsidRPr="00616340">
        <w:rPr>
          <w:rFonts w:cs="Arial"/>
        </w:rPr>
        <w:t>Th</w:t>
      </w:r>
      <w:r w:rsidR="00C87FB3" w:rsidRPr="00616340">
        <w:rPr>
          <w:rFonts w:cs="Arial"/>
        </w:rPr>
        <w:t>e</w:t>
      </w:r>
      <w:r w:rsidRPr="00616340">
        <w:rPr>
          <w:rFonts w:cs="Arial"/>
        </w:rPr>
        <w:t xml:space="preserve"> d</w:t>
      </w:r>
      <w:r w:rsidR="0087010E" w:rsidRPr="00616340">
        <w:rPr>
          <w:rFonts w:cs="Arial"/>
        </w:rPr>
        <w:t xml:space="preserve">efragmentation of </w:t>
      </w:r>
      <w:r w:rsidR="00C87FB3" w:rsidRPr="00616340">
        <w:rPr>
          <w:rFonts w:cs="Arial"/>
        </w:rPr>
        <w:t xml:space="preserve">both spectrum licence holdings and apparatus licence arrangements in the </w:t>
      </w:r>
      <w:r w:rsidR="005619B4">
        <w:rPr>
          <w:rFonts w:cs="Arial"/>
        </w:rPr>
        <w:t>3400</w:t>
      </w:r>
      <w:r w:rsidR="00D250D5">
        <w:rPr>
          <w:rFonts w:cs="Arial"/>
        </w:rPr>
        <w:t>–</w:t>
      </w:r>
      <w:r w:rsidR="005619B4">
        <w:rPr>
          <w:rFonts w:cs="Arial"/>
        </w:rPr>
        <w:t>3575 MHz</w:t>
      </w:r>
      <w:r w:rsidR="00C87FB3" w:rsidRPr="00616340">
        <w:rPr>
          <w:rFonts w:cs="Arial"/>
        </w:rPr>
        <w:t xml:space="preserve"> band</w:t>
      </w:r>
      <w:r w:rsidR="00E36EAD">
        <w:rPr>
          <w:rFonts w:cs="Arial"/>
        </w:rPr>
        <w:t xml:space="preserve"> in both frequency and geograph</w:t>
      </w:r>
      <w:r w:rsidR="00DC7EC5">
        <w:rPr>
          <w:rFonts w:cs="Arial"/>
        </w:rPr>
        <w:t>y</w:t>
      </w:r>
      <w:r w:rsidR="00C87FB3" w:rsidRPr="00616340">
        <w:rPr>
          <w:rFonts w:cs="Arial"/>
        </w:rPr>
        <w:t xml:space="preserve"> (defrag) has the potential to</w:t>
      </w:r>
      <w:r w:rsidRPr="00616340">
        <w:rPr>
          <w:rFonts w:cs="Arial"/>
        </w:rPr>
        <w:t>:</w:t>
      </w:r>
    </w:p>
    <w:p w14:paraId="29DBD151" w14:textId="5E085A9F" w:rsidR="00DB4615" w:rsidRPr="00D073E4" w:rsidRDefault="00DB4615" w:rsidP="00D073E4">
      <w:pPr>
        <w:pStyle w:val="ListBullet"/>
        <w:numPr>
          <w:ilvl w:val="0"/>
          <w:numId w:val="18"/>
        </w:numPr>
        <w:spacing w:line="240" w:lineRule="auto"/>
      </w:pPr>
      <w:r w:rsidRPr="00D073E4">
        <w:t xml:space="preserve">enable licensees to tap into global economies of scale for </w:t>
      </w:r>
      <w:r w:rsidR="00D82563" w:rsidRPr="00D073E4">
        <w:t>wireless broadband</w:t>
      </w:r>
      <w:r w:rsidRPr="00D073E4">
        <w:t xml:space="preserve"> equipment</w:t>
      </w:r>
      <w:r w:rsidR="00417359" w:rsidRPr="00D073E4">
        <w:t>, particularly those defined by 3GPP</w:t>
      </w:r>
      <w:r w:rsidR="00D250D5">
        <w:t>—the 3</w:t>
      </w:r>
      <w:r w:rsidR="00D250D5" w:rsidRPr="003C5923">
        <w:rPr>
          <w:vertAlign w:val="superscript"/>
        </w:rPr>
        <w:t>rd</w:t>
      </w:r>
      <w:r w:rsidR="00D250D5">
        <w:t xml:space="preserve"> Generation Partnership Project</w:t>
      </w:r>
      <w:r w:rsidR="00417359" w:rsidRPr="00D073E4">
        <w:t xml:space="preserve"> (both 4G and 5G standards)</w:t>
      </w:r>
    </w:p>
    <w:p w14:paraId="775819CB" w14:textId="106FCE3D" w:rsidR="00DB4615" w:rsidRPr="00D073E4" w:rsidRDefault="0087010E" w:rsidP="00D073E4">
      <w:pPr>
        <w:pStyle w:val="ListBullet"/>
        <w:numPr>
          <w:ilvl w:val="0"/>
          <w:numId w:val="18"/>
        </w:numPr>
        <w:spacing w:line="240" w:lineRule="auto"/>
      </w:pPr>
      <w:r w:rsidRPr="00D073E4">
        <w:t>decrease network deployment costs</w:t>
      </w:r>
      <w:r w:rsidR="007D0CB4" w:rsidRPr="00D073E4">
        <w:t>,</w:t>
      </w:r>
      <w:r w:rsidR="008D7B5A" w:rsidRPr="00D073E4">
        <w:t xml:space="preserve"> </w:t>
      </w:r>
      <w:r w:rsidR="007D0CB4" w:rsidRPr="00D073E4">
        <w:t>f</w:t>
      </w:r>
      <w:r w:rsidR="008D7B5A" w:rsidRPr="00D073E4">
        <w:t xml:space="preserve">or example, the instantaneous </w:t>
      </w:r>
      <w:r w:rsidR="008D7B5A" w:rsidRPr="00DE6DB8">
        <w:t>bandwidth</w:t>
      </w:r>
      <w:r w:rsidR="00C87FB3" w:rsidRPr="003C5923">
        <w:rPr>
          <w:vertAlign w:val="superscript"/>
        </w:rPr>
        <w:footnoteReference w:id="7"/>
      </w:r>
      <w:r w:rsidR="008D7B5A" w:rsidRPr="00D073E4">
        <w:t xml:space="preserve"> of next generation </w:t>
      </w:r>
      <w:r w:rsidR="00D82563" w:rsidRPr="00D073E4">
        <w:t>wireless broadband</w:t>
      </w:r>
      <w:r w:rsidR="008D7B5A" w:rsidRPr="00D073E4">
        <w:t xml:space="preserve"> </w:t>
      </w:r>
      <w:r w:rsidR="00C87FB3" w:rsidRPr="00D073E4">
        <w:t>transceivers</w:t>
      </w:r>
      <w:r w:rsidR="008D7B5A" w:rsidRPr="00D073E4">
        <w:t xml:space="preserve"> is expected to be in the order of </w:t>
      </w:r>
      <w:r w:rsidR="008D7B5A" w:rsidRPr="00DE6DB8">
        <w:t>100 MHz</w:t>
      </w:r>
      <w:r w:rsidR="00C87FB3" w:rsidRPr="003C5923">
        <w:rPr>
          <w:vertAlign w:val="superscript"/>
        </w:rPr>
        <w:footnoteReference w:id="8"/>
      </w:r>
      <w:r w:rsidR="00E454E3" w:rsidRPr="00D073E4">
        <w:t xml:space="preserve">. </w:t>
      </w:r>
      <w:r w:rsidR="008D7B5A" w:rsidRPr="00D073E4">
        <w:t xml:space="preserve">If a </w:t>
      </w:r>
      <w:r w:rsidR="00616340" w:rsidRPr="00D073E4">
        <w:t>licensee’s</w:t>
      </w:r>
      <w:r w:rsidR="008D7B5A" w:rsidRPr="00D073E4">
        <w:t xml:space="preserve"> spectrum holdings are not contained within th</w:t>
      </w:r>
      <w:r w:rsidR="004F7863" w:rsidRPr="00D073E4">
        <w:t>e instantaneous</w:t>
      </w:r>
      <w:r w:rsidR="008D7B5A" w:rsidRPr="00D073E4">
        <w:t xml:space="preserve"> </w:t>
      </w:r>
      <w:r w:rsidR="004F7863" w:rsidRPr="00D073E4">
        <w:t>bandwidth,</w:t>
      </w:r>
      <w:r w:rsidR="008D7B5A" w:rsidRPr="00D073E4">
        <w:t xml:space="preserve"> they will need to </w:t>
      </w:r>
      <w:r w:rsidR="00C87FB3" w:rsidRPr="00D073E4">
        <w:t>deploy</w:t>
      </w:r>
      <w:r w:rsidR="008D7B5A" w:rsidRPr="00D073E4">
        <w:t xml:space="preserve"> at least one additional tran</w:t>
      </w:r>
      <w:r w:rsidR="00616340" w:rsidRPr="00D073E4">
        <w:t>sceiver</w:t>
      </w:r>
      <w:r w:rsidR="008D7B5A" w:rsidRPr="00D073E4">
        <w:t xml:space="preserve"> </w:t>
      </w:r>
      <w:r w:rsidR="007D0CB4" w:rsidRPr="00D073E4">
        <w:t xml:space="preserve">per sector/site </w:t>
      </w:r>
      <w:r w:rsidR="008D7B5A" w:rsidRPr="00D073E4">
        <w:t>to make use of all their spectrum</w:t>
      </w:r>
    </w:p>
    <w:p w14:paraId="7CCF0BAF" w14:textId="292EDADA" w:rsidR="007D0CB4" w:rsidRPr="00D073E4" w:rsidRDefault="0087010E" w:rsidP="00D073E4">
      <w:pPr>
        <w:pStyle w:val="ListBullet"/>
        <w:numPr>
          <w:ilvl w:val="0"/>
          <w:numId w:val="18"/>
        </w:numPr>
        <w:spacing w:line="240" w:lineRule="auto"/>
      </w:pPr>
      <w:r w:rsidRPr="00D073E4">
        <w:t>result in more efficient use of the spectrum</w:t>
      </w:r>
      <w:r w:rsidR="00D073E4">
        <w:t>,</w:t>
      </w:r>
      <w:r w:rsidR="008D7B5A" w:rsidRPr="00D073E4">
        <w:t xml:space="preserve"> </w:t>
      </w:r>
      <w:r w:rsidR="00DB4615" w:rsidRPr="00D073E4">
        <w:t>due to</w:t>
      </w:r>
      <w:r w:rsidR="007D0CB4" w:rsidRPr="00D073E4">
        <w:t>:</w:t>
      </w:r>
      <w:r w:rsidR="00DB4615" w:rsidRPr="00D073E4">
        <w:t xml:space="preserve"> </w:t>
      </w:r>
    </w:p>
    <w:p w14:paraId="0DF3453D" w14:textId="554A5E79" w:rsidR="00E36EAD" w:rsidRPr="00D073E4" w:rsidRDefault="009C0BA4" w:rsidP="00D073E4">
      <w:pPr>
        <w:pStyle w:val="ListBullet"/>
        <w:numPr>
          <w:ilvl w:val="1"/>
          <w:numId w:val="18"/>
        </w:numPr>
        <w:spacing w:line="240" w:lineRule="auto"/>
      </w:pPr>
      <w:r w:rsidRPr="00D073E4">
        <w:t xml:space="preserve">fewer shared geographical boundaries between </w:t>
      </w:r>
      <w:r w:rsidR="00E36EAD" w:rsidRPr="00D073E4">
        <w:t>area-based licences</w:t>
      </w:r>
      <w:r w:rsidR="00700E5A">
        <w:t>,</w:t>
      </w:r>
      <w:r w:rsidRPr="00D073E4">
        <w:t xml:space="preserve"> </w:t>
      </w:r>
      <w:r w:rsidR="00E36EAD" w:rsidRPr="00D073E4">
        <w:t>meaning fewer dead</w:t>
      </w:r>
      <w:r w:rsidR="005C7E7A">
        <w:t xml:space="preserve"> </w:t>
      </w:r>
      <w:r w:rsidR="00E36EAD" w:rsidRPr="00D073E4">
        <w:t>zones</w:t>
      </w:r>
      <w:r w:rsidR="00E36EAD" w:rsidRPr="00D073E4">
        <w:rPr>
          <w:vertAlign w:val="superscript"/>
        </w:rPr>
        <w:footnoteReference w:id="9"/>
      </w:r>
      <w:r w:rsidRPr="00D073E4">
        <w:t xml:space="preserve"> </w:t>
      </w:r>
    </w:p>
    <w:p w14:paraId="0E202152" w14:textId="56C7AF70" w:rsidR="007D0CB4" w:rsidRPr="00D073E4" w:rsidRDefault="00DB4615" w:rsidP="00D073E4">
      <w:pPr>
        <w:pStyle w:val="ListBullet"/>
        <w:numPr>
          <w:ilvl w:val="1"/>
          <w:numId w:val="18"/>
        </w:numPr>
        <w:spacing w:line="240" w:lineRule="auto"/>
      </w:pPr>
      <w:r w:rsidRPr="00D073E4">
        <w:t xml:space="preserve">fewer shared frequency boundaries </w:t>
      </w:r>
      <w:r w:rsidR="00700E5A">
        <w:t>that</w:t>
      </w:r>
      <w:r w:rsidR="00700E5A" w:rsidRPr="00D073E4">
        <w:t xml:space="preserve"> </w:t>
      </w:r>
      <w:r w:rsidR="007D0CB4" w:rsidRPr="00D073E4">
        <w:t>may</w:t>
      </w:r>
      <w:r w:rsidR="008D7B5A" w:rsidRPr="00D073E4">
        <w:t xml:space="preserve"> require </w:t>
      </w:r>
      <w:r w:rsidR="009C0BA4" w:rsidRPr="00D073E4">
        <w:t xml:space="preserve">guard </w:t>
      </w:r>
      <w:r w:rsidRPr="00D073E4">
        <w:t xml:space="preserve">bands </w:t>
      </w:r>
      <w:r w:rsidR="008D7B5A" w:rsidRPr="00D073E4">
        <w:t>to manage interference</w:t>
      </w:r>
    </w:p>
    <w:p w14:paraId="5380334E" w14:textId="45A23946" w:rsidR="0087010E" w:rsidRPr="00D073E4" w:rsidRDefault="009B114B" w:rsidP="00D073E4">
      <w:pPr>
        <w:pStyle w:val="ListBullet"/>
        <w:numPr>
          <w:ilvl w:val="1"/>
          <w:numId w:val="18"/>
        </w:numPr>
        <w:spacing w:line="240" w:lineRule="auto"/>
      </w:pPr>
      <w:r w:rsidRPr="00D073E4">
        <w:t>de</w:t>
      </w:r>
      <w:r w:rsidR="007D0CB4" w:rsidRPr="00D073E4">
        <w:t>f</w:t>
      </w:r>
      <w:r w:rsidR="00C87FB3" w:rsidRPr="00D073E4">
        <w:t xml:space="preserve">ragmented holdings </w:t>
      </w:r>
      <w:r w:rsidR="007D0CB4" w:rsidRPr="00D073E4">
        <w:t xml:space="preserve">being </w:t>
      </w:r>
      <w:r w:rsidR="00C87FB3" w:rsidRPr="00D073E4">
        <w:t>more likely to result</w:t>
      </w:r>
      <w:r w:rsidR="009F1A9F">
        <w:t xml:space="preserve"> in</w:t>
      </w:r>
      <w:r w:rsidR="00C87FB3" w:rsidRPr="00D073E4">
        <w:t xml:space="preserve"> </w:t>
      </w:r>
      <w:r w:rsidRPr="00D073E4">
        <w:t xml:space="preserve">greater use of </w:t>
      </w:r>
      <w:r w:rsidR="00C87FB3" w:rsidRPr="00D073E4">
        <w:t xml:space="preserve">spectrum due to </w:t>
      </w:r>
      <w:r w:rsidRPr="00D073E4">
        <w:t xml:space="preserve">better </w:t>
      </w:r>
      <w:r w:rsidR="00C87FB3" w:rsidRPr="00D073E4">
        <w:t xml:space="preserve">alignment with </w:t>
      </w:r>
      <w:r w:rsidR="00DB4615" w:rsidRPr="00D073E4">
        <w:t xml:space="preserve">channel arrangements </w:t>
      </w:r>
      <w:r w:rsidR="00C87FB3" w:rsidRPr="00D073E4">
        <w:t xml:space="preserve">(bandwidths) </w:t>
      </w:r>
      <w:r w:rsidR="009F1A9F">
        <w:t>define</w:t>
      </w:r>
      <w:r w:rsidR="00077F63">
        <w:t>d</w:t>
      </w:r>
      <w:r w:rsidR="009F1A9F">
        <w:t xml:space="preserve"> </w:t>
      </w:r>
      <w:r w:rsidRPr="00D073E4">
        <w:t xml:space="preserve">in </w:t>
      </w:r>
      <w:r w:rsidR="00DB4615" w:rsidRPr="00D073E4">
        <w:t>international standards</w:t>
      </w:r>
      <w:r w:rsidR="0087010E" w:rsidRPr="00D073E4">
        <w:t>.</w:t>
      </w:r>
      <w:r w:rsidR="00DB4615" w:rsidRPr="00D073E4">
        <w:t xml:space="preserve"> </w:t>
      </w:r>
    </w:p>
    <w:p w14:paraId="572DEA20" w14:textId="2518433C" w:rsidR="003473F4" w:rsidRDefault="00616340" w:rsidP="00D073E4">
      <w:pPr>
        <w:spacing w:before="240"/>
        <w:rPr>
          <w:rFonts w:cs="Arial"/>
        </w:rPr>
      </w:pPr>
      <w:r>
        <w:rPr>
          <w:rFonts w:cs="Arial"/>
        </w:rPr>
        <w:t xml:space="preserve">While the benefits of defrag and </w:t>
      </w:r>
      <w:r w:rsidR="00CD3E14">
        <w:rPr>
          <w:rFonts w:cs="Arial"/>
        </w:rPr>
        <w:t xml:space="preserve">the </w:t>
      </w:r>
      <w:r>
        <w:rPr>
          <w:rFonts w:cs="Arial"/>
        </w:rPr>
        <w:t xml:space="preserve">case for </w:t>
      </w:r>
      <w:r w:rsidR="00CD3E14">
        <w:rPr>
          <w:rFonts w:cs="Arial"/>
        </w:rPr>
        <w:t xml:space="preserve">action </w:t>
      </w:r>
      <w:r>
        <w:rPr>
          <w:rFonts w:cs="Arial"/>
        </w:rPr>
        <w:t xml:space="preserve">are compelling, </w:t>
      </w:r>
      <w:r w:rsidR="005C23F5">
        <w:rPr>
          <w:rFonts w:cs="Arial"/>
        </w:rPr>
        <w:t xml:space="preserve">the ACMA has identified </w:t>
      </w:r>
      <w:r w:rsidR="003473F4">
        <w:rPr>
          <w:rFonts w:cs="Arial"/>
        </w:rPr>
        <w:t xml:space="preserve">that the </w:t>
      </w:r>
      <w:r w:rsidR="00CD3E14">
        <w:rPr>
          <w:rFonts w:cs="Arial"/>
        </w:rPr>
        <w:t xml:space="preserve">current arrangements that include a </w:t>
      </w:r>
      <w:r w:rsidR="003473F4">
        <w:rPr>
          <w:rFonts w:cs="Arial"/>
        </w:rPr>
        <w:t xml:space="preserve">mix of spectrum and apparatus licensing </w:t>
      </w:r>
      <w:r w:rsidR="00417359">
        <w:rPr>
          <w:rFonts w:cs="Arial"/>
        </w:rPr>
        <w:t>(both area and site</w:t>
      </w:r>
      <w:r w:rsidR="00700E5A">
        <w:rPr>
          <w:rFonts w:cs="Arial"/>
        </w:rPr>
        <w:t>-</w:t>
      </w:r>
      <w:r w:rsidR="00417359">
        <w:rPr>
          <w:rFonts w:cs="Arial"/>
        </w:rPr>
        <w:t>based)</w:t>
      </w:r>
      <w:r w:rsidR="00B21181">
        <w:rPr>
          <w:rFonts w:cs="Arial"/>
        </w:rPr>
        <w:t xml:space="preserve"> in the 3400</w:t>
      </w:r>
      <w:r w:rsidR="00700E5A">
        <w:rPr>
          <w:rFonts w:cs="Arial"/>
        </w:rPr>
        <w:t>–</w:t>
      </w:r>
      <w:r w:rsidR="00B21181">
        <w:rPr>
          <w:rFonts w:cs="Arial"/>
        </w:rPr>
        <w:t>3575 MHz band</w:t>
      </w:r>
      <w:r w:rsidR="00417359">
        <w:rPr>
          <w:rFonts w:cs="Arial"/>
        </w:rPr>
        <w:t xml:space="preserve"> </w:t>
      </w:r>
      <w:r w:rsidR="00AC5892">
        <w:rPr>
          <w:rFonts w:cs="Arial"/>
        </w:rPr>
        <w:t>are</w:t>
      </w:r>
      <w:r w:rsidR="00CD3E14">
        <w:rPr>
          <w:rFonts w:cs="Arial"/>
        </w:rPr>
        <w:t xml:space="preserve"> </w:t>
      </w:r>
      <w:r w:rsidR="00EE61C2">
        <w:rPr>
          <w:rFonts w:cs="Arial"/>
        </w:rPr>
        <w:t>not optimal</w:t>
      </w:r>
      <w:r w:rsidR="00CD3E14">
        <w:rPr>
          <w:rFonts w:cs="Arial"/>
        </w:rPr>
        <w:t>. These</w:t>
      </w:r>
      <w:r w:rsidR="00417359">
        <w:rPr>
          <w:rFonts w:cs="Arial"/>
        </w:rPr>
        <w:t xml:space="preserve"> </w:t>
      </w:r>
      <w:r w:rsidR="003473F4">
        <w:rPr>
          <w:rFonts w:cs="Arial"/>
        </w:rPr>
        <w:t xml:space="preserve">arrangements </w:t>
      </w:r>
      <w:r w:rsidR="00417359">
        <w:rPr>
          <w:rFonts w:cs="Arial"/>
        </w:rPr>
        <w:t>ha</w:t>
      </w:r>
      <w:r w:rsidR="007D0CB4">
        <w:rPr>
          <w:rFonts w:cs="Arial"/>
        </w:rPr>
        <w:t>ve</w:t>
      </w:r>
      <w:r w:rsidR="00417359">
        <w:rPr>
          <w:rFonts w:cs="Arial"/>
        </w:rPr>
        <w:t xml:space="preserve"> been a</w:t>
      </w:r>
      <w:r w:rsidR="003473F4">
        <w:rPr>
          <w:rFonts w:cs="Arial"/>
        </w:rPr>
        <w:t xml:space="preserve"> major factor</w:t>
      </w:r>
      <w:r>
        <w:rPr>
          <w:rFonts w:cs="Arial"/>
        </w:rPr>
        <w:t xml:space="preserve"> </w:t>
      </w:r>
      <w:r w:rsidR="000B32BC">
        <w:rPr>
          <w:rFonts w:cs="Arial"/>
        </w:rPr>
        <w:t>imped</w:t>
      </w:r>
      <w:r w:rsidR="003473F4">
        <w:rPr>
          <w:rFonts w:cs="Arial"/>
        </w:rPr>
        <w:t>ing</w:t>
      </w:r>
      <w:r w:rsidR="000B32BC">
        <w:rPr>
          <w:rFonts w:cs="Arial"/>
        </w:rPr>
        <w:t xml:space="preserve"> </w:t>
      </w:r>
      <w:r w:rsidR="005C23F5">
        <w:rPr>
          <w:rFonts w:cs="Arial"/>
        </w:rPr>
        <w:t xml:space="preserve">the use of </w:t>
      </w:r>
      <w:r>
        <w:rPr>
          <w:rFonts w:cs="Arial"/>
        </w:rPr>
        <w:t>market mechanisms</w:t>
      </w:r>
      <w:r w:rsidR="003473F4">
        <w:rPr>
          <w:rFonts w:cs="Arial"/>
        </w:rPr>
        <w:t xml:space="preserve"> </w:t>
      </w:r>
      <w:r w:rsidR="00D073E4">
        <w:rPr>
          <w:rFonts w:cs="Arial"/>
        </w:rPr>
        <w:t>to defrag spectrum holdings</w:t>
      </w:r>
      <w:r w:rsidR="00D073E4">
        <w:rPr>
          <w:color w:val="000000" w:themeColor="text1"/>
          <w:szCs w:val="20"/>
        </w:rPr>
        <w:t xml:space="preserve"> such as third-party authorisations and licence trading</w:t>
      </w:r>
      <w:r>
        <w:rPr>
          <w:rFonts w:cs="Arial"/>
        </w:rPr>
        <w:t>.</w:t>
      </w:r>
    </w:p>
    <w:p w14:paraId="228BE3FD" w14:textId="52D37312" w:rsidR="00DF06A8" w:rsidRDefault="00DF06A8" w:rsidP="00DF06A8">
      <w:bookmarkStart w:id="60" w:name="_Hlk5607514"/>
      <w:r w:rsidRPr="003473F4">
        <w:t>Under the Act</w:t>
      </w:r>
      <w:r>
        <w:t>,</w:t>
      </w:r>
      <w:r w:rsidRPr="003473F4">
        <w:t xml:space="preserve"> a spectrum licence cannot be varied to occupy spectrum outside</w:t>
      </w:r>
      <w:r>
        <w:t xml:space="preserve"> of</w:t>
      </w:r>
      <w:r w:rsidRPr="003473F4">
        <w:t xml:space="preserve"> what has been </w:t>
      </w:r>
      <w:r>
        <w:t>reallocated or designated</w:t>
      </w:r>
      <w:r w:rsidRPr="003473F4">
        <w:t xml:space="preserve"> for spectrum</w:t>
      </w:r>
      <w:r>
        <w:t xml:space="preserve"> licensing</w:t>
      </w:r>
      <w:r w:rsidRPr="003473F4">
        <w:t xml:space="preserve">. Also, an apparatus licence can only be issued within spectrum identified for spectrum licensing </w:t>
      </w:r>
      <w:r>
        <w:t xml:space="preserve">if </w:t>
      </w:r>
      <w:r w:rsidRPr="003473F4">
        <w:t xml:space="preserve">special circumstances </w:t>
      </w:r>
      <w:r>
        <w:t xml:space="preserve">apply </w:t>
      </w:r>
      <w:r w:rsidRPr="003473F4">
        <w:t>or</w:t>
      </w:r>
      <w:r>
        <w:t xml:space="preserve"> where that apparatus licence is issued</w:t>
      </w:r>
      <w:r w:rsidRPr="003473F4">
        <w:t xml:space="preserve"> </w:t>
      </w:r>
      <w:r>
        <w:t>to a body covered by paragraphs</w:t>
      </w:r>
      <w:r w:rsidRPr="003473F4">
        <w:t xml:space="preserve"> 27(b) to (be) of the Act</w:t>
      </w:r>
      <w:r>
        <w:t xml:space="preserve"> for</w:t>
      </w:r>
      <w:r w:rsidRPr="00220941">
        <w:t xml:space="preserve"> the purpose of investigations or operations conducted by th</w:t>
      </w:r>
      <w:r>
        <w:t xml:space="preserve">at </w:t>
      </w:r>
      <w:r w:rsidRPr="00220941">
        <w:t>body</w:t>
      </w:r>
      <w:r>
        <w:t xml:space="preserve"> (see section 105 of the Act)</w:t>
      </w:r>
      <w:r w:rsidRPr="003473F4">
        <w:t xml:space="preserve">.  </w:t>
      </w:r>
    </w:p>
    <w:bookmarkEnd w:id="60"/>
    <w:p w14:paraId="1315CA03" w14:textId="7B2A4F84" w:rsidR="00CF7048" w:rsidRDefault="002B79EC" w:rsidP="000B32BC">
      <w:r>
        <w:t>U</w:t>
      </w:r>
      <w:r w:rsidR="00B26E56">
        <w:t xml:space="preserve">nder current arrangements in the band, </w:t>
      </w:r>
      <w:r w:rsidR="003473F4" w:rsidRPr="003473F4">
        <w:t>any trade</w:t>
      </w:r>
      <w:r w:rsidR="00B26E56">
        <w:t xml:space="preserve">s </w:t>
      </w:r>
      <w:r w:rsidR="003473F4" w:rsidRPr="003473F4">
        <w:t xml:space="preserve">to support a defrag would require at least one licensee to trade all or part of a spectrum licence for </w:t>
      </w:r>
      <w:r w:rsidR="00B26E56">
        <w:t xml:space="preserve">an </w:t>
      </w:r>
      <w:r w:rsidR="003473F4" w:rsidRPr="003473F4">
        <w:t xml:space="preserve">apparatus licence (and vice versa). Most licensees value the </w:t>
      </w:r>
      <w:r w:rsidR="009B114B">
        <w:t>flexibility</w:t>
      </w:r>
      <w:r w:rsidR="009B114B" w:rsidRPr="003473F4">
        <w:t xml:space="preserve"> </w:t>
      </w:r>
      <w:r w:rsidR="003473F4" w:rsidRPr="003473F4">
        <w:t xml:space="preserve">and tenure of a spectrum </w:t>
      </w:r>
      <w:r>
        <w:t xml:space="preserve">licence </w:t>
      </w:r>
      <w:r w:rsidR="003473F4" w:rsidRPr="003473F4">
        <w:t>over that of an apparatus licence and will not make such a trade</w:t>
      </w:r>
      <w:r w:rsidR="00417359">
        <w:t>, particularly if the move is to site</w:t>
      </w:r>
      <w:r w:rsidR="00DB54AE">
        <w:t>-</w:t>
      </w:r>
      <w:r w:rsidR="00417359">
        <w:t>based apparatus licensing arrangements</w:t>
      </w:r>
      <w:r w:rsidR="003473F4" w:rsidRPr="003473F4">
        <w:t xml:space="preserve">. This issue appears to be what is inhibiting the use of </w:t>
      </w:r>
      <w:r w:rsidR="00D073E4">
        <w:t>third</w:t>
      </w:r>
      <w:r w:rsidR="00D073E4" w:rsidRPr="003473F4">
        <w:t>-party</w:t>
      </w:r>
      <w:r w:rsidR="003473F4" w:rsidRPr="003473F4">
        <w:t xml:space="preserve"> authorisations to </w:t>
      </w:r>
      <w:r w:rsidR="005C7E7A">
        <w:t>affect</w:t>
      </w:r>
      <w:r w:rsidR="005C7E7A" w:rsidRPr="003473F4">
        <w:t xml:space="preserve"> </w:t>
      </w:r>
      <w:r w:rsidR="003473F4" w:rsidRPr="003473F4">
        <w:t xml:space="preserve">an equivalent outcome. </w:t>
      </w:r>
      <w:r>
        <w:t>It</w:t>
      </w:r>
      <w:r w:rsidR="003473F4">
        <w:t xml:space="preserve"> is likely that the use of </w:t>
      </w:r>
      <w:r w:rsidR="00D073E4">
        <w:t>third-party</w:t>
      </w:r>
      <w:r w:rsidR="003473F4">
        <w:t xml:space="preserve"> authorisations would </w:t>
      </w:r>
      <w:r w:rsidR="003473F4" w:rsidRPr="003473F4">
        <w:t xml:space="preserve">only be considered by licensees as a stop-gap solution </w:t>
      </w:r>
      <w:r w:rsidR="00D073E4">
        <w:t>if</w:t>
      </w:r>
      <w:r w:rsidR="003473F4" w:rsidRPr="003473F4">
        <w:t xml:space="preserve"> a defrag of actual licence holdings </w:t>
      </w:r>
      <w:r w:rsidR="00B26E56">
        <w:t xml:space="preserve">to the same or equivalent licence type </w:t>
      </w:r>
      <w:r w:rsidR="00D073E4">
        <w:t>i</w:t>
      </w:r>
      <w:r w:rsidR="003473F4" w:rsidRPr="003473F4">
        <w:t xml:space="preserve">s guaranteed to occur in the future.  </w:t>
      </w:r>
    </w:p>
    <w:p w14:paraId="747E029C" w14:textId="1ED6701B" w:rsidR="00EE0B9B" w:rsidRPr="00EE0B9B" w:rsidRDefault="00EE0B9B" w:rsidP="00EE0B9B">
      <w:pPr>
        <w:pStyle w:val="Heading2"/>
      </w:pPr>
      <w:bookmarkStart w:id="61" w:name="_Toc6923105"/>
      <w:r>
        <w:lastRenderedPageBreak/>
        <w:t>New allocations for wireless broadband</w:t>
      </w:r>
      <w:bookmarkEnd w:id="61"/>
    </w:p>
    <w:p w14:paraId="23FA0EE8" w14:textId="340E6C86" w:rsidR="00A8663C" w:rsidRDefault="008E6A9C" w:rsidP="0036542C">
      <w:pPr>
        <w:spacing w:before="120"/>
      </w:pPr>
      <w:r w:rsidRPr="00EE0B9B">
        <w:t>The 3400</w:t>
      </w:r>
      <w:r w:rsidR="00E64CBA">
        <w:t>–</w:t>
      </w:r>
      <w:r w:rsidRPr="00EE0B9B">
        <w:t>3575 MHz band</w:t>
      </w:r>
      <w:r w:rsidR="00EE0B9B">
        <w:t xml:space="preserve"> forms part of the 3300</w:t>
      </w:r>
      <w:r w:rsidR="00E64CBA">
        <w:t>–</w:t>
      </w:r>
      <w:r w:rsidR="00EE0B9B">
        <w:t>3800 MHz band that is</w:t>
      </w:r>
      <w:r w:rsidRPr="00EE0B9B">
        <w:t xml:space="preserve"> identified globally for wireless broadband use (including 5G). While there are arrangements in place that support such use</w:t>
      </w:r>
      <w:r w:rsidR="00D073E4">
        <w:t xml:space="preserve"> in Australia</w:t>
      </w:r>
      <w:r w:rsidRPr="00EE0B9B">
        <w:t xml:space="preserve">, they </w:t>
      </w:r>
      <w:r w:rsidR="00EE0B9B">
        <w:t>currently</w:t>
      </w:r>
      <w:r w:rsidRPr="00EE0B9B">
        <w:t xml:space="preserve"> only cover a portion of the band.</w:t>
      </w:r>
      <w:r w:rsidR="00EE0B9B">
        <w:t xml:space="preserve"> </w:t>
      </w:r>
      <w:r w:rsidR="006D7FE2">
        <w:t>In frequencies and areas where the spectrum is not planned for wireless broadband use, it is available for</w:t>
      </w:r>
      <w:r w:rsidR="00831326">
        <w:t xml:space="preserve"> use by</w:t>
      </w:r>
      <w:r w:rsidR="006D7FE2">
        <w:t xml:space="preserve"> FSS and amateur services, on a secondary basis</w:t>
      </w:r>
      <w:r w:rsidR="0036542C">
        <w:t xml:space="preserve">. </w:t>
      </w:r>
    </w:p>
    <w:p w14:paraId="45CCA5F8" w14:textId="6F184B58" w:rsidR="0036542C" w:rsidRDefault="0036542C" w:rsidP="0036542C">
      <w:pPr>
        <w:spacing w:before="120"/>
      </w:pPr>
      <w:r>
        <w:t>Currently there is only one FSS earth station licensed for operation in regional areas. This is located near Uralla</w:t>
      </w:r>
      <w:r w:rsidR="00E64CBA">
        <w:t>,</w:t>
      </w:r>
      <w:r>
        <w:t xml:space="preserve"> NSW</w:t>
      </w:r>
      <w:r w:rsidR="00E64CBA">
        <w:t>,</w:t>
      </w:r>
      <w:r>
        <w:t xml:space="preserve"> at one of the </w:t>
      </w:r>
      <w:r w:rsidR="00831326">
        <w:t>e</w:t>
      </w:r>
      <w:r>
        <w:t xml:space="preserve">arth station protection zones (ESPZ) defined in </w:t>
      </w:r>
      <w:hyperlink r:id="rId33" w:history="1">
        <w:r w:rsidRPr="00AC4E53">
          <w:rPr>
            <w:rStyle w:val="Hyperlink"/>
          </w:rPr>
          <w:t>RALI MS44</w:t>
        </w:r>
      </w:hyperlink>
      <w:r>
        <w:t>. The 3400</w:t>
      </w:r>
      <w:r w:rsidR="00E64CBA">
        <w:t>–</w:t>
      </w:r>
      <w:r>
        <w:t>3575 MHz band is not protected at this ESPZ.</w:t>
      </w:r>
      <w:r w:rsidR="00A8663C">
        <w:t xml:space="preserve"> </w:t>
      </w:r>
      <w:r>
        <w:t>Amateur use of the band in these areas is less clear</w:t>
      </w:r>
      <w:r w:rsidR="00E64CBA">
        <w:t>,</w:t>
      </w:r>
      <w:r>
        <w:t xml:space="preserve"> as the location of most use is not recorded on the Register of Radiocommunications Licences. However, the </w:t>
      </w:r>
      <w:hyperlink r:id="rId34" w:history="1">
        <w:r w:rsidRPr="00D51C3B">
          <w:rPr>
            <w:rStyle w:val="Hyperlink"/>
            <w:rFonts w:cs="Arial"/>
            <w:i/>
          </w:rPr>
          <w:t>Australian Amateur Band Plan</w:t>
        </w:r>
      </w:hyperlink>
      <w:r>
        <w:t xml:space="preserve"> defines arrangements for use across the 3300–3600 MHz band. This means there are options for </w:t>
      </w:r>
      <w:r w:rsidR="00831326">
        <w:t>a</w:t>
      </w:r>
      <w:r>
        <w:t>mateurs to operat</w:t>
      </w:r>
      <w:r w:rsidR="00A8663C">
        <w:t>e</w:t>
      </w:r>
      <w:r>
        <w:t xml:space="preserve"> in </w:t>
      </w:r>
      <w:r w:rsidR="00A8663C">
        <w:t xml:space="preserve">either </w:t>
      </w:r>
      <w:r>
        <w:t>the 3400</w:t>
      </w:r>
      <w:r w:rsidR="00E64CBA">
        <w:t>–</w:t>
      </w:r>
      <w:r>
        <w:t xml:space="preserve">3575 MHz </w:t>
      </w:r>
      <w:r w:rsidR="00A8663C">
        <w:t xml:space="preserve">or </w:t>
      </w:r>
      <w:r>
        <w:t>3300</w:t>
      </w:r>
      <w:r w:rsidR="00E64CBA">
        <w:t>–</w:t>
      </w:r>
      <w:r>
        <w:t>3400 MHz frequency range</w:t>
      </w:r>
      <w:r w:rsidR="00A8663C">
        <w:t>s</w:t>
      </w:r>
      <w:r>
        <w:t xml:space="preserve"> in </w:t>
      </w:r>
      <w:r w:rsidR="00831326">
        <w:t>r</w:t>
      </w:r>
      <w:r>
        <w:t xml:space="preserve">egional and </w:t>
      </w:r>
      <w:r w:rsidR="00831326">
        <w:t>r</w:t>
      </w:r>
      <w:r>
        <w:t xml:space="preserve">emote areas. </w:t>
      </w:r>
    </w:p>
    <w:p w14:paraId="4B32A4B1" w14:textId="1CE8ED72" w:rsidR="00CF5475" w:rsidRDefault="009B114B" w:rsidP="003C5923">
      <w:pPr>
        <w:spacing w:before="120" w:after="80"/>
      </w:pPr>
      <w:r>
        <w:t xml:space="preserve">There appears to be an opportunity to investigate arrangements for wireless broadband </w:t>
      </w:r>
      <w:r w:rsidR="00FC6A4C">
        <w:t xml:space="preserve">use </w:t>
      </w:r>
      <w:r>
        <w:t>in more of the 3400</w:t>
      </w:r>
      <w:r w:rsidR="00E64CBA">
        <w:t>–</w:t>
      </w:r>
      <w:r>
        <w:t xml:space="preserve">3575 MHz band in </w:t>
      </w:r>
      <w:r w:rsidR="00831326">
        <w:t>r</w:t>
      </w:r>
      <w:r>
        <w:t xml:space="preserve">emote areas, </w:t>
      </w:r>
      <w:r w:rsidR="00831326">
        <w:t>r</w:t>
      </w:r>
      <w:r>
        <w:t xml:space="preserve">egional areas and </w:t>
      </w:r>
      <w:r w:rsidR="00831326">
        <w:t>m</w:t>
      </w:r>
      <w:r>
        <w:t>ajor regional centres, d</w:t>
      </w:r>
      <w:r w:rsidR="00CF5475">
        <w:t xml:space="preserve">ue to: </w:t>
      </w:r>
    </w:p>
    <w:p w14:paraId="59FFD894" w14:textId="6262A1C2" w:rsidR="004B4423" w:rsidRPr="00D073E4" w:rsidRDefault="004B4423" w:rsidP="00D073E4">
      <w:pPr>
        <w:pStyle w:val="ListBullet"/>
        <w:numPr>
          <w:ilvl w:val="0"/>
          <w:numId w:val="18"/>
        </w:numPr>
        <w:spacing w:line="240" w:lineRule="auto"/>
      </w:pPr>
      <w:r w:rsidRPr="00D073E4">
        <w:t>the secondary nature of the FSS and amateur services</w:t>
      </w:r>
      <w:r w:rsidR="0004792D">
        <w:t xml:space="preserve"> in the 3400</w:t>
      </w:r>
      <w:r w:rsidR="00077F63">
        <w:t>–</w:t>
      </w:r>
      <w:r w:rsidR="0004792D">
        <w:t>3575 MHz band</w:t>
      </w:r>
    </w:p>
    <w:p w14:paraId="66705FAE" w14:textId="3E730DF3" w:rsidR="00A8663C" w:rsidRPr="00D073E4" w:rsidRDefault="00CF5475" w:rsidP="00D073E4">
      <w:pPr>
        <w:pStyle w:val="ListBullet"/>
        <w:numPr>
          <w:ilvl w:val="0"/>
          <w:numId w:val="18"/>
        </w:numPr>
        <w:spacing w:line="240" w:lineRule="auto"/>
      </w:pPr>
      <w:r w:rsidRPr="00D073E4">
        <w:t xml:space="preserve">limited use of </w:t>
      </w:r>
      <w:r w:rsidR="00951961" w:rsidRPr="00D073E4">
        <w:t xml:space="preserve">the </w:t>
      </w:r>
      <w:r w:rsidR="0004792D">
        <w:t>3400</w:t>
      </w:r>
      <w:r w:rsidR="00077F63">
        <w:t>–</w:t>
      </w:r>
      <w:r w:rsidR="0004792D">
        <w:t xml:space="preserve">3575 MHz </w:t>
      </w:r>
      <w:r w:rsidR="00951961" w:rsidRPr="00D073E4">
        <w:t xml:space="preserve">band </w:t>
      </w:r>
      <w:r w:rsidRPr="00D073E4">
        <w:t xml:space="preserve">by </w:t>
      </w:r>
      <w:r w:rsidR="00951961" w:rsidRPr="00D073E4">
        <w:t xml:space="preserve">the </w:t>
      </w:r>
      <w:r w:rsidRPr="00D073E4">
        <w:t>FSS</w:t>
      </w:r>
    </w:p>
    <w:p w14:paraId="03118B47" w14:textId="5EEB09A1" w:rsidR="00951961" w:rsidRPr="00D073E4" w:rsidRDefault="00951961" w:rsidP="00D073E4">
      <w:pPr>
        <w:pStyle w:val="ListBullet"/>
        <w:numPr>
          <w:ilvl w:val="0"/>
          <w:numId w:val="18"/>
        </w:numPr>
        <w:spacing w:line="240" w:lineRule="auto"/>
      </w:pPr>
      <w:r w:rsidRPr="00D073E4">
        <w:t>option</w:t>
      </w:r>
      <w:r w:rsidR="004B4423" w:rsidRPr="00D073E4">
        <w:t>s for amateur spectrum use in the 3300</w:t>
      </w:r>
      <w:r w:rsidR="00E64CBA">
        <w:t>–</w:t>
      </w:r>
      <w:r w:rsidR="004B4423" w:rsidRPr="00D073E4">
        <w:t>3400 MHz frequency range</w:t>
      </w:r>
      <w:r w:rsidR="009B114B" w:rsidRPr="00D073E4">
        <w:t>.</w:t>
      </w:r>
    </w:p>
    <w:p w14:paraId="49F942A2" w14:textId="13472383" w:rsidR="004B4423" w:rsidRPr="00EE0B9B" w:rsidRDefault="001C2C73" w:rsidP="004B4423">
      <w:pPr>
        <w:pStyle w:val="Heading2"/>
      </w:pPr>
      <w:bookmarkStart w:id="62" w:name="_Toc6923106"/>
      <w:r>
        <w:t>Use of u</w:t>
      </w:r>
      <w:r w:rsidR="004B4423">
        <w:t xml:space="preserve">rban area </w:t>
      </w:r>
      <w:r w:rsidR="005F2BAC">
        <w:t>spectrum</w:t>
      </w:r>
      <w:bookmarkEnd w:id="62"/>
      <w:r w:rsidR="005F2BAC">
        <w:t xml:space="preserve"> </w:t>
      </w:r>
    </w:p>
    <w:p w14:paraId="16D52632" w14:textId="79DD43F8" w:rsidR="00D81D78" w:rsidRDefault="00D81D78" w:rsidP="00D81D78">
      <w:pPr>
        <w:rPr>
          <w:rFonts w:cs="Arial"/>
        </w:rPr>
      </w:pPr>
      <w:r>
        <w:rPr>
          <w:rFonts w:cs="Arial"/>
        </w:rPr>
        <w:t xml:space="preserve">To date, </w:t>
      </w:r>
      <w:r w:rsidRPr="00DA551E">
        <w:rPr>
          <w:rFonts w:cs="Arial"/>
        </w:rPr>
        <w:t xml:space="preserve">NBN Co </w:t>
      </w:r>
      <w:r>
        <w:rPr>
          <w:rFonts w:cs="Arial"/>
        </w:rPr>
        <w:t xml:space="preserve">has not deployed services under </w:t>
      </w:r>
      <w:r w:rsidR="00564132">
        <w:rPr>
          <w:rFonts w:cs="Arial"/>
        </w:rPr>
        <w:t xml:space="preserve">its </w:t>
      </w:r>
      <w:r>
        <w:rPr>
          <w:rFonts w:cs="Arial"/>
        </w:rPr>
        <w:t xml:space="preserve">PTS licences within </w:t>
      </w:r>
      <w:r w:rsidRPr="00DA551E">
        <w:rPr>
          <w:rFonts w:cs="Arial"/>
        </w:rPr>
        <w:t xml:space="preserve">urban </w:t>
      </w:r>
      <w:r>
        <w:rPr>
          <w:rFonts w:cs="Arial"/>
        </w:rPr>
        <w:t xml:space="preserve">and surrounding suburban </w:t>
      </w:r>
      <w:r w:rsidRPr="00DA551E">
        <w:rPr>
          <w:rFonts w:cs="Arial"/>
        </w:rPr>
        <w:t>areas</w:t>
      </w:r>
      <w:r>
        <w:rPr>
          <w:rFonts w:cs="Arial"/>
        </w:rPr>
        <w:t xml:space="preserve"> of </w:t>
      </w:r>
      <w:r w:rsidRPr="00AA1589">
        <w:rPr>
          <w:rFonts w:cs="Arial"/>
        </w:rPr>
        <w:t>Adelaide, Brisbane, Canberra, Melbourne, Perth and Sydney</w:t>
      </w:r>
      <w:r w:rsidRPr="00DA551E">
        <w:rPr>
          <w:rFonts w:cs="Arial"/>
        </w:rPr>
        <w:t>.</w:t>
      </w:r>
      <w:r>
        <w:rPr>
          <w:rFonts w:cs="Arial"/>
        </w:rPr>
        <w:t xml:space="preserve"> Consequently, there is interest from other wireless broadband operators in </w:t>
      </w:r>
      <w:r w:rsidR="00614104">
        <w:rPr>
          <w:rFonts w:cs="Arial"/>
        </w:rPr>
        <w:t xml:space="preserve">accessing </w:t>
      </w:r>
      <w:r>
        <w:rPr>
          <w:rFonts w:cs="Arial"/>
        </w:rPr>
        <w:t xml:space="preserve">these areas to deploy 5G services. Investigating </w:t>
      </w:r>
      <w:r w:rsidR="0019222E">
        <w:rPr>
          <w:rFonts w:cs="Arial"/>
        </w:rPr>
        <w:t>arrangements</w:t>
      </w:r>
      <w:r>
        <w:rPr>
          <w:rFonts w:cs="Arial"/>
        </w:rPr>
        <w:t xml:space="preserve"> to </w:t>
      </w:r>
      <w:r w:rsidR="0019222E">
        <w:rPr>
          <w:rFonts w:cs="Arial"/>
        </w:rPr>
        <w:t>facilitate</w:t>
      </w:r>
      <w:r>
        <w:rPr>
          <w:rFonts w:cs="Arial"/>
        </w:rPr>
        <w:t xml:space="preserve"> access to this spectrum</w:t>
      </w:r>
      <w:r w:rsidR="0019222E">
        <w:rPr>
          <w:rFonts w:cs="Arial"/>
        </w:rPr>
        <w:t xml:space="preserve"> for </w:t>
      </w:r>
      <w:r>
        <w:rPr>
          <w:rFonts w:cs="Arial"/>
        </w:rPr>
        <w:t>other operators could result in greater util</w:t>
      </w:r>
      <w:r w:rsidR="00831326">
        <w:rPr>
          <w:rFonts w:cs="Arial"/>
        </w:rPr>
        <w:t>isation</w:t>
      </w:r>
      <w:r w:rsidR="0019222E">
        <w:rPr>
          <w:rFonts w:cs="Arial"/>
        </w:rPr>
        <w:t xml:space="preserve"> of the band</w:t>
      </w:r>
      <w:r>
        <w:rPr>
          <w:rFonts w:cs="Arial"/>
        </w:rPr>
        <w:t xml:space="preserve"> in urban areas.</w:t>
      </w:r>
    </w:p>
    <w:p w14:paraId="50FBA756" w14:textId="3885832C" w:rsidR="00D81D78" w:rsidRDefault="00D81D78" w:rsidP="00D81D78">
      <w:pPr>
        <w:rPr>
          <w:rFonts w:cs="Arial"/>
        </w:rPr>
      </w:pPr>
      <w:r w:rsidRPr="00DA551E">
        <w:rPr>
          <w:rFonts w:cs="Arial"/>
        </w:rPr>
        <w:t xml:space="preserve">NBN Co </w:t>
      </w:r>
      <w:r w:rsidR="0019222E">
        <w:rPr>
          <w:rFonts w:cs="Arial"/>
        </w:rPr>
        <w:t>continues to</w:t>
      </w:r>
      <w:r w:rsidRPr="00DA551E">
        <w:rPr>
          <w:rFonts w:cs="Arial"/>
        </w:rPr>
        <w:t xml:space="preserve"> deploy new services in </w:t>
      </w:r>
      <w:r w:rsidR="0019222E">
        <w:rPr>
          <w:rFonts w:cs="Arial"/>
        </w:rPr>
        <w:t xml:space="preserve">locations immediately </w:t>
      </w:r>
      <w:r w:rsidRPr="00DA551E">
        <w:rPr>
          <w:rFonts w:cs="Arial"/>
        </w:rPr>
        <w:t xml:space="preserve">adjacent </w:t>
      </w:r>
      <w:r w:rsidR="0019222E">
        <w:rPr>
          <w:rFonts w:cs="Arial"/>
        </w:rPr>
        <w:t>to urban areas</w:t>
      </w:r>
      <w:r w:rsidRPr="00DA551E">
        <w:rPr>
          <w:rFonts w:cs="Arial"/>
        </w:rPr>
        <w:t>. The number of services in these areas has steadily increased over the past few years.</w:t>
      </w:r>
      <w:r w:rsidR="0019222E">
        <w:rPr>
          <w:rFonts w:cs="Arial"/>
        </w:rPr>
        <w:t xml:space="preserve"> </w:t>
      </w:r>
      <w:r w:rsidR="00073F5F">
        <w:rPr>
          <w:rFonts w:cs="Arial"/>
        </w:rPr>
        <w:t>In addition to increasing in number, the location of these serv</w:t>
      </w:r>
      <w:r w:rsidR="00062114">
        <w:rPr>
          <w:rFonts w:cs="Arial"/>
        </w:rPr>
        <w:t>ic</w:t>
      </w:r>
      <w:r w:rsidR="00073F5F">
        <w:rPr>
          <w:rFonts w:cs="Arial"/>
        </w:rPr>
        <w:t xml:space="preserve">es is both further enveloping </w:t>
      </w:r>
      <w:r w:rsidR="001A4F7A">
        <w:rPr>
          <w:rFonts w:cs="Arial"/>
        </w:rPr>
        <w:t>and, in some cases,</w:t>
      </w:r>
      <w:r w:rsidR="00073F5F">
        <w:rPr>
          <w:rFonts w:cs="Arial"/>
        </w:rPr>
        <w:t xml:space="preserve"> moving </w:t>
      </w:r>
      <w:r w:rsidR="001A4F7A">
        <w:rPr>
          <w:rFonts w:cs="Arial"/>
        </w:rPr>
        <w:t>towards urban areas</w:t>
      </w:r>
      <w:r w:rsidR="00073F5F">
        <w:rPr>
          <w:rFonts w:cs="Arial"/>
        </w:rPr>
        <w:t xml:space="preserve">. </w:t>
      </w:r>
      <w:r w:rsidR="0019222E">
        <w:rPr>
          <w:rFonts w:cs="Arial"/>
        </w:rPr>
        <w:t xml:space="preserve">This </w:t>
      </w:r>
      <w:r w:rsidR="001A4F7A">
        <w:rPr>
          <w:rFonts w:cs="Arial"/>
        </w:rPr>
        <w:t>influences</w:t>
      </w:r>
      <w:r w:rsidR="0019222E">
        <w:rPr>
          <w:rFonts w:cs="Arial"/>
        </w:rPr>
        <w:t xml:space="preserve"> </w:t>
      </w:r>
      <w:r w:rsidR="00831326">
        <w:rPr>
          <w:rFonts w:cs="Arial"/>
        </w:rPr>
        <w:t>what, if any, areas might be available for use by</w:t>
      </w:r>
      <w:r w:rsidRPr="00DA551E">
        <w:rPr>
          <w:rFonts w:cs="Arial"/>
        </w:rPr>
        <w:t xml:space="preserve"> alternative operators</w:t>
      </w:r>
      <w:r w:rsidR="00831326">
        <w:rPr>
          <w:rFonts w:cs="Arial"/>
        </w:rPr>
        <w:t xml:space="preserve"> (refer to </w:t>
      </w:r>
      <w:r w:rsidR="00564132">
        <w:rPr>
          <w:rFonts w:cs="Arial"/>
        </w:rPr>
        <w:t>‘</w:t>
      </w:r>
      <w:r w:rsidR="00831326" w:rsidRPr="003C5923">
        <w:rPr>
          <w:rFonts w:cs="Arial"/>
        </w:rPr>
        <w:t>Use of urban areas of NBN Co’s PTS licences</w:t>
      </w:r>
      <w:r w:rsidR="00564132">
        <w:rPr>
          <w:rFonts w:cs="Arial"/>
        </w:rPr>
        <w:t>’</w:t>
      </w:r>
      <w:r w:rsidR="00831326">
        <w:rPr>
          <w:rFonts w:cs="Arial"/>
          <w:i/>
        </w:rPr>
        <w:t xml:space="preserve"> </w:t>
      </w:r>
      <w:r w:rsidR="00831326">
        <w:rPr>
          <w:rFonts w:cs="Arial"/>
        </w:rPr>
        <w:t>section for further detail).</w:t>
      </w:r>
      <w:r w:rsidR="0019222E">
        <w:rPr>
          <w:rFonts w:cs="Arial"/>
        </w:rPr>
        <w:t xml:space="preserve"> Therefore, NBN Co’s future</w:t>
      </w:r>
      <w:r w:rsidR="00564132">
        <w:rPr>
          <w:rFonts w:cs="Arial"/>
        </w:rPr>
        <w:t>,</w:t>
      </w:r>
      <w:r w:rsidR="0019222E">
        <w:rPr>
          <w:rFonts w:cs="Arial"/>
        </w:rPr>
        <w:t xml:space="preserve"> </w:t>
      </w:r>
      <w:r w:rsidR="0019222E" w:rsidRPr="00DA551E">
        <w:rPr>
          <w:rFonts w:cs="Arial"/>
        </w:rPr>
        <w:t xml:space="preserve">current and </w:t>
      </w:r>
      <w:r w:rsidR="0019222E">
        <w:rPr>
          <w:rFonts w:cs="Arial"/>
        </w:rPr>
        <w:t xml:space="preserve">planned use in the band would need to be considered </w:t>
      </w:r>
      <w:r w:rsidR="007B0844">
        <w:rPr>
          <w:rFonts w:cs="Arial"/>
        </w:rPr>
        <w:t xml:space="preserve">before </w:t>
      </w:r>
      <w:r w:rsidR="0019222E">
        <w:rPr>
          <w:rFonts w:cs="Arial"/>
        </w:rPr>
        <w:t>determin</w:t>
      </w:r>
      <w:r w:rsidR="007B0844">
        <w:rPr>
          <w:rFonts w:cs="Arial"/>
        </w:rPr>
        <w:t>ing</w:t>
      </w:r>
      <w:r w:rsidR="0019222E">
        <w:rPr>
          <w:rFonts w:cs="Arial"/>
        </w:rPr>
        <w:t xml:space="preserve"> what</w:t>
      </w:r>
      <w:r w:rsidR="00564132">
        <w:rPr>
          <w:rFonts w:cs="Arial"/>
        </w:rPr>
        <w:t>,</w:t>
      </w:r>
      <w:r w:rsidR="0019222E">
        <w:rPr>
          <w:rFonts w:cs="Arial"/>
        </w:rPr>
        <w:t xml:space="preserve"> if any</w:t>
      </w:r>
      <w:r w:rsidR="00564132">
        <w:rPr>
          <w:rFonts w:cs="Arial"/>
        </w:rPr>
        <w:t>,</w:t>
      </w:r>
      <w:r w:rsidR="0019222E">
        <w:rPr>
          <w:rFonts w:cs="Arial"/>
        </w:rPr>
        <w:t xml:space="preserve"> urban areas could be made available. </w:t>
      </w:r>
    </w:p>
    <w:p w14:paraId="3324546D" w14:textId="77777777" w:rsidR="0087010E" w:rsidRDefault="0087010E" w:rsidP="0087010E">
      <w:pPr>
        <w:pStyle w:val="Heading2"/>
      </w:pPr>
      <w:bookmarkStart w:id="63" w:name="_Toc6923107"/>
      <w:r>
        <w:t>Summary</w:t>
      </w:r>
      <w:bookmarkEnd w:id="63"/>
      <w:r>
        <w:t xml:space="preserve"> </w:t>
      </w:r>
    </w:p>
    <w:p w14:paraId="69CA542E" w14:textId="7505EF0C" w:rsidR="00A04D54" w:rsidRDefault="005C23F5" w:rsidP="00640272">
      <w:pPr>
        <w:rPr>
          <w:rFonts w:cs="Arial"/>
        </w:rPr>
      </w:pPr>
      <w:r>
        <w:rPr>
          <w:rFonts w:cs="Arial"/>
        </w:rPr>
        <w:t>There has been growing interest from incumbent</w:t>
      </w:r>
      <w:r w:rsidR="00266082">
        <w:rPr>
          <w:rFonts w:cs="Arial"/>
        </w:rPr>
        <w:t xml:space="preserve"> wireless broadband operators</w:t>
      </w:r>
      <w:r>
        <w:rPr>
          <w:rFonts w:cs="Arial"/>
        </w:rPr>
        <w:t xml:space="preserve"> </w:t>
      </w:r>
      <w:r w:rsidR="007D0CB4">
        <w:rPr>
          <w:rFonts w:cs="Arial"/>
        </w:rPr>
        <w:t xml:space="preserve">in the </w:t>
      </w:r>
      <w:r w:rsidR="005619B4">
        <w:rPr>
          <w:rFonts w:cs="Arial"/>
        </w:rPr>
        <w:t>3400</w:t>
      </w:r>
      <w:r w:rsidR="00564132">
        <w:rPr>
          <w:rFonts w:cs="Arial"/>
        </w:rPr>
        <w:t>–</w:t>
      </w:r>
      <w:r w:rsidR="005619B4">
        <w:rPr>
          <w:rFonts w:cs="Arial"/>
        </w:rPr>
        <w:t>3575 MHz</w:t>
      </w:r>
      <w:r w:rsidR="007D0CB4">
        <w:rPr>
          <w:rFonts w:cs="Arial"/>
        </w:rPr>
        <w:t xml:space="preserve"> band </w:t>
      </w:r>
      <w:r>
        <w:rPr>
          <w:rFonts w:cs="Arial"/>
        </w:rPr>
        <w:t xml:space="preserve">for </w:t>
      </w:r>
      <w:r w:rsidR="007D0CB4">
        <w:rPr>
          <w:rFonts w:cs="Arial"/>
        </w:rPr>
        <w:t xml:space="preserve">spectrum </w:t>
      </w:r>
      <w:r w:rsidR="00B26E56">
        <w:rPr>
          <w:rFonts w:cs="Arial"/>
        </w:rPr>
        <w:t xml:space="preserve">and apparatus licence arrangements </w:t>
      </w:r>
      <w:r w:rsidR="007D0CB4">
        <w:rPr>
          <w:rFonts w:cs="Arial"/>
        </w:rPr>
        <w:t>to be defragged</w:t>
      </w:r>
      <w:r w:rsidR="00A04D54">
        <w:rPr>
          <w:rFonts w:cs="Arial"/>
        </w:rPr>
        <w:t>. To date</w:t>
      </w:r>
      <w:r w:rsidR="00564132">
        <w:rPr>
          <w:rFonts w:cs="Arial"/>
        </w:rPr>
        <w:t>,</w:t>
      </w:r>
      <w:r w:rsidR="00A04D54">
        <w:rPr>
          <w:rFonts w:cs="Arial"/>
        </w:rPr>
        <w:t xml:space="preserve"> the mix of licensing types across the band has impeded</w:t>
      </w:r>
      <w:r w:rsidR="005F2BAC">
        <w:rPr>
          <w:rFonts w:cs="Arial"/>
        </w:rPr>
        <w:t xml:space="preserve"> commercial negotiations facilitating change in the band.</w:t>
      </w:r>
    </w:p>
    <w:p w14:paraId="1D0BFE74" w14:textId="7FB084CF" w:rsidR="00A04D54" w:rsidRDefault="00A04D54" w:rsidP="00640272">
      <w:pPr>
        <w:rPr>
          <w:color w:val="000000" w:themeColor="text1"/>
          <w:szCs w:val="20"/>
        </w:rPr>
      </w:pPr>
      <w:r>
        <w:rPr>
          <w:rFonts w:cs="Arial"/>
        </w:rPr>
        <w:t xml:space="preserve">With the advent of 5G, </w:t>
      </w:r>
      <w:r w:rsidR="005F2BAC">
        <w:rPr>
          <w:rFonts w:cs="Arial"/>
        </w:rPr>
        <w:t>deployments in</w:t>
      </w:r>
      <w:r>
        <w:rPr>
          <w:rFonts w:cs="Arial"/>
        </w:rPr>
        <w:t xml:space="preserve"> the band </w:t>
      </w:r>
      <w:r w:rsidR="00E2787A">
        <w:rPr>
          <w:rFonts w:cs="Arial"/>
        </w:rPr>
        <w:t>are</w:t>
      </w:r>
      <w:r>
        <w:rPr>
          <w:rFonts w:cs="Arial"/>
        </w:rPr>
        <w:t xml:space="preserve"> expected to increase considerably over the coming years. This means the associated cost savings and spectral efficiencies to be gained from a defrag </w:t>
      </w:r>
      <w:r w:rsidR="007D0CB4">
        <w:rPr>
          <w:rFonts w:cs="Arial"/>
        </w:rPr>
        <w:t>are also expected to</w:t>
      </w:r>
      <w:r>
        <w:rPr>
          <w:rFonts w:cs="Arial"/>
        </w:rPr>
        <w:t xml:space="preserve"> increase. However, t</w:t>
      </w:r>
      <w:r>
        <w:rPr>
          <w:color w:val="000000" w:themeColor="text1"/>
          <w:szCs w:val="20"/>
        </w:rPr>
        <w:t>he longer it takes to find a solution</w:t>
      </w:r>
      <w:r w:rsidR="00831326">
        <w:rPr>
          <w:color w:val="000000" w:themeColor="text1"/>
          <w:szCs w:val="20"/>
        </w:rPr>
        <w:t>,</w:t>
      </w:r>
      <w:r>
        <w:rPr>
          <w:color w:val="000000" w:themeColor="text1"/>
          <w:szCs w:val="20"/>
        </w:rPr>
        <w:t xml:space="preserve"> the greater the cost and complexity in performing a defrag is likely to become (as more services are deployed). </w:t>
      </w:r>
    </w:p>
    <w:p w14:paraId="4CCEE88D" w14:textId="4AF5CDAA" w:rsidR="00894B77" w:rsidRDefault="00A8663C" w:rsidP="003C5923">
      <w:pPr>
        <w:spacing w:after="80"/>
        <w:rPr>
          <w:rFonts w:cs="Arial"/>
        </w:rPr>
      </w:pPr>
      <w:r>
        <w:rPr>
          <w:rFonts w:cs="Arial"/>
        </w:rPr>
        <w:t xml:space="preserve">There is also interest from </w:t>
      </w:r>
      <w:r w:rsidR="00894B77">
        <w:rPr>
          <w:rFonts w:cs="Arial"/>
        </w:rPr>
        <w:t>wireless broadband</w:t>
      </w:r>
      <w:r>
        <w:rPr>
          <w:rFonts w:cs="Arial"/>
        </w:rPr>
        <w:t xml:space="preserve"> operators in</w:t>
      </w:r>
      <w:r w:rsidR="00894B77">
        <w:rPr>
          <w:rFonts w:cs="Arial"/>
        </w:rPr>
        <w:t>:</w:t>
      </w:r>
      <w:r>
        <w:rPr>
          <w:rFonts w:cs="Arial"/>
        </w:rPr>
        <w:t xml:space="preserve"> </w:t>
      </w:r>
    </w:p>
    <w:p w14:paraId="6CA72291" w14:textId="119339CA" w:rsidR="00A8663C" w:rsidRPr="00D073E4" w:rsidRDefault="00564132" w:rsidP="00D073E4">
      <w:pPr>
        <w:pStyle w:val="ListBullet"/>
        <w:numPr>
          <w:ilvl w:val="0"/>
          <w:numId w:val="18"/>
        </w:numPr>
        <w:spacing w:line="240" w:lineRule="auto"/>
      </w:pPr>
      <w:r>
        <w:lastRenderedPageBreak/>
        <w:t>M</w:t>
      </w:r>
      <w:r w:rsidR="00A8663C" w:rsidRPr="00D073E4">
        <w:t>aking more of the 3400</w:t>
      </w:r>
      <w:r>
        <w:t>–</w:t>
      </w:r>
      <w:r w:rsidR="00A8663C" w:rsidRPr="00D073E4">
        <w:t xml:space="preserve">3575 MHz band available for wireless broadband use. </w:t>
      </w:r>
      <w:r w:rsidR="00CF5475" w:rsidRPr="00D073E4">
        <w:t>This could include making more spectrum available for spectrum licensing to support the deployment of wide-area wireless broadband networks. Alternatively, more spectrum for PMP apparatus licensing could be made available for use by WISPs and other localised wireless broadband operators.</w:t>
      </w:r>
    </w:p>
    <w:p w14:paraId="1BD0B903" w14:textId="581CB4AD" w:rsidR="00894B77" w:rsidRPr="00D073E4" w:rsidRDefault="00564132" w:rsidP="00D073E4">
      <w:pPr>
        <w:pStyle w:val="ListBullet"/>
        <w:numPr>
          <w:ilvl w:val="0"/>
          <w:numId w:val="18"/>
        </w:numPr>
        <w:spacing w:line="240" w:lineRule="auto"/>
      </w:pPr>
      <w:r>
        <w:t>I</w:t>
      </w:r>
      <w:r w:rsidR="00894B77" w:rsidRPr="00D073E4">
        <w:t xml:space="preserve">nvestigating </w:t>
      </w:r>
      <w:r w:rsidR="000C0BF0" w:rsidRPr="00D073E4">
        <w:t>whether</w:t>
      </w:r>
      <w:r w:rsidR="009B114B" w:rsidRPr="00D073E4">
        <w:t xml:space="preserve"> and to what degree</w:t>
      </w:r>
      <w:r w:rsidR="00894B77" w:rsidRPr="00D073E4">
        <w:t xml:space="preserve"> </w:t>
      </w:r>
      <w:r w:rsidR="000C0BF0" w:rsidRPr="00D073E4">
        <w:t xml:space="preserve">urban areas of </w:t>
      </w:r>
      <w:r w:rsidR="0019222E" w:rsidRPr="00D073E4">
        <w:t xml:space="preserve">NBN Co’s PTS licence </w:t>
      </w:r>
      <w:r w:rsidR="000C0BF0" w:rsidRPr="00D073E4">
        <w:t>could be made available</w:t>
      </w:r>
      <w:r w:rsidR="00894B77" w:rsidRPr="00D073E4">
        <w:t xml:space="preserve"> for use by other operators. This could provide an opportunity to increase util</w:t>
      </w:r>
      <w:r w:rsidR="00831326">
        <w:t>isation</w:t>
      </w:r>
      <w:r w:rsidR="00894B77" w:rsidRPr="00D073E4">
        <w:t xml:space="preserve"> of the spectrum in these areas and</w:t>
      </w:r>
      <w:r w:rsidR="00E32FBA" w:rsidRPr="00D073E4">
        <w:t xml:space="preserve"> for other operators to</w:t>
      </w:r>
      <w:r w:rsidR="00894B77" w:rsidRPr="00A37173">
        <w:t xml:space="preserve"> enhanc</w:t>
      </w:r>
      <w:r w:rsidR="00E32FBA">
        <w:t>e the</w:t>
      </w:r>
      <w:r w:rsidR="00894B77" w:rsidRPr="00A37173">
        <w:t xml:space="preserve"> delivery of</w:t>
      </w:r>
      <w:r w:rsidR="00E32FBA">
        <w:t xml:space="preserve"> their </w:t>
      </w:r>
      <w:r w:rsidR="00894B77" w:rsidRPr="00A37173">
        <w:t>services</w:t>
      </w:r>
      <w:r w:rsidR="00E32FBA">
        <w:t>.</w:t>
      </w:r>
    </w:p>
    <w:p w14:paraId="39485F4D" w14:textId="604C36D3" w:rsidR="00BA04FA" w:rsidRDefault="005F2BAC" w:rsidP="00D073E4">
      <w:pPr>
        <w:spacing w:before="240"/>
        <w:rPr>
          <w:rFonts w:cs="Arial"/>
        </w:rPr>
      </w:pPr>
      <w:r>
        <w:rPr>
          <w:rFonts w:cs="Arial"/>
        </w:rPr>
        <w:t>It is</w:t>
      </w:r>
      <w:r w:rsidR="00ED39AB">
        <w:rPr>
          <w:rFonts w:cs="Arial"/>
        </w:rPr>
        <w:t xml:space="preserve"> therefore</w:t>
      </w:r>
      <w:r>
        <w:rPr>
          <w:rFonts w:cs="Arial"/>
        </w:rPr>
        <w:t xml:space="preserve"> timely to consider</w:t>
      </w:r>
      <w:r w:rsidR="00E2787A">
        <w:rPr>
          <w:rFonts w:cs="Arial"/>
        </w:rPr>
        <w:t xml:space="preserve"> </w:t>
      </w:r>
      <w:r w:rsidR="00542F0C">
        <w:rPr>
          <w:rFonts w:cs="Arial"/>
        </w:rPr>
        <w:t xml:space="preserve">whether </w:t>
      </w:r>
      <w:r w:rsidR="00A04D54">
        <w:rPr>
          <w:rFonts w:cs="Arial"/>
        </w:rPr>
        <w:t xml:space="preserve">regulatory intervention </w:t>
      </w:r>
      <w:r w:rsidR="00542F0C">
        <w:rPr>
          <w:rFonts w:cs="Arial"/>
        </w:rPr>
        <w:t>is required</w:t>
      </w:r>
      <w:r w:rsidR="008E66EC">
        <w:rPr>
          <w:rFonts w:cs="Arial"/>
        </w:rPr>
        <w:t xml:space="preserve"> to facilitate the optimisation of </w:t>
      </w:r>
      <w:r w:rsidR="00A04D54">
        <w:rPr>
          <w:rFonts w:cs="Arial"/>
        </w:rPr>
        <w:t>arrangements</w:t>
      </w:r>
      <w:r w:rsidR="007D0CB4">
        <w:rPr>
          <w:rFonts w:cs="Arial"/>
        </w:rPr>
        <w:t xml:space="preserve"> in the </w:t>
      </w:r>
      <w:r w:rsidR="005619B4">
        <w:rPr>
          <w:rFonts w:cs="Arial"/>
        </w:rPr>
        <w:t>3400</w:t>
      </w:r>
      <w:r w:rsidR="00564132">
        <w:rPr>
          <w:rFonts w:cs="Arial"/>
        </w:rPr>
        <w:t>–</w:t>
      </w:r>
      <w:r w:rsidR="005619B4">
        <w:rPr>
          <w:rFonts w:cs="Arial"/>
        </w:rPr>
        <w:t>3575 MHz</w:t>
      </w:r>
      <w:r w:rsidR="007D0CB4">
        <w:rPr>
          <w:rFonts w:cs="Arial"/>
        </w:rPr>
        <w:t xml:space="preserve"> band for wireless broadband services</w:t>
      </w:r>
      <w:r w:rsidR="00045263">
        <w:rPr>
          <w:rFonts w:cs="Arial"/>
        </w:rPr>
        <w:t xml:space="preserve">, and if so, what form this </w:t>
      </w:r>
      <w:r w:rsidR="00430710">
        <w:rPr>
          <w:rFonts w:cs="Arial"/>
        </w:rPr>
        <w:t>sh</w:t>
      </w:r>
      <w:r w:rsidR="00045263">
        <w:rPr>
          <w:rFonts w:cs="Arial"/>
        </w:rPr>
        <w:t>ould take.</w:t>
      </w:r>
      <w:r w:rsidR="00A04D54">
        <w:rPr>
          <w:rFonts w:cs="Arial"/>
        </w:rPr>
        <w:t xml:space="preserve">  </w:t>
      </w:r>
    </w:p>
    <w:p w14:paraId="623759F0" w14:textId="66E01EA8" w:rsidR="001C2C73" w:rsidRPr="00266082" w:rsidRDefault="001C2C73" w:rsidP="00266082">
      <w:pPr>
        <w:pStyle w:val="ListParagraph"/>
        <w:numPr>
          <w:ilvl w:val="0"/>
          <w:numId w:val="64"/>
        </w:numPr>
        <w:shd w:val="clear" w:color="auto" w:fill="F2F2F2" w:themeFill="background1" w:themeFillShade="F2"/>
        <w:spacing w:before="120" w:after="120" w:line="240" w:lineRule="auto"/>
        <w:contextualSpacing w:val="0"/>
        <w:rPr>
          <w:b/>
        </w:rPr>
      </w:pPr>
      <w:bookmarkStart w:id="64" w:name="_Hlk5797134"/>
      <w:r w:rsidRPr="009F22E5">
        <w:rPr>
          <w:b/>
        </w:rPr>
        <w:t>Do stakeholders have any comments on the case for action in the 3400</w:t>
      </w:r>
      <w:r w:rsidR="00564132">
        <w:rPr>
          <w:b/>
        </w:rPr>
        <w:t>–</w:t>
      </w:r>
      <w:r w:rsidRPr="009F22E5">
        <w:rPr>
          <w:b/>
        </w:rPr>
        <w:t>3575 MHz band</w:t>
      </w:r>
      <w:r w:rsidRPr="000B728E">
        <w:rPr>
          <w:b/>
        </w:rPr>
        <w:t>?</w:t>
      </w:r>
    </w:p>
    <w:bookmarkEnd w:id="64"/>
    <w:p w14:paraId="133137D3" w14:textId="77777777" w:rsidR="001C2C73" w:rsidRDefault="001C2C73" w:rsidP="00BA04FA">
      <w:pPr>
        <w:rPr>
          <w:rFonts w:cs="Arial"/>
        </w:rPr>
      </w:pPr>
    </w:p>
    <w:p w14:paraId="55AE35D6" w14:textId="3D2FBDC9" w:rsidR="00C01513" w:rsidRPr="006D46E5" w:rsidRDefault="00C01513" w:rsidP="00C01513">
      <w:pPr>
        <w:pStyle w:val="Heading1"/>
      </w:pPr>
      <w:bookmarkStart w:id="65" w:name="_Toc6923108"/>
      <w:r>
        <w:lastRenderedPageBreak/>
        <w:t xml:space="preserve">Options </w:t>
      </w:r>
      <w:r w:rsidR="00DB54AE">
        <w:t>for change</w:t>
      </w:r>
      <w:bookmarkEnd w:id="65"/>
    </w:p>
    <w:p w14:paraId="1862CC31" w14:textId="459F040D" w:rsidR="00831326" w:rsidRDefault="00831326" w:rsidP="00831326">
      <w:pPr>
        <w:spacing w:before="240"/>
        <w:rPr>
          <w:color w:val="000000" w:themeColor="text1"/>
          <w:szCs w:val="20"/>
        </w:rPr>
      </w:pPr>
      <w:r>
        <w:rPr>
          <w:color w:val="000000" w:themeColor="text1"/>
          <w:szCs w:val="20"/>
        </w:rPr>
        <w:t>Three options are presented below to address the problem of defragmentation in the 3400</w:t>
      </w:r>
      <w:r w:rsidR="00564132">
        <w:rPr>
          <w:color w:val="000000" w:themeColor="text1"/>
          <w:szCs w:val="20"/>
        </w:rPr>
        <w:t>–</w:t>
      </w:r>
      <w:r>
        <w:rPr>
          <w:color w:val="000000" w:themeColor="text1"/>
          <w:szCs w:val="20"/>
        </w:rPr>
        <w:t xml:space="preserve">3575 MHz band (including no change to current arrangements). Options 2 and 3 </w:t>
      </w:r>
      <w:r w:rsidR="00977B3D">
        <w:rPr>
          <w:color w:val="000000" w:themeColor="text1"/>
          <w:szCs w:val="20"/>
        </w:rPr>
        <w:t xml:space="preserve">also </w:t>
      </w:r>
      <w:r>
        <w:rPr>
          <w:color w:val="000000" w:themeColor="text1"/>
          <w:szCs w:val="20"/>
        </w:rPr>
        <w:t>seek to achieve the twin goals of facilitating defrag and making more of the 3400</w:t>
      </w:r>
      <w:r w:rsidR="00564132">
        <w:rPr>
          <w:color w:val="000000" w:themeColor="text1"/>
          <w:szCs w:val="20"/>
        </w:rPr>
        <w:t>–</w:t>
      </w:r>
      <w:r>
        <w:rPr>
          <w:color w:val="000000" w:themeColor="text1"/>
          <w:szCs w:val="20"/>
        </w:rPr>
        <w:t>3575 MHz band available for wireless broadband use. These goals have been combined because several options to facilitate defrag involve the re-allocation of spectrum for the issue of spectrum licensing, thereby establishing the necessary conditions for greater use of the band by wireless broadband services. It also reduces complexity and the number of options that stakeholders would need to consider.</w:t>
      </w:r>
    </w:p>
    <w:p w14:paraId="0C665D9B" w14:textId="598CCC8D" w:rsidR="00DE2B62" w:rsidRDefault="00DE2B62" w:rsidP="00640272">
      <w:pPr>
        <w:spacing w:before="240"/>
        <w:rPr>
          <w:rFonts w:cs="Arial"/>
        </w:rPr>
      </w:pPr>
      <w:r>
        <w:t>I</w:t>
      </w:r>
      <w:r w:rsidRPr="00901375">
        <w:t>nvestigat</w:t>
      </w:r>
      <w:r>
        <w:t xml:space="preserve">ion into </w:t>
      </w:r>
      <w:r w:rsidRPr="00901375">
        <w:t xml:space="preserve">whether and to what degree urban areas of NBN Co’s </w:t>
      </w:r>
      <w:r w:rsidR="003C1B83">
        <w:t>PTS</w:t>
      </w:r>
      <w:r w:rsidRPr="00901375">
        <w:t xml:space="preserve"> licence could be made available for use by other operators</w:t>
      </w:r>
      <w:r>
        <w:t xml:space="preserve"> is considered separately (refer to the </w:t>
      </w:r>
      <w:r w:rsidR="00564132">
        <w:t>‘</w:t>
      </w:r>
      <w:r w:rsidRPr="003C5923">
        <w:t>Use of urban areas of NBN Co’s spectrum licences</w:t>
      </w:r>
      <w:r w:rsidR="00564132">
        <w:t>’</w:t>
      </w:r>
      <w:r>
        <w:t xml:space="preserve"> section</w:t>
      </w:r>
      <w:r w:rsidR="00831326">
        <w:t xml:space="preserve"> later in this paper</w:t>
      </w:r>
      <w:r>
        <w:t>).</w:t>
      </w:r>
      <w:r w:rsidR="00C1327B">
        <w:t xml:space="preserve"> This is due to the nature of the issues involved. However, it is noted that the </w:t>
      </w:r>
      <w:r w:rsidR="002A2932">
        <w:t xml:space="preserve">possible </w:t>
      </w:r>
      <w:r w:rsidR="00C1327B">
        <w:t xml:space="preserve">measures identified </w:t>
      </w:r>
      <w:r w:rsidR="002A2932">
        <w:t xml:space="preserve">to resolve this issue </w:t>
      </w:r>
      <w:r w:rsidR="00C1327B">
        <w:t xml:space="preserve">could be </w:t>
      </w:r>
      <w:r w:rsidR="00C1327B" w:rsidRPr="001C6A31">
        <w:rPr>
          <w:rFonts w:cs="Arial"/>
        </w:rPr>
        <w:t>applied to any of</w:t>
      </w:r>
      <w:r w:rsidR="00C1327B">
        <w:rPr>
          <w:rFonts w:cs="Arial"/>
        </w:rPr>
        <w:t xml:space="preserve"> the planning options identified in this section.</w:t>
      </w:r>
      <w:r w:rsidR="00C1327B" w:rsidRPr="001C6A31">
        <w:rPr>
          <w:rFonts w:cs="Arial"/>
        </w:rPr>
        <w:t xml:space="preserve"> </w:t>
      </w:r>
    </w:p>
    <w:p w14:paraId="1C27FC28" w14:textId="62314867" w:rsidR="0094555F" w:rsidRPr="00E50547" w:rsidRDefault="00A62F94" w:rsidP="00640272">
      <w:pPr>
        <w:spacing w:before="240"/>
        <w:rPr>
          <w:rFonts w:cs="Arial"/>
        </w:rPr>
      </w:pPr>
      <w:r>
        <w:rPr>
          <w:rFonts w:cs="Arial"/>
        </w:rPr>
        <w:t xml:space="preserve">Regarding the implementation of defrag and making more of the band available for wireless broadband use, the </w:t>
      </w:r>
      <w:r w:rsidRPr="00E50547">
        <w:rPr>
          <w:rFonts w:cs="Arial"/>
        </w:rPr>
        <w:t xml:space="preserve">following </w:t>
      </w:r>
      <w:r>
        <w:rPr>
          <w:rFonts w:cs="Arial"/>
        </w:rPr>
        <w:t xml:space="preserve">planning </w:t>
      </w:r>
      <w:r w:rsidRPr="00E50547">
        <w:rPr>
          <w:rFonts w:cs="Arial"/>
        </w:rPr>
        <w:t>options</w:t>
      </w:r>
      <w:r>
        <w:rPr>
          <w:rFonts w:cs="Arial"/>
        </w:rPr>
        <w:t xml:space="preserve"> have been identified:</w:t>
      </w:r>
    </w:p>
    <w:p w14:paraId="45015BC1" w14:textId="006B316E" w:rsidR="0094555F" w:rsidRPr="00802F61" w:rsidRDefault="0094555F" w:rsidP="002A2932">
      <w:pPr>
        <w:pStyle w:val="ListBullet"/>
        <w:numPr>
          <w:ilvl w:val="0"/>
          <w:numId w:val="18"/>
        </w:numPr>
        <w:spacing w:line="240" w:lineRule="auto"/>
        <w:rPr>
          <w:rFonts w:cs="Arial"/>
        </w:rPr>
      </w:pPr>
      <w:r w:rsidRPr="00802F61">
        <w:rPr>
          <w:rFonts w:cs="Arial"/>
        </w:rPr>
        <w:t>Option 1</w:t>
      </w:r>
      <w:r w:rsidR="00564132">
        <w:rPr>
          <w:rFonts w:cs="Arial"/>
        </w:rPr>
        <w:t xml:space="preserve">: </w:t>
      </w:r>
      <w:r w:rsidRPr="00802F61">
        <w:rPr>
          <w:rFonts w:cs="Arial"/>
        </w:rPr>
        <w:t>No change</w:t>
      </w:r>
      <w:r w:rsidR="002A2932">
        <w:t>.</w:t>
      </w:r>
    </w:p>
    <w:p w14:paraId="6029D10E" w14:textId="50950006" w:rsidR="0094555F" w:rsidRPr="00802F61" w:rsidRDefault="0094555F" w:rsidP="002A2932">
      <w:pPr>
        <w:pStyle w:val="ListBullet"/>
        <w:numPr>
          <w:ilvl w:val="0"/>
          <w:numId w:val="18"/>
        </w:numPr>
        <w:spacing w:line="240" w:lineRule="auto"/>
        <w:rPr>
          <w:rFonts w:cs="Arial"/>
        </w:rPr>
      </w:pPr>
      <w:r w:rsidRPr="00802F61">
        <w:rPr>
          <w:rFonts w:cs="Arial"/>
        </w:rPr>
        <w:t>Option</w:t>
      </w:r>
      <w:r w:rsidR="00A72636">
        <w:rPr>
          <w:rFonts w:cs="Arial"/>
        </w:rPr>
        <w:t xml:space="preserve"> 2</w:t>
      </w:r>
      <w:r w:rsidR="00564132">
        <w:rPr>
          <w:rFonts w:cs="Arial"/>
        </w:rPr>
        <w:t xml:space="preserve">: </w:t>
      </w:r>
      <w:r w:rsidR="00EF4478">
        <w:t xml:space="preserve">Convert and re-allocate more of the band </w:t>
      </w:r>
      <w:r w:rsidR="00071EEA">
        <w:t>for</w:t>
      </w:r>
      <w:r w:rsidR="00EF4478">
        <w:t xml:space="preserve"> spectrum </w:t>
      </w:r>
      <w:r w:rsidR="00EF4478" w:rsidRPr="00CF7048">
        <w:t>licen</w:t>
      </w:r>
      <w:r w:rsidR="00071EEA">
        <w:t>sing</w:t>
      </w:r>
      <w:r w:rsidR="00BD6A84">
        <w:t xml:space="preserve">. Two sub-options are identified. </w:t>
      </w:r>
      <w:r w:rsidR="00BD6A84" w:rsidRPr="00BD6A84">
        <w:t xml:space="preserve">Option 2a re-allocates for spectrum licensing all </w:t>
      </w:r>
      <w:r w:rsidR="002A2932">
        <w:t>r</w:t>
      </w:r>
      <w:r w:rsidR="00BD6A84" w:rsidRPr="00BD6A84">
        <w:t xml:space="preserve">egional areas </w:t>
      </w:r>
      <w:r w:rsidR="00EF7DDE">
        <w:t xml:space="preserve">and </w:t>
      </w:r>
      <w:r w:rsidR="002A2932">
        <w:t>m</w:t>
      </w:r>
      <w:r w:rsidR="00EF7DDE">
        <w:t xml:space="preserve">ajor regional centres </w:t>
      </w:r>
      <w:r w:rsidR="00BD6A84" w:rsidRPr="00BD6A84">
        <w:t xml:space="preserve">not currently subject to spectrum licensing. Option 2b only re-allocates </w:t>
      </w:r>
      <w:r w:rsidR="00EF7DDE">
        <w:t xml:space="preserve">some </w:t>
      </w:r>
      <w:r w:rsidR="002A2932">
        <w:t>r</w:t>
      </w:r>
      <w:r w:rsidR="00EF7DDE" w:rsidRPr="00BD6A84">
        <w:t xml:space="preserve">egional areas </w:t>
      </w:r>
      <w:r w:rsidR="00EF7DDE">
        <w:t xml:space="preserve">and </w:t>
      </w:r>
      <w:r w:rsidR="002A2932">
        <w:t>m</w:t>
      </w:r>
      <w:r w:rsidR="00EF7DDE">
        <w:t xml:space="preserve">ajor regional centres </w:t>
      </w:r>
      <w:r w:rsidR="00BD6A84" w:rsidRPr="00BD6A84">
        <w:t xml:space="preserve">and provides more spectrum for PMP licensing in the remaining </w:t>
      </w:r>
      <w:r w:rsidR="00EF7DDE">
        <w:t xml:space="preserve">parts </w:t>
      </w:r>
      <w:r w:rsidR="00EF7DDE" w:rsidRPr="00BD6A84">
        <w:t>not currently subject to spectrum licensing</w:t>
      </w:r>
      <w:r w:rsidR="002A2932">
        <w:t>.</w:t>
      </w:r>
    </w:p>
    <w:p w14:paraId="60B5B14A" w14:textId="189FC0EA" w:rsidR="00C96CDA" w:rsidRDefault="0094555F" w:rsidP="002A2932">
      <w:pPr>
        <w:pStyle w:val="ListBullet"/>
        <w:numPr>
          <w:ilvl w:val="0"/>
          <w:numId w:val="18"/>
        </w:numPr>
        <w:spacing w:line="240" w:lineRule="auto"/>
        <w:rPr>
          <w:rFonts w:cs="Arial"/>
        </w:rPr>
      </w:pPr>
      <w:r w:rsidRPr="00802F61">
        <w:rPr>
          <w:rFonts w:cs="Arial"/>
        </w:rPr>
        <w:t>Option 3</w:t>
      </w:r>
      <w:r w:rsidR="00564132">
        <w:rPr>
          <w:rFonts w:cs="Arial"/>
        </w:rPr>
        <w:t xml:space="preserve">: </w:t>
      </w:r>
      <w:r w:rsidR="00362BC9" w:rsidRPr="00802F61">
        <w:t xml:space="preserve">Restack </w:t>
      </w:r>
      <w:r w:rsidR="00362BC9">
        <w:t xml:space="preserve">apparatus </w:t>
      </w:r>
      <w:r w:rsidR="00362BC9" w:rsidRPr="00802F61">
        <w:t>licences</w:t>
      </w:r>
      <w:r w:rsidR="00362BC9">
        <w:t xml:space="preserve">, then convert NBN </w:t>
      </w:r>
      <w:r w:rsidR="00901375">
        <w:t xml:space="preserve">Co’s </w:t>
      </w:r>
      <w:r w:rsidR="00362BC9">
        <w:t>PTS licences to spectrum licences and re-allocate additional spectrum for spectrum licen</w:t>
      </w:r>
      <w:r w:rsidR="00071EEA">
        <w:t>sing</w:t>
      </w:r>
      <w:r w:rsidR="007B0844">
        <w:rPr>
          <w:rFonts w:cs="Arial"/>
        </w:rPr>
        <w:t>.</w:t>
      </w:r>
      <w:r w:rsidR="00BD6A84">
        <w:rPr>
          <w:rFonts w:cs="Arial"/>
        </w:rPr>
        <w:t xml:space="preserve"> </w:t>
      </w:r>
      <w:r w:rsidR="00BD6A84">
        <w:t xml:space="preserve">Two sub-options are identified. </w:t>
      </w:r>
      <w:r w:rsidR="00BD6A84" w:rsidRPr="00BD6A84">
        <w:t xml:space="preserve">Option 3a re-allocates for spectrum licensing all </w:t>
      </w:r>
      <w:r w:rsidR="003641CC">
        <w:t>r</w:t>
      </w:r>
      <w:r w:rsidR="00BD6A84" w:rsidRPr="00BD6A84">
        <w:t xml:space="preserve">egional areas not encompassed by the newly restacked and consolidated TDD PMP licence arrangements. Option 3b only re-allocates </w:t>
      </w:r>
      <w:r w:rsidR="002A2932">
        <w:t>r</w:t>
      </w:r>
      <w:r w:rsidR="00EF7DDE" w:rsidRPr="00BD6A84">
        <w:t xml:space="preserve">egional areas </w:t>
      </w:r>
      <w:r w:rsidR="00EF7DDE">
        <w:t xml:space="preserve">and </w:t>
      </w:r>
      <w:r w:rsidR="002A2932">
        <w:t>m</w:t>
      </w:r>
      <w:r w:rsidR="00EF7DDE">
        <w:t xml:space="preserve">ajor regional centres </w:t>
      </w:r>
      <w:r w:rsidR="00BD6A84" w:rsidRPr="00BD6A84">
        <w:t>in the 3400</w:t>
      </w:r>
      <w:r w:rsidR="00D150C6">
        <w:t>–</w:t>
      </w:r>
      <w:r w:rsidR="00BD6A84" w:rsidRPr="00BD6A84">
        <w:t xml:space="preserve">3442.5 MHz frequency range and provides more spectrum for TDD PMP licensing </w:t>
      </w:r>
      <w:r w:rsidR="00EF7DDE" w:rsidRPr="00BD6A84">
        <w:t xml:space="preserve">in the remaining </w:t>
      </w:r>
      <w:r w:rsidR="00EF7DDE">
        <w:t xml:space="preserve">parts </w:t>
      </w:r>
      <w:r w:rsidR="00EF7DDE" w:rsidRPr="00BD6A84">
        <w:t>not currently subject to spectrum licensing</w:t>
      </w:r>
      <w:r w:rsidR="00BD6A84" w:rsidRPr="00BD6A84">
        <w:t>.</w:t>
      </w:r>
      <w:r w:rsidR="00B26E56" w:rsidRPr="00E2787A">
        <w:rPr>
          <w:rFonts w:cs="Arial"/>
        </w:rPr>
        <w:t xml:space="preserve"> </w:t>
      </w:r>
    </w:p>
    <w:p w14:paraId="624FAE5B" w14:textId="7476BD7F" w:rsidR="00B26E56" w:rsidRPr="00ED39AB" w:rsidRDefault="002A2932" w:rsidP="003C5923">
      <w:pPr>
        <w:spacing w:before="240"/>
        <w:rPr>
          <w:rFonts w:cs="Arial"/>
        </w:rPr>
      </w:pPr>
      <w:r>
        <w:rPr>
          <w:rFonts w:cs="Arial"/>
        </w:rPr>
        <w:t>The ACMA recognises</w:t>
      </w:r>
      <w:r w:rsidR="00987C99">
        <w:rPr>
          <w:rFonts w:cs="Arial"/>
        </w:rPr>
        <w:t xml:space="preserve"> that t</w:t>
      </w:r>
      <w:r w:rsidR="009B2568" w:rsidRPr="002A0C94">
        <w:rPr>
          <w:rFonts w:cs="Arial"/>
        </w:rPr>
        <w:t xml:space="preserve">here are various outcomes that could be implemented under each </w:t>
      </w:r>
      <w:r w:rsidR="00EE1F80" w:rsidRPr="00884ECB">
        <w:rPr>
          <w:rFonts w:cs="Arial"/>
        </w:rPr>
        <w:t>p</w:t>
      </w:r>
      <w:r w:rsidR="00C96CDA" w:rsidRPr="00884ECB">
        <w:rPr>
          <w:rFonts w:cs="Arial"/>
        </w:rPr>
        <w:t>lanning option</w:t>
      </w:r>
      <w:r w:rsidR="00987C99">
        <w:rPr>
          <w:rFonts w:cs="Arial"/>
        </w:rPr>
        <w:t>. T</w:t>
      </w:r>
      <w:r w:rsidR="009B2568" w:rsidRPr="00542DC7">
        <w:rPr>
          <w:rFonts w:cs="Arial"/>
        </w:rPr>
        <w:t xml:space="preserve">he ACMA is </w:t>
      </w:r>
      <w:r w:rsidR="00C96CDA" w:rsidRPr="00542DC7">
        <w:rPr>
          <w:rFonts w:cs="Arial"/>
        </w:rPr>
        <w:t xml:space="preserve">interested and </w:t>
      </w:r>
      <w:r w:rsidR="009B2568" w:rsidRPr="00542DC7">
        <w:rPr>
          <w:rFonts w:cs="Arial"/>
        </w:rPr>
        <w:t xml:space="preserve">open to considering </w:t>
      </w:r>
      <w:r w:rsidR="00713847" w:rsidRPr="00030E51">
        <w:rPr>
          <w:rFonts w:cs="Arial"/>
        </w:rPr>
        <w:t xml:space="preserve">other </w:t>
      </w:r>
      <w:r w:rsidR="00B776A3" w:rsidRPr="00A44267">
        <w:rPr>
          <w:rFonts w:cs="Arial"/>
        </w:rPr>
        <w:t xml:space="preserve">approaches </w:t>
      </w:r>
      <w:r>
        <w:rPr>
          <w:rFonts w:cs="Arial"/>
        </w:rPr>
        <w:t>with appropriate supporting evidence or reasoning</w:t>
      </w:r>
      <w:r w:rsidRPr="00ED39AB">
        <w:rPr>
          <w:rFonts w:cs="Arial"/>
        </w:rPr>
        <w:t>.</w:t>
      </w:r>
    </w:p>
    <w:p w14:paraId="48B52FD2" w14:textId="6D413114" w:rsidR="00371CF7" w:rsidRDefault="00C96CDA" w:rsidP="003C5923">
      <w:pPr>
        <w:spacing w:before="240" w:after="80"/>
        <w:rPr>
          <w:rFonts w:cs="Arial"/>
        </w:rPr>
      </w:pPr>
      <w:r>
        <w:rPr>
          <w:rFonts w:cs="Arial"/>
        </w:rPr>
        <w:t>For understanding and consideration of the</w:t>
      </w:r>
      <w:r w:rsidR="00987C99">
        <w:rPr>
          <w:rFonts w:cs="Arial"/>
        </w:rPr>
        <w:t xml:space="preserve"> planning</w:t>
      </w:r>
      <w:r>
        <w:rPr>
          <w:rFonts w:cs="Arial"/>
        </w:rPr>
        <w:t xml:space="preserve"> options:</w:t>
      </w:r>
      <w:r w:rsidR="001046D2" w:rsidRPr="003463F1">
        <w:rPr>
          <w:rFonts w:cs="Arial"/>
        </w:rPr>
        <w:t xml:space="preserve"> </w:t>
      </w:r>
    </w:p>
    <w:p w14:paraId="19D8493E" w14:textId="0A50994A" w:rsidR="00A759FE" w:rsidRPr="00802F61" w:rsidRDefault="003463F1" w:rsidP="002A2932">
      <w:pPr>
        <w:pStyle w:val="ListBullet"/>
        <w:numPr>
          <w:ilvl w:val="0"/>
          <w:numId w:val="18"/>
        </w:numPr>
        <w:spacing w:line="240" w:lineRule="auto"/>
        <w:rPr>
          <w:rFonts w:cs="Arial"/>
        </w:rPr>
      </w:pPr>
      <w:r w:rsidRPr="00802F61">
        <w:rPr>
          <w:rFonts w:cs="Arial"/>
        </w:rPr>
        <w:t>T</w:t>
      </w:r>
      <w:r w:rsidR="001046D2" w:rsidRPr="00802F61">
        <w:rPr>
          <w:rFonts w:cs="Arial"/>
        </w:rPr>
        <w:t xml:space="preserve">he terms </w:t>
      </w:r>
      <w:r w:rsidR="002A2932" w:rsidRPr="002A2932">
        <w:t>m</w:t>
      </w:r>
      <w:r w:rsidR="001046D2" w:rsidRPr="002A2932">
        <w:t xml:space="preserve">etropolitan, </w:t>
      </w:r>
      <w:r w:rsidR="002A2932" w:rsidRPr="002A2932">
        <w:t>r</w:t>
      </w:r>
      <w:r w:rsidR="001046D2" w:rsidRPr="002A2932">
        <w:t xml:space="preserve">egional </w:t>
      </w:r>
      <w:r w:rsidR="001046D2" w:rsidRPr="00802F61">
        <w:rPr>
          <w:rFonts w:cs="Arial"/>
        </w:rPr>
        <w:t xml:space="preserve">and </w:t>
      </w:r>
      <w:r w:rsidR="002A2932" w:rsidRPr="002A2932">
        <w:t>r</w:t>
      </w:r>
      <w:r w:rsidR="001046D2" w:rsidRPr="002A2932">
        <w:t>emote</w:t>
      </w:r>
      <w:r w:rsidR="001046D2" w:rsidRPr="00802F61">
        <w:rPr>
          <w:rFonts w:cs="Arial"/>
        </w:rPr>
        <w:t xml:space="preserve"> areas </w:t>
      </w:r>
      <w:r w:rsidR="00A759FE" w:rsidRPr="00802F61">
        <w:rPr>
          <w:rFonts w:cs="Arial"/>
        </w:rPr>
        <w:t xml:space="preserve">as well as </w:t>
      </w:r>
      <w:r w:rsidR="002A2932" w:rsidRPr="002A2932">
        <w:t>m</w:t>
      </w:r>
      <w:r w:rsidR="00A759FE" w:rsidRPr="002A2932">
        <w:t>ajor</w:t>
      </w:r>
      <w:r w:rsidR="00A759FE" w:rsidRPr="00802F61">
        <w:rPr>
          <w:rFonts w:cs="Arial"/>
        </w:rPr>
        <w:t xml:space="preserve"> </w:t>
      </w:r>
      <w:r w:rsidR="00D82563">
        <w:rPr>
          <w:rFonts w:cs="Arial"/>
        </w:rPr>
        <w:t>r</w:t>
      </w:r>
      <w:r w:rsidR="00A759FE" w:rsidRPr="00802F61">
        <w:rPr>
          <w:rFonts w:cs="Arial"/>
        </w:rPr>
        <w:t xml:space="preserve">egional </w:t>
      </w:r>
      <w:r w:rsidR="00D82563">
        <w:rPr>
          <w:rFonts w:cs="Arial"/>
        </w:rPr>
        <w:t>c</w:t>
      </w:r>
      <w:r w:rsidR="00A759FE" w:rsidRPr="00802F61">
        <w:rPr>
          <w:rFonts w:cs="Arial"/>
        </w:rPr>
        <w:t xml:space="preserve">entres </w:t>
      </w:r>
      <w:r w:rsidR="001046D2" w:rsidRPr="00802F61">
        <w:rPr>
          <w:rFonts w:cs="Arial"/>
        </w:rPr>
        <w:t xml:space="preserve">are defined in </w:t>
      </w:r>
      <w:r w:rsidR="001046D2" w:rsidRPr="003C5923">
        <w:t>Appendix B</w:t>
      </w:r>
      <w:r w:rsidR="00D150C6">
        <w:t>.</w:t>
      </w:r>
    </w:p>
    <w:p w14:paraId="403E70AF" w14:textId="511571F1" w:rsidR="001046D2" w:rsidRPr="00802F61" w:rsidRDefault="00D53D0B" w:rsidP="002A2932">
      <w:pPr>
        <w:pStyle w:val="ListBullet"/>
        <w:numPr>
          <w:ilvl w:val="0"/>
          <w:numId w:val="18"/>
        </w:numPr>
        <w:spacing w:line="240" w:lineRule="auto"/>
        <w:rPr>
          <w:rFonts w:cs="Arial"/>
        </w:rPr>
      </w:pPr>
      <w:r w:rsidRPr="00802F61">
        <w:rPr>
          <w:rFonts w:cs="Arial"/>
        </w:rPr>
        <w:t xml:space="preserve">The geographical area encompassed by NBN Co’s 3.5 GHz PTS licences are also defined in </w:t>
      </w:r>
      <w:r w:rsidRPr="003C5923">
        <w:t>Appendix B</w:t>
      </w:r>
      <w:r w:rsidR="00D150C6">
        <w:t>.</w:t>
      </w:r>
      <w:r w:rsidRPr="00802F61">
        <w:rPr>
          <w:rFonts w:cs="Arial"/>
        </w:rPr>
        <w:t xml:space="preserve"> </w:t>
      </w:r>
    </w:p>
    <w:p w14:paraId="28957441" w14:textId="6B7FA5AE" w:rsidR="00024B68" w:rsidRDefault="009D3FB8" w:rsidP="002A2932">
      <w:pPr>
        <w:pStyle w:val="ListBullet"/>
        <w:numPr>
          <w:ilvl w:val="0"/>
          <w:numId w:val="18"/>
        </w:numPr>
        <w:spacing w:line="240" w:lineRule="auto"/>
        <w:rPr>
          <w:rFonts w:cs="Arial"/>
        </w:rPr>
      </w:pPr>
      <w:r>
        <w:rPr>
          <w:rFonts w:cs="Arial"/>
        </w:rPr>
        <w:t xml:space="preserve">Under all </w:t>
      </w:r>
      <w:r w:rsidR="00EE1F80">
        <w:rPr>
          <w:rFonts w:cs="Arial"/>
        </w:rPr>
        <w:t xml:space="preserve">planning </w:t>
      </w:r>
      <w:r>
        <w:rPr>
          <w:rFonts w:cs="Arial"/>
        </w:rPr>
        <w:t>options</w:t>
      </w:r>
      <w:r w:rsidR="00D150C6">
        <w:rPr>
          <w:rFonts w:cs="Arial"/>
        </w:rPr>
        <w:t>,</w:t>
      </w:r>
      <w:r>
        <w:rPr>
          <w:rFonts w:cs="Arial"/>
        </w:rPr>
        <w:t xml:space="preserve"> it is intended that</w:t>
      </w:r>
      <w:r w:rsidR="00024B68">
        <w:rPr>
          <w:rFonts w:cs="Arial"/>
        </w:rPr>
        <w:t>:</w:t>
      </w:r>
      <w:r>
        <w:rPr>
          <w:rFonts w:cs="Arial"/>
        </w:rPr>
        <w:t xml:space="preserve"> </w:t>
      </w:r>
    </w:p>
    <w:p w14:paraId="496301B1" w14:textId="3EC0FE05" w:rsidR="00024B68" w:rsidRDefault="009D3FB8" w:rsidP="002A2932">
      <w:pPr>
        <w:pStyle w:val="ListBullet"/>
        <w:numPr>
          <w:ilvl w:val="1"/>
          <w:numId w:val="18"/>
        </w:numPr>
        <w:spacing w:line="240" w:lineRule="auto"/>
        <w:rPr>
          <w:rFonts w:cs="Arial"/>
        </w:rPr>
      </w:pPr>
      <w:r>
        <w:rPr>
          <w:rFonts w:cs="Arial"/>
        </w:rPr>
        <w:t xml:space="preserve">Radiolocation services operated by the Department of Defence would continue operating under </w:t>
      </w:r>
      <w:r w:rsidR="002A2932">
        <w:t>existing</w:t>
      </w:r>
      <w:r>
        <w:rPr>
          <w:rFonts w:cs="Arial"/>
        </w:rPr>
        <w:t xml:space="preserve"> arrangements</w:t>
      </w:r>
      <w:r w:rsidR="00D150C6">
        <w:rPr>
          <w:rFonts w:cs="Arial"/>
        </w:rPr>
        <w:t xml:space="preserve">. </w:t>
      </w:r>
      <w:r>
        <w:rPr>
          <w:rFonts w:cs="Arial"/>
        </w:rPr>
        <w:t xml:space="preserve"> </w:t>
      </w:r>
    </w:p>
    <w:p w14:paraId="1AACFF17" w14:textId="1FBD98B4" w:rsidR="00024B68" w:rsidRPr="00024B68" w:rsidRDefault="00024B68" w:rsidP="002A2932">
      <w:pPr>
        <w:pStyle w:val="ListBullet"/>
        <w:numPr>
          <w:ilvl w:val="1"/>
          <w:numId w:val="18"/>
        </w:numPr>
        <w:spacing w:line="240" w:lineRule="auto"/>
        <w:rPr>
          <w:rFonts w:cs="Arial"/>
        </w:rPr>
      </w:pPr>
      <w:r>
        <w:rPr>
          <w:rFonts w:cs="Arial"/>
        </w:rPr>
        <w:t xml:space="preserve">Arrangements for </w:t>
      </w:r>
      <w:r w:rsidR="00845A44">
        <w:rPr>
          <w:rFonts w:cs="Arial"/>
        </w:rPr>
        <w:t xml:space="preserve">radiocommunications </w:t>
      </w:r>
      <w:r>
        <w:rPr>
          <w:rFonts w:cs="Arial"/>
        </w:rPr>
        <w:t>devices authorised to operate under t</w:t>
      </w:r>
      <w:r w:rsidRPr="002A2932">
        <w:t xml:space="preserve">he </w:t>
      </w:r>
      <w:hyperlink r:id="rId35" w:history="1">
        <w:r w:rsidRPr="002A2932">
          <w:rPr>
            <w:rStyle w:val="Hyperlink"/>
            <w:i/>
          </w:rPr>
          <w:t>Radiocommunications (Low Interference Potential Devices) Class Licence 2015</w:t>
        </w:r>
      </w:hyperlink>
      <w:r w:rsidRPr="002A2932">
        <w:rPr>
          <w:i/>
        </w:rPr>
        <w:t xml:space="preserve"> </w:t>
      </w:r>
      <w:r w:rsidRPr="002A2932">
        <w:t>will not be affected</w:t>
      </w:r>
      <w:r w:rsidR="00FB53D9" w:rsidRPr="002A2932">
        <w:t xml:space="preserve">. </w:t>
      </w:r>
    </w:p>
    <w:p w14:paraId="08F43754" w14:textId="46D218F4" w:rsidR="001C2C73" w:rsidRDefault="00371CF7" w:rsidP="002A2932">
      <w:pPr>
        <w:pStyle w:val="ListBullet"/>
        <w:numPr>
          <w:ilvl w:val="0"/>
          <w:numId w:val="18"/>
        </w:numPr>
        <w:spacing w:before="80" w:line="240" w:lineRule="auto"/>
        <w:rPr>
          <w:rFonts w:cs="Arial"/>
        </w:rPr>
      </w:pPr>
      <w:r w:rsidRPr="003C5923">
        <w:t>Appendix C</w:t>
      </w:r>
      <w:r w:rsidRPr="00802F61">
        <w:rPr>
          <w:rFonts w:cs="Arial"/>
        </w:rPr>
        <w:t xml:space="preserve"> </w:t>
      </w:r>
      <w:bookmarkStart w:id="66" w:name="_Hlk1118348"/>
      <w:r w:rsidR="002A2932" w:rsidRPr="00802F61">
        <w:rPr>
          <w:rFonts w:cs="Arial"/>
        </w:rPr>
        <w:t xml:space="preserve">provides detail </w:t>
      </w:r>
      <w:r w:rsidR="00077F63">
        <w:rPr>
          <w:rFonts w:cs="Arial"/>
        </w:rPr>
        <w:t xml:space="preserve">on </w:t>
      </w:r>
      <w:r w:rsidR="004355DF">
        <w:rPr>
          <w:rFonts w:cs="Arial"/>
        </w:rPr>
        <w:t>what</w:t>
      </w:r>
      <w:r w:rsidR="004D0441">
        <w:rPr>
          <w:rFonts w:cs="Arial"/>
        </w:rPr>
        <w:t xml:space="preserve"> defrag would look like for </w:t>
      </w:r>
      <w:r w:rsidR="002A2932">
        <w:rPr>
          <w:rFonts w:cs="Arial"/>
        </w:rPr>
        <w:t xml:space="preserve">Optus spectrum licence holdings in </w:t>
      </w:r>
      <w:r w:rsidR="002A2932">
        <w:t>metropolitan</w:t>
      </w:r>
      <w:r w:rsidR="002A2932">
        <w:rPr>
          <w:rFonts w:cs="Arial"/>
        </w:rPr>
        <w:t xml:space="preserve"> areas and NBN Co’s PTS licences</w:t>
      </w:r>
      <w:r w:rsidR="002A2932">
        <w:t>.</w:t>
      </w:r>
      <w:r w:rsidR="002A2932">
        <w:rPr>
          <w:rFonts w:cs="Arial"/>
        </w:rPr>
        <w:t xml:space="preserve"> This is where the most significant benefits </w:t>
      </w:r>
      <w:r w:rsidR="002A2932">
        <w:t xml:space="preserve">of </w:t>
      </w:r>
      <w:r w:rsidR="002A2932">
        <w:rPr>
          <w:rFonts w:cs="Arial"/>
        </w:rPr>
        <w:t>a defrag are expected to be realised</w:t>
      </w:r>
      <w:r w:rsidR="002A2932">
        <w:t xml:space="preserve"> and</w:t>
      </w:r>
      <w:r w:rsidR="002A2932">
        <w:rPr>
          <w:rFonts w:cs="Arial"/>
        </w:rPr>
        <w:t xml:space="preserve"> is the minimum degree of defrag </w:t>
      </w:r>
      <w:r w:rsidR="00C4429F">
        <w:rPr>
          <w:rFonts w:cs="Arial"/>
        </w:rPr>
        <w:t xml:space="preserve">the ACMA is seeking to </w:t>
      </w:r>
      <w:r w:rsidR="00696313">
        <w:rPr>
          <w:rFonts w:cs="Arial"/>
        </w:rPr>
        <w:t>facilitate</w:t>
      </w:r>
      <w:r w:rsidR="00696313" w:rsidDel="00C4429F">
        <w:t xml:space="preserve"> </w:t>
      </w:r>
      <w:r w:rsidR="00696313">
        <w:rPr>
          <w:rFonts w:cs="Arial"/>
        </w:rPr>
        <w:t>in</w:t>
      </w:r>
      <w:r w:rsidR="002A2932">
        <w:rPr>
          <w:rFonts w:cs="Arial"/>
        </w:rPr>
        <w:t xml:space="preserve"> the band.</w:t>
      </w:r>
    </w:p>
    <w:p w14:paraId="3F2ED502" w14:textId="7A683234" w:rsidR="00A87C38" w:rsidRDefault="00F02232" w:rsidP="002A2932">
      <w:pPr>
        <w:pStyle w:val="ListBullet"/>
        <w:numPr>
          <w:ilvl w:val="0"/>
          <w:numId w:val="18"/>
        </w:numPr>
        <w:spacing w:line="240" w:lineRule="auto"/>
        <w:rPr>
          <w:rFonts w:cs="Arial"/>
        </w:rPr>
      </w:pPr>
      <w:r>
        <w:rPr>
          <w:rFonts w:cs="Arial"/>
        </w:rPr>
        <w:lastRenderedPageBreak/>
        <w:t xml:space="preserve">There is 2.5 MHz of unallocated spectrum licence spectrum in Canberra. </w:t>
      </w:r>
      <w:r w:rsidR="00A87C38">
        <w:rPr>
          <w:rFonts w:cs="Arial"/>
        </w:rPr>
        <w:t xml:space="preserve">The ACMA is conducting a separate process to allocate this spectrum. </w:t>
      </w:r>
      <w:r w:rsidR="00DE310B">
        <w:rPr>
          <w:rFonts w:cs="Arial"/>
        </w:rPr>
        <w:t xml:space="preserve">All planning options in this paper assume this spectrum will be allocated and can therefore form part of any trading or </w:t>
      </w:r>
      <w:r w:rsidR="002A2932">
        <w:t>third</w:t>
      </w:r>
      <w:r w:rsidR="002A2932" w:rsidRPr="002A2932">
        <w:t>-</w:t>
      </w:r>
      <w:r w:rsidR="002A2932">
        <w:rPr>
          <w:rFonts w:cs="Arial"/>
        </w:rPr>
        <w:t>party</w:t>
      </w:r>
      <w:r w:rsidR="00DE310B">
        <w:rPr>
          <w:rFonts w:cs="Arial"/>
        </w:rPr>
        <w:t xml:space="preserve"> authorisation discussions to facilitate defrag.</w:t>
      </w:r>
      <w:r w:rsidR="00A87C38">
        <w:rPr>
          <w:rFonts w:cs="Arial"/>
        </w:rPr>
        <w:t xml:space="preserve"> </w:t>
      </w:r>
    </w:p>
    <w:p w14:paraId="67BFB75A" w14:textId="77777777" w:rsidR="00A677C2" w:rsidRPr="00A677C2" w:rsidRDefault="00A677C2" w:rsidP="00A677C2">
      <w:pPr>
        <w:pStyle w:val="ListParagraph"/>
        <w:ind w:left="360"/>
        <w:rPr>
          <w:rFonts w:cs="Arial"/>
        </w:rPr>
      </w:pPr>
    </w:p>
    <w:p w14:paraId="701085B1" w14:textId="7439360B" w:rsidR="001C2C73" w:rsidRPr="009A7A2A" w:rsidRDefault="001C2C73" w:rsidP="00A677C2">
      <w:pPr>
        <w:pStyle w:val="ListParagraph"/>
        <w:numPr>
          <w:ilvl w:val="0"/>
          <w:numId w:val="64"/>
        </w:numPr>
        <w:shd w:val="clear" w:color="auto" w:fill="F2F2F2" w:themeFill="background1" w:themeFillShade="F2"/>
        <w:spacing w:before="240" w:after="120" w:line="240" w:lineRule="auto"/>
        <w:contextualSpacing w:val="0"/>
        <w:rPr>
          <w:b/>
        </w:rPr>
      </w:pPr>
      <w:bookmarkStart w:id="67" w:name="_Hlk5797147"/>
      <w:r w:rsidRPr="00AC2CAC">
        <w:rPr>
          <w:b/>
        </w:rPr>
        <w:t xml:space="preserve">Do stakeholders have any comments </w:t>
      </w:r>
      <w:r>
        <w:rPr>
          <w:b/>
        </w:rPr>
        <w:t>on the planning options</w:t>
      </w:r>
      <w:r w:rsidR="009A7A2A">
        <w:rPr>
          <w:b/>
        </w:rPr>
        <w:t xml:space="preserve"> identified</w:t>
      </w:r>
      <w:r w:rsidRPr="00AC2CAC">
        <w:rPr>
          <w:b/>
        </w:rPr>
        <w:t>?</w:t>
      </w:r>
      <w:r w:rsidR="009A7A2A">
        <w:rPr>
          <w:b/>
        </w:rPr>
        <w:t xml:space="preserve"> Are the</w:t>
      </w:r>
      <w:r w:rsidR="002A2932">
        <w:rPr>
          <w:b/>
        </w:rPr>
        <w:t>re</w:t>
      </w:r>
      <w:r w:rsidR="009A7A2A">
        <w:rPr>
          <w:b/>
        </w:rPr>
        <w:t xml:space="preserve"> any other planning options that should be considered</w:t>
      </w:r>
      <w:r w:rsidR="00D150C6">
        <w:rPr>
          <w:b/>
        </w:rPr>
        <w:t>?</w:t>
      </w:r>
      <w:r w:rsidR="009A7A2A">
        <w:rPr>
          <w:b/>
        </w:rPr>
        <w:t xml:space="preserve"> (</w:t>
      </w:r>
      <w:r w:rsidR="00D150C6">
        <w:rPr>
          <w:b/>
        </w:rPr>
        <w:t>P</w:t>
      </w:r>
      <w:r w:rsidR="009A7A2A">
        <w:rPr>
          <w:b/>
        </w:rPr>
        <w:t>lease provide reasoning</w:t>
      </w:r>
      <w:r w:rsidR="00D150C6">
        <w:rPr>
          <w:b/>
        </w:rPr>
        <w:t>.</w:t>
      </w:r>
      <w:r w:rsidR="009A7A2A">
        <w:rPr>
          <w:b/>
        </w:rPr>
        <w:t>)</w:t>
      </w:r>
    </w:p>
    <w:p w14:paraId="301BE9C7" w14:textId="0AE59DBE" w:rsidR="001C2F3E" w:rsidRPr="00056519" w:rsidRDefault="001C2F3E" w:rsidP="001C2F3E">
      <w:pPr>
        <w:pStyle w:val="Heading2"/>
        <w:spacing w:after="240"/>
      </w:pPr>
      <w:bookmarkStart w:id="68" w:name="_Toc6923109"/>
      <w:bookmarkEnd w:id="67"/>
      <w:r w:rsidRPr="00056519">
        <w:t xml:space="preserve">Summary of </w:t>
      </w:r>
      <w:r w:rsidR="00EE1F80">
        <w:t xml:space="preserve">planning </w:t>
      </w:r>
      <w:r w:rsidRPr="00056519">
        <w:t>options</w:t>
      </w:r>
      <w:bookmarkEnd w:id="68"/>
    </w:p>
    <w:p w14:paraId="39E43EB3" w14:textId="171EB8C2" w:rsidR="001C2F3E" w:rsidRPr="002A2932" w:rsidRDefault="001C2F3E" w:rsidP="00E644A1">
      <w:pPr>
        <w:rPr>
          <w:rFonts w:cs="Arial"/>
        </w:rPr>
      </w:pPr>
      <w:r w:rsidRPr="002A2932">
        <w:rPr>
          <w:rFonts w:cs="Arial"/>
        </w:rPr>
        <w:t xml:space="preserve">Figure </w:t>
      </w:r>
      <w:r w:rsidR="00A72636" w:rsidRPr="002A2932">
        <w:rPr>
          <w:rFonts w:cs="Arial"/>
        </w:rPr>
        <w:t>3</w:t>
      </w:r>
      <w:r w:rsidRPr="002A2932">
        <w:rPr>
          <w:rFonts w:cs="Arial"/>
        </w:rPr>
        <w:t xml:space="preserve"> </w:t>
      </w:r>
      <w:r w:rsidR="002A2932">
        <w:rPr>
          <w:rFonts w:cs="Arial"/>
        </w:rPr>
        <w:t xml:space="preserve">illustrates </w:t>
      </w:r>
      <w:r w:rsidRPr="002A2932">
        <w:rPr>
          <w:rFonts w:cs="Arial"/>
        </w:rPr>
        <w:t>the steps involved in the implementation of Options 1</w:t>
      </w:r>
      <w:r w:rsidR="00D150C6">
        <w:rPr>
          <w:rFonts w:cs="Arial"/>
        </w:rPr>
        <w:t>–</w:t>
      </w:r>
      <w:r w:rsidR="00AB702D" w:rsidRPr="002A2932">
        <w:rPr>
          <w:rFonts w:cs="Arial"/>
        </w:rPr>
        <w:t>3</w:t>
      </w:r>
      <w:r w:rsidR="00A72636" w:rsidRPr="002A2932">
        <w:rPr>
          <w:rFonts w:cs="Arial"/>
        </w:rPr>
        <w:t xml:space="preserve"> by sub-option</w:t>
      </w:r>
      <w:r w:rsidRPr="002A2932">
        <w:rPr>
          <w:rFonts w:cs="Arial"/>
        </w:rPr>
        <w:t>. Table 2 also provides a summary of the spectrum and apparatus licences a</w:t>
      </w:r>
      <w:r w:rsidR="004E11B7">
        <w:rPr>
          <w:rFonts w:cs="Arial"/>
        </w:rPr>
        <w:t>s well as</w:t>
      </w:r>
      <w:r w:rsidRPr="002A2932">
        <w:rPr>
          <w:rFonts w:cs="Arial"/>
        </w:rPr>
        <w:t xml:space="preserve"> licensees that would be affected (i.e. </w:t>
      </w:r>
      <w:r w:rsidR="002A2932">
        <w:rPr>
          <w:rFonts w:cs="Arial"/>
        </w:rPr>
        <w:t xml:space="preserve">requirements </w:t>
      </w:r>
      <w:r w:rsidRPr="002A2932">
        <w:rPr>
          <w:rFonts w:cs="Arial"/>
        </w:rPr>
        <w:t xml:space="preserve">to retune, relocate or cease operation of services) under each of the </w:t>
      </w:r>
      <w:r w:rsidR="00EE1F80" w:rsidRPr="002A2932">
        <w:rPr>
          <w:rFonts w:cs="Arial"/>
        </w:rPr>
        <w:t xml:space="preserve">planning </w:t>
      </w:r>
      <w:r w:rsidRPr="002A2932">
        <w:rPr>
          <w:rFonts w:cs="Arial"/>
        </w:rPr>
        <w:t xml:space="preserve">options. </w:t>
      </w:r>
    </w:p>
    <w:p w14:paraId="044636D7" w14:textId="76569BD6" w:rsidR="001C2F3E" w:rsidRPr="002A2932" w:rsidRDefault="002A2932" w:rsidP="003C5923">
      <w:pPr>
        <w:spacing w:after="80"/>
        <w:rPr>
          <w:rFonts w:cs="Arial"/>
        </w:rPr>
      </w:pPr>
      <w:r>
        <w:rPr>
          <w:rFonts w:cs="Arial"/>
        </w:rPr>
        <w:t>N</w:t>
      </w:r>
      <w:r w:rsidR="001C2F3E" w:rsidRPr="002A2932">
        <w:rPr>
          <w:rFonts w:cs="Arial"/>
        </w:rPr>
        <w:t xml:space="preserve">either radiolocation </w:t>
      </w:r>
      <w:r w:rsidR="00696313" w:rsidRPr="002A2932">
        <w:rPr>
          <w:rFonts w:cs="Arial"/>
        </w:rPr>
        <w:t>nor</w:t>
      </w:r>
      <w:r w:rsidR="001C2F3E" w:rsidRPr="002A2932">
        <w:rPr>
          <w:rFonts w:cs="Arial"/>
        </w:rPr>
        <w:t xml:space="preserve"> amateur apparatus licences are included in Table 2</w:t>
      </w:r>
      <w:r>
        <w:rPr>
          <w:rFonts w:cs="Arial"/>
        </w:rPr>
        <w:t xml:space="preserve"> for the following reasons</w:t>
      </w:r>
      <w:r w:rsidR="001C2F3E" w:rsidRPr="002A2932">
        <w:rPr>
          <w:rFonts w:cs="Arial"/>
        </w:rPr>
        <w:t>:</w:t>
      </w:r>
    </w:p>
    <w:p w14:paraId="14B29978" w14:textId="1FECB576" w:rsidR="001C2F3E" w:rsidRPr="009D3FB8" w:rsidRDefault="007046C7" w:rsidP="001C2F3E">
      <w:pPr>
        <w:pStyle w:val="ListParagraph"/>
        <w:numPr>
          <w:ilvl w:val="0"/>
          <w:numId w:val="45"/>
        </w:numPr>
        <w:rPr>
          <w:rFonts w:cs="Arial"/>
        </w:rPr>
      </w:pPr>
      <w:r>
        <w:rPr>
          <w:rFonts w:cs="Arial"/>
        </w:rPr>
        <w:t>U</w:t>
      </w:r>
      <w:r w:rsidR="001C2F3E" w:rsidRPr="002A2932">
        <w:rPr>
          <w:rFonts w:cs="Arial"/>
        </w:rPr>
        <w:t xml:space="preserve">nder all </w:t>
      </w:r>
      <w:r w:rsidR="00EE1F80" w:rsidRPr="002A2932">
        <w:rPr>
          <w:rFonts w:cs="Arial"/>
        </w:rPr>
        <w:t xml:space="preserve">planning </w:t>
      </w:r>
      <w:r w:rsidR="001C2F3E" w:rsidRPr="002A2932">
        <w:rPr>
          <w:rFonts w:cs="Arial"/>
        </w:rPr>
        <w:t xml:space="preserve">options, it is intended that </w:t>
      </w:r>
      <w:r>
        <w:rPr>
          <w:rFonts w:cs="Arial"/>
        </w:rPr>
        <w:t>r</w:t>
      </w:r>
      <w:r w:rsidR="001C2F3E" w:rsidRPr="002A2932">
        <w:rPr>
          <w:rFonts w:cs="Arial"/>
        </w:rPr>
        <w:t>adiolocation services operated by the Department</w:t>
      </w:r>
      <w:r w:rsidR="001C2F3E">
        <w:rPr>
          <w:rFonts w:cs="Arial"/>
        </w:rPr>
        <w:t xml:space="preserve"> of Defence would continue operating under </w:t>
      </w:r>
      <w:r w:rsidR="002A2932">
        <w:rPr>
          <w:rFonts w:cs="Arial"/>
        </w:rPr>
        <w:t>existing</w:t>
      </w:r>
      <w:r w:rsidR="001C2F3E">
        <w:rPr>
          <w:rFonts w:cs="Arial"/>
        </w:rPr>
        <w:t xml:space="preserve"> arrangements</w:t>
      </w:r>
      <w:r>
        <w:rPr>
          <w:rFonts w:cs="Arial"/>
        </w:rPr>
        <w:t>.</w:t>
      </w:r>
    </w:p>
    <w:p w14:paraId="22B64F63" w14:textId="003C5092" w:rsidR="001C2F3E" w:rsidRPr="00FF2059" w:rsidRDefault="007046C7" w:rsidP="00274368">
      <w:pPr>
        <w:pStyle w:val="ListParagraph"/>
        <w:numPr>
          <w:ilvl w:val="0"/>
          <w:numId w:val="45"/>
        </w:numPr>
        <w:rPr>
          <w:rFonts w:cs="Arial"/>
        </w:rPr>
      </w:pPr>
      <w:r>
        <w:rPr>
          <w:rFonts w:cs="Arial"/>
        </w:rPr>
        <w:t>W</w:t>
      </w:r>
      <w:r w:rsidR="002A2932">
        <w:rPr>
          <w:rFonts w:cs="Arial"/>
        </w:rPr>
        <w:t xml:space="preserve">ith the </w:t>
      </w:r>
      <w:r w:rsidR="001C2F3E">
        <w:rPr>
          <w:rFonts w:cs="Arial"/>
        </w:rPr>
        <w:t>except</w:t>
      </w:r>
      <w:r w:rsidR="002A2932">
        <w:rPr>
          <w:rFonts w:cs="Arial"/>
        </w:rPr>
        <w:t>ion of</w:t>
      </w:r>
      <w:r w:rsidR="001C2F3E">
        <w:rPr>
          <w:rFonts w:cs="Arial"/>
        </w:rPr>
        <w:t xml:space="preserve"> amateur beacon and amateur repeater use (</w:t>
      </w:r>
      <w:r w:rsidR="002A2932">
        <w:rPr>
          <w:rFonts w:cs="Arial"/>
        </w:rPr>
        <w:t xml:space="preserve">for </w:t>
      </w:r>
      <w:r w:rsidR="001C2F3E">
        <w:rPr>
          <w:rFonts w:cs="Arial"/>
        </w:rPr>
        <w:t xml:space="preserve">which there is </w:t>
      </w:r>
      <w:r w:rsidR="00274368">
        <w:rPr>
          <w:rFonts w:cs="Arial"/>
        </w:rPr>
        <w:t xml:space="preserve">none </w:t>
      </w:r>
      <w:r w:rsidR="001C2F3E">
        <w:rPr>
          <w:rFonts w:cs="Arial"/>
        </w:rPr>
        <w:t xml:space="preserve">currently recorded on the RRL in the </w:t>
      </w:r>
      <w:r w:rsidR="005619B4">
        <w:rPr>
          <w:rFonts w:cs="Arial"/>
        </w:rPr>
        <w:t>3400</w:t>
      </w:r>
      <w:r>
        <w:rPr>
          <w:rFonts w:cs="Arial"/>
        </w:rPr>
        <w:t>–</w:t>
      </w:r>
      <w:r w:rsidR="005619B4">
        <w:rPr>
          <w:rFonts w:cs="Arial"/>
        </w:rPr>
        <w:t>3575 MHz</w:t>
      </w:r>
      <w:r w:rsidR="001C2F3E">
        <w:rPr>
          <w:rFonts w:cs="Arial"/>
        </w:rPr>
        <w:t xml:space="preserve"> band), </w:t>
      </w:r>
      <w:r w:rsidR="00845A44">
        <w:rPr>
          <w:rFonts w:cs="Arial"/>
        </w:rPr>
        <w:t xml:space="preserve">the location of </w:t>
      </w:r>
      <w:r w:rsidR="001C2F3E">
        <w:rPr>
          <w:rFonts w:cs="Arial"/>
        </w:rPr>
        <w:t xml:space="preserve">amateur use is </w:t>
      </w:r>
      <w:r w:rsidR="001C2F3E" w:rsidRPr="00FF2059">
        <w:rPr>
          <w:rFonts w:cs="Arial"/>
        </w:rPr>
        <w:t>not recorded on the RRL</w:t>
      </w:r>
      <w:r w:rsidR="00274368">
        <w:rPr>
          <w:rFonts w:cs="Arial"/>
        </w:rPr>
        <w:t>.</w:t>
      </w:r>
      <w:r w:rsidR="001C2F3E">
        <w:rPr>
          <w:rFonts w:cs="Arial"/>
        </w:rPr>
        <w:t xml:space="preserve"> </w:t>
      </w:r>
      <w:r w:rsidR="00274368">
        <w:rPr>
          <w:rFonts w:cs="Arial"/>
        </w:rPr>
        <w:t>S</w:t>
      </w:r>
      <w:r w:rsidR="001C2F3E">
        <w:rPr>
          <w:rFonts w:cs="Arial"/>
        </w:rPr>
        <w:t xml:space="preserve">uch use is noted and considered in all </w:t>
      </w:r>
      <w:r w:rsidR="00EE1F80">
        <w:rPr>
          <w:rFonts w:cs="Arial"/>
        </w:rPr>
        <w:t xml:space="preserve">planning </w:t>
      </w:r>
      <w:r w:rsidR="001C2F3E">
        <w:rPr>
          <w:rFonts w:cs="Arial"/>
        </w:rPr>
        <w:t>options identified for the band. Where necessary</w:t>
      </w:r>
      <w:r>
        <w:rPr>
          <w:rFonts w:cs="Arial"/>
        </w:rPr>
        <w:t>,</w:t>
      </w:r>
      <w:r w:rsidR="001C2F3E">
        <w:rPr>
          <w:rFonts w:cs="Arial"/>
        </w:rPr>
        <w:t xml:space="preserve"> the ACMA would consult on varying the </w:t>
      </w:r>
      <w:bookmarkStart w:id="69" w:name="Citation"/>
      <w:r w:rsidR="001C2F3E" w:rsidRPr="001C2F3E">
        <w:rPr>
          <w:i/>
        </w:rPr>
        <w:fldChar w:fldCharType="begin"/>
      </w:r>
      <w:r w:rsidR="001C2F3E" w:rsidRPr="001C2F3E">
        <w:rPr>
          <w:i/>
        </w:rPr>
        <w:instrText xml:space="preserve"> HYPERLINK "https://www.legislation.gov.au/Details/F2016C00286" </w:instrText>
      </w:r>
      <w:r w:rsidR="001C2F3E" w:rsidRPr="001C2F3E">
        <w:rPr>
          <w:i/>
        </w:rPr>
        <w:fldChar w:fldCharType="separate"/>
      </w:r>
      <w:r w:rsidR="001C2F3E" w:rsidRPr="001C2F3E">
        <w:rPr>
          <w:rStyle w:val="Hyperlink"/>
          <w:i/>
        </w:rPr>
        <w:t xml:space="preserve">Radiocommunications Licence Conditions (Amateur Licence) Determination </w:t>
      </w:r>
      <w:bookmarkEnd w:id="69"/>
      <w:r w:rsidR="001C2F3E" w:rsidRPr="001C2F3E">
        <w:rPr>
          <w:rStyle w:val="Hyperlink"/>
          <w:i/>
        </w:rPr>
        <w:t>2015</w:t>
      </w:r>
      <w:r w:rsidR="001C2F3E" w:rsidRPr="001C2F3E">
        <w:rPr>
          <w:i/>
        </w:rPr>
        <w:fldChar w:fldCharType="end"/>
      </w:r>
      <w:r w:rsidR="001C2F3E">
        <w:t xml:space="preserve"> </w:t>
      </w:r>
      <w:r w:rsidR="001C2F3E">
        <w:rPr>
          <w:rFonts w:cs="Arial"/>
        </w:rPr>
        <w:t xml:space="preserve">to implement the relevant changes.  </w:t>
      </w:r>
    </w:p>
    <w:p w14:paraId="471044AF" w14:textId="0001C2E6" w:rsidR="001C2F3E" w:rsidRDefault="001C2F3E" w:rsidP="00274368">
      <w:pPr>
        <w:pStyle w:val="ACMATableHeader"/>
        <w:numPr>
          <w:ilvl w:val="0"/>
          <w:numId w:val="26"/>
        </w:numPr>
        <w:spacing w:before="240"/>
      </w:pPr>
      <w:r>
        <w:t xml:space="preserve">Summary of spectrum and apparatus licensees </w:t>
      </w:r>
      <w:r w:rsidRPr="003C5923">
        <w:t>affected</w:t>
      </w:r>
      <w:r>
        <w:t xml:space="preserve"> by changes under each </w:t>
      </w:r>
      <w:r w:rsidR="00EE1F80">
        <w:t xml:space="preserve">planning </w:t>
      </w:r>
      <w:r>
        <w:t xml:space="preserve">option (based on RRL data from </w:t>
      </w:r>
      <w:r w:rsidR="00061891">
        <w:t>1</w:t>
      </w:r>
      <w:r w:rsidR="007046C7">
        <w:t xml:space="preserve"> </w:t>
      </w:r>
      <w:r w:rsidR="00061891">
        <w:t>April</w:t>
      </w:r>
      <w:r>
        <w:t xml:space="preserve"> 2019)</w:t>
      </w:r>
    </w:p>
    <w:tbl>
      <w:tblPr>
        <w:tblStyle w:val="TableGrid"/>
        <w:tblW w:w="10065" w:type="dxa"/>
        <w:tblInd w:w="-147" w:type="dxa"/>
        <w:tblLayout w:type="fixed"/>
        <w:tblCellMar>
          <w:top w:w="28" w:type="dxa"/>
          <w:left w:w="57" w:type="dxa"/>
          <w:bottom w:w="28" w:type="dxa"/>
          <w:right w:w="57" w:type="dxa"/>
        </w:tblCellMar>
        <w:tblLook w:val="04A0" w:firstRow="1" w:lastRow="0" w:firstColumn="1" w:lastColumn="0" w:noHBand="0" w:noVBand="1"/>
        <w:tblCaption w:val="Indicative timeline for the progression of one band through the process for consideration of additional spectrum for mobile borabdand services"/>
        <w:tblDescription w:val="includes stage, milestones and indicative timings."/>
      </w:tblPr>
      <w:tblGrid>
        <w:gridCol w:w="1129"/>
        <w:gridCol w:w="1565"/>
        <w:gridCol w:w="5670"/>
        <w:gridCol w:w="1701"/>
      </w:tblGrid>
      <w:tr w:rsidR="001C2F3E" w14:paraId="7585A566" w14:textId="77777777" w:rsidTr="00274368">
        <w:trPr>
          <w:trHeight w:val="86"/>
          <w:tblHeader/>
        </w:trPr>
        <w:tc>
          <w:tcPr>
            <w:tcW w:w="1129"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hideMark/>
          </w:tcPr>
          <w:p w14:paraId="5627BE7F" w14:textId="733B0BEE" w:rsidR="001C2F3E" w:rsidRPr="0086408B" w:rsidRDefault="00EE1F80" w:rsidP="0086408B">
            <w:pPr>
              <w:pStyle w:val="TableHeading"/>
              <w:spacing w:line="180" w:lineRule="exact"/>
              <w:jc w:val="center"/>
              <w:rPr>
                <w:color w:val="FFFFFF" w:themeColor="background1"/>
                <w:sz w:val="18"/>
                <w:szCs w:val="18"/>
              </w:rPr>
            </w:pPr>
            <w:r>
              <w:rPr>
                <w:color w:val="FFFFFF" w:themeColor="background1"/>
                <w:sz w:val="18"/>
                <w:szCs w:val="18"/>
              </w:rPr>
              <w:t xml:space="preserve">Planning </w:t>
            </w:r>
            <w:r w:rsidR="001C2F3E" w:rsidRPr="0086408B">
              <w:rPr>
                <w:color w:val="FFFFFF" w:themeColor="background1"/>
                <w:sz w:val="18"/>
                <w:szCs w:val="18"/>
              </w:rPr>
              <w:t>Option</w:t>
            </w:r>
          </w:p>
        </w:tc>
        <w:tc>
          <w:tcPr>
            <w:tcW w:w="1565"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tcPr>
          <w:p w14:paraId="4DC3EE92" w14:textId="77777777" w:rsidR="001C2F3E" w:rsidRPr="0086408B" w:rsidRDefault="001C2F3E" w:rsidP="0086408B">
            <w:pPr>
              <w:pStyle w:val="TableHeading"/>
              <w:spacing w:line="180" w:lineRule="exact"/>
              <w:jc w:val="center"/>
              <w:rPr>
                <w:color w:val="FFFFFF" w:themeColor="background1"/>
                <w:sz w:val="18"/>
                <w:szCs w:val="18"/>
              </w:rPr>
            </w:pPr>
            <w:r w:rsidRPr="0086408B">
              <w:rPr>
                <w:color w:val="FFFFFF" w:themeColor="background1"/>
                <w:sz w:val="18"/>
                <w:szCs w:val="18"/>
              </w:rPr>
              <w:t>Licence Type</w:t>
            </w:r>
          </w:p>
        </w:tc>
        <w:tc>
          <w:tcPr>
            <w:tcW w:w="5670"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hideMark/>
          </w:tcPr>
          <w:p w14:paraId="70A4281C" w14:textId="77777777" w:rsidR="001C2F3E" w:rsidRPr="0086408B" w:rsidRDefault="001C2F3E" w:rsidP="0086408B">
            <w:pPr>
              <w:pStyle w:val="TableHeading"/>
              <w:spacing w:line="180" w:lineRule="exact"/>
              <w:rPr>
                <w:color w:val="FFFFFF" w:themeColor="background1"/>
                <w:sz w:val="18"/>
                <w:szCs w:val="18"/>
              </w:rPr>
            </w:pPr>
            <w:r w:rsidRPr="0086408B">
              <w:rPr>
                <w:color w:val="FFFFFF" w:themeColor="background1"/>
                <w:sz w:val="18"/>
                <w:szCs w:val="18"/>
              </w:rPr>
              <w:t xml:space="preserve">Licensees </w:t>
            </w:r>
          </w:p>
        </w:tc>
        <w:tc>
          <w:tcPr>
            <w:tcW w:w="1701" w:type="dxa"/>
            <w:tcBorders>
              <w:top w:val="single" w:sz="4" w:space="0" w:color="auto"/>
              <w:left w:val="single" w:sz="4" w:space="0" w:color="auto"/>
              <w:bottom w:val="single" w:sz="4" w:space="0" w:color="auto"/>
              <w:right w:val="single" w:sz="4" w:space="0" w:color="auto"/>
            </w:tcBorders>
            <w:shd w:val="clear" w:color="auto" w:fill="404040" w:themeFill="text1" w:themeFillTint="BF"/>
            <w:tcMar>
              <w:top w:w="57" w:type="dxa"/>
              <w:bottom w:w="57" w:type="dxa"/>
            </w:tcMar>
            <w:vAlign w:val="center"/>
            <w:hideMark/>
          </w:tcPr>
          <w:p w14:paraId="64A3A88A" w14:textId="77777777" w:rsidR="001C2F3E" w:rsidRPr="0086408B" w:rsidRDefault="001C2F3E" w:rsidP="0086408B">
            <w:pPr>
              <w:pStyle w:val="TableHeading"/>
              <w:spacing w:line="180" w:lineRule="exact"/>
              <w:rPr>
                <w:color w:val="FFFFFF" w:themeColor="background1"/>
                <w:sz w:val="18"/>
                <w:szCs w:val="18"/>
              </w:rPr>
            </w:pPr>
            <w:r w:rsidRPr="0086408B">
              <w:rPr>
                <w:color w:val="FFFFFF" w:themeColor="background1"/>
                <w:sz w:val="18"/>
                <w:szCs w:val="18"/>
              </w:rPr>
              <w:t>Number of Licences</w:t>
            </w:r>
          </w:p>
        </w:tc>
      </w:tr>
      <w:tr w:rsidR="001C2F3E" w14:paraId="3639D9D8" w14:textId="77777777" w:rsidTr="00274368">
        <w:tc>
          <w:tcPr>
            <w:tcW w:w="11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23273025" w14:textId="77777777" w:rsidR="001C2F3E" w:rsidRDefault="001C2F3E" w:rsidP="0086408B">
            <w:pPr>
              <w:spacing w:after="0" w:line="180" w:lineRule="exact"/>
              <w:jc w:val="center"/>
              <w:rPr>
                <w:rFonts w:cs="Arial"/>
                <w:b/>
                <w:sz w:val="18"/>
                <w:szCs w:val="18"/>
              </w:rPr>
            </w:pPr>
            <w:r>
              <w:rPr>
                <w:rFonts w:cs="Arial"/>
                <w:b/>
                <w:sz w:val="18"/>
                <w:szCs w:val="18"/>
              </w:rPr>
              <w:t>Option 1</w:t>
            </w:r>
          </w:p>
        </w:tc>
        <w:tc>
          <w:tcPr>
            <w:tcW w:w="156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316EB91C" w14:textId="77777777" w:rsidR="001C2F3E" w:rsidRDefault="001C2F3E" w:rsidP="0086408B">
            <w:pPr>
              <w:spacing w:after="0" w:line="180" w:lineRule="exact"/>
              <w:rPr>
                <w:rFonts w:cs="Arial"/>
                <w:sz w:val="18"/>
                <w:szCs w:val="18"/>
              </w:rPr>
            </w:pPr>
            <w:r>
              <w:rPr>
                <w:rFonts w:cs="Arial"/>
                <w:sz w:val="18"/>
                <w:szCs w:val="18"/>
              </w:rPr>
              <w:t>N/A</w:t>
            </w:r>
          </w:p>
        </w:tc>
        <w:tc>
          <w:tcPr>
            <w:tcW w:w="56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7FC02D73" w14:textId="77777777" w:rsidR="001C2F3E" w:rsidRDefault="001C2F3E" w:rsidP="0086408B">
            <w:pPr>
              <w:spacing w:after="0" w:line="180" w:lineRule="exact"/>
              <w:rPr>
                <w:rFonts w:cs="Arial"/>
                <w:sz w:val="18"/>
                <w:szCs w:val="18"/>
              </w:rPr>
            </w:pPr>
            <w:r w:rsidRPr="009C0EB3">
              <w:rPr>
                <w:rFonts w:cs="Arial"/>
                <w:sz w:val="18"/>
                <w:szCs w:val="18"/>
              </w:rPr>
              <w:t>N/A</w:t>
            </w:r>
          </w:p>
        </w:tc>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0A9CA385" w14:textId="77777777" w:rsidR="001C2F3E" w:rsidRDefault="001C2F3E" w:rsidP="0086408B">
            <w:pPr>
              <w:spacing w:after="0" w:line="180" w:lineRule="exact"/>
              <w:rPr>
                <w:rFonts w:cs="Arial"/>
                <w:sz w:val="18"/>
                <w:szCs w:val="18"/>
              </w:rPr>
            </w:pPr>
            <w:r w:rsidRPr="009C0EB3">
              <w:rPr>
                <w:rFonts w:cs="Arial"/>
                <w:sz w:val="18"/>
                <w:szCs w:val="18"/>
              </w:rPr>
              <w:t>N/A</w:t>
            </w:r>
          </w:p>
        </w:tc>
      </w:tr>
      <w:tr w:rsidR="001C2F3E" w14:paraId="66B065B4" w14:textId="77777777" w:rsidTr="00274368">
        <w:trPr>
          <w:trHeight w:val="293"/>
        </w:trPr>
        <w:tc>
          <w:tcPr>
            <w:tcW w:w="1129" w:type="dxa"/>
            <w:vMerge w:val="restart"/>
            <w:tcBorders>
              <w:top w:val="single" w:sz="4" w:space="0" w:color="auto"/>
              <w:left w:val="single" w:sz="4" w:space="0" w:color="auto"/>
              <w:right w:val="single" w:sz="4" w:space="0" w:color="auto"/>
            </w:tcBorders>
            <w:shd w:val="clear" w:color="auto" w:fill="FFFFFF" w:themeFill="background1"/>
            <w:tcMar>
              <w:top w:w="45" w:type="dxa"/>
              <w:left w:w="57" w:type="dxa"/>
              <w:bottom w:w="45" w:type="dxa"/>
              <w:right w:w="57" w:type="dxa"/>
            </w:tcMar>
          </w:tcPr>
          <w:p w14:paraId="6466F39B" w14:textId="77777777" w:rsidR="001C2F3E" w:rsidRDefault="001C2F3E" w:rsidP="0086408B">
            <w:pPr>
              <w:spacing w:after="0" w:line="180" w:lineRule="exact"/>
              <w:jc w:val="center"/>
              <w:rPr>
                <w:rFonts w:cs="Arial"/>
                <w:b/>
                <w:sz w:val="18"/>
                <w:szCs w:val="18"/>
              </w:rPr>
            </w:pPr>
            <w:r>
              <w:rPr>
                <w:rFonts w:cs="Arial"/>
                <w:b/>
                <w:sz w:val="18"/>
                <w:szCs w:val="18"/>
              </w:rPr>
              <w:t>Option 2a</w:t>
            </w:r>
          </w:p>
        </w:tc>
        <w:tc>
          <w:tcPr>
            <w:tcW w:w="1565" w:type="dxa"/>
            <w:tcBorders>
              <w:top w:val="single" w:sz="4" w:space="0" w:color="auto"/>
              <w:left w:val="single" w:sz="4" w:space="0" w:color="auto"/>
              <w:right w:val="single" w:sz="4" w:space="0" w:color="auto"/>
            </w:tcBorders>
            <w:shd w:val="clear" w:color="auto" w:fill="FFFFFF" w:themeFill="background1"/>
            <w:tcMar>
              <w:top w:w="45" w:type="dxa"/>
              <w:left w:w="57" w:type="dxa"/>
              <w:bottom w:w="45" w:type="dxa"/>
              <w:right w:w="57" w:type="dxa"/>
            </w:tcMar>
          </w:tcPr>
          <w:p w14:paraId="5C9C6DBA" w14:textId="5E9E8FD3" w:rsidR="001C2F3E" w:rsidRDefault="001C2F3E" w:rsidP="00274368">
            <w:pPr>
              <w:spacing w:after="0" w:line="180" w:lineRule="exact"/>
              <w:jc w:val="center"/>
              <w:rPr>
                <w:rFonts w:cs="Arial"/>
                <w:sz w:val="18"/>
                <w:szCs w:val="18"/>
              </w:rPr>
            </w:pPr>
            <w:r>
              <w:rPr>
                <w:rFonts w:cs="Arial"/>
                <w:sz w:val="18"/>
                <w:szCs w:val="18"/>
              </w:rPr>
              <w:t xml:space="preserve">Spectrum </w:t>
            </w:r>
            <w:r w:rsidR="002414CF">
              <w:rPr>
                <w:rFonts w:cs="Arial"/>
                <w:sz w:val="18"/>
                <w:szCs w:val="18"/>
              </w:rPr>
              <w:t>l</w:t>
            </w:r>
            <w:r>
              <w:rPr>
                <w:rFonts w:cs="Arial"/>
                <w:sz w:val="18"/>
                <w:szCs w:val="18"/>
              </w:rPr>
              <w:t>icence</w:t>
            </w:r>
          </w:p>
        </w:tc>
        <w:tc>
          <w:tcPr>
            <w:tcW w:w="5670" w:type="dxa"/>
            <w:tcBorders>
              <w:top w:val="single" w:sz="4" w:space="0" w:color="auto"/>
              <w:left w:val="single" w:sz="4" w:space="0" w:color="auto"/>
              <w:right w:val="single" w:sz="4" w:space="0" w:color="auto"/>
            </w:tcBorders>
            <w:shd w:val="clear" w:color="auto" w:fill="FFFFFF" w:themeFill="background1"/>
            <w:tcMar>
              <w:top w:w="45" w:type="dxa"/>
              <w:left w:w="57" w:type="dxa"/>
              <w:bottom w:w="45" w:type="dxa"/>
              <w:right w:w="57" w:type="dxa"/>
            </w:tcMar>
          </w:tcPr>
          <w:p w14:paraId="782A7267" w14:textId="77777777" w:rsidR="001C2F3E" w:rsidRDefault="001C2F3E" w:rsidP="0086408B">
            <w:pPr>
              <w:spacing w:after="0" w:line="180" w:lineRule="exact"/>
              <w:rPr>
                <w:rFonts w:cs="Arial"/>
                <w:sz w:val="18"/>
                <w:szCs w:val="18"/>
              </w:rPr>
            </w:pPr>
            <w:r>
              <w:rPr>
                <w:rFonts w:cs="Arial"/>
                <w:sz w:val="18"/>
                <w:szCs w:val="18"/>
              </w:rPr>
              <w:t>NBN Co, Optus</w:t>
            </w:r>
          </w:p>
        </w:tc>
        <w:tc>
          <w:tcPr>
            <w:tcW w:w="1701" w:type="dxa"/>
            <w:tcBorders>
              <w:top w:val="single" w:sz="4" w:space="0" w:color="auto"/>
              <w:left w:val="single" w:sz="4" w:space="0" w:color="auto"/>
              <w:right w:val="single" w:sz="4" w:space="0" w:color="auto"/>
            </w:tcBorders>
            <w:shd w:val="clear" w:color="auto" w:fill="FFFFFF" w:themeFill="background1"/>
            <w:tcMar>
              <w:top w:w="45" w:type="dxa"/>
              <w:left w:w="57" w:type="dxa"/>
              <w:bottom w:w="45" w:type="dxa"/>
              <w:right w:w="57" w:type="dxa"/>
            </w:tcMar>
          </w:tcPr>
          <w:p w14:paraId="0F73C099" w14:textId="2B66F510" w:rsidR="001C2F3E" w:rsidRDefault="001C2F3E" w:rsidP="00274368">
            <w:pPr>
              <w:spacing w:after="0" w:line="180" w:lineRule="exact"/>
              <w:jc w:val="center"/>
              <w:rPr>
                <w:rFonts w:cs="Arial"/>
                <w:sz w:val="18"/>
                <w:szCs w:val="18"/>
              </w:rPr>
            </w:pPr>
            <w:r>
              <w:rPr>
                <w:rFonts w:cs="Arial"/>
                <w:sz w:val="18"/>
                <w:szCs w:val="18"/>
              </w:rPr>
              <w:t>5 (</w:t>
            </w:r>
            <w:r w:rsidR="00061891">
              <w:rPr>
                <w:rFonts w:cs="Arial"/>
                <w:sz w:val="18"/>
                <w:szCs w:val="18"/>
              </w:rPr>
              <w:t>7396</w:t>
            </w:r>
            <w:r>
              <w:rPr>
                <w:rFonts w:cs="Arial"/>
                <w:sz w:val="18"/>
                <w:szCs w:val="18"/>
              </w:rPr>
              <w:t xml:space="preserve"> devices)</w:t>
            </w:r>
          </w:p>
        </w:tc>
      </w:tr>
      <w:tr w:rsidR="00061891" w14:paraId="45E30817" w14:textId="77777777" w:rsidTr="00274368">
        <w:tc>
          <w:tcPr>
            <w:tcW w:w="1129" w:type="dxa"/>
            <w:vMerge/>
            <w:tcBorders>
              <w:left w:val="single" w:sz="4" w:space="0" w:color="auto"/>
              <w:right w:val="single" w:sz="4" w:space="0" w:color="auto"/>
            </w:tcBorders>
            <w:shd w:val="clear" w:color="auto" w:fill="FFFFFF" w:themeFill="background1"/>
            <w:tcMar>
              <w:top w:w="45" w:type="dxa"/>
              <w:left w:w="57" w:type="dxa"/>
              <w:bottom w:w="45" w:type="dxa"/>
              <w:right w:w="57" w:type="dxa"/>
            </w:tcMar>
            <w:vAlign w:val="center"/>
          </w:tcPr>
          <w:p w14:paraId="183A861B" w14:textId="77777777" w:rsidR="00061891" w:rsidRDefault="00061891" w:rsidP="00061891">
            <w:pPr>
              <w:spacing w:after="0" w:line="180" w:lineRule="exact"/>
              <w:jc w:val="center"/>
              <w:rPr>
                <w:rFonts w:cs="Arial"/>
                <w:b/>
                <w:sz w:val="18"/>
                <w:szCs w:val="18"/>
              </w:rPr>
            </w:pPr>
          </w:p>
        </w:tc>
        <w:tc>
          <w:tcPr>
            <w:tcW w:w="1565" w:type="dxa"/>
            <w:tcBorders>
              <w:top w:val="single" w:sz="4" w:space="0" w:color="auto"/>
              <w:left w:val="single" w:sz="4" w:space="0" w:color="auto"/>
              <w:bottom w:val="single" w:sz="4" w:space="0" w:color="auto"/>
              <w:right w:val="single" w:sz="4" w:space="0" w:color="auto"/>
            </w:tcBorders>
            <w:shd w:val="clear" w:color="auto" w:fill="FFFFFF" w:themeFill="background1"/>
            <w:tcMar>
              <w:top w:w="45" w:type="dxa"/>
              <w:left w:w="57" w:type="dxa"/>
              <w:bottom w:w="45" w:type="dxa"/>
              <w:right w:w="57" w:type="dxa"/>
            </w:tcMar>
          </w:tcPr>
          <w:p w14:paraId="183779E0" w14:textId="77777777" w:rsidR="00061891" w:rsidRDefault="00061891" w:rsidP="00274368">
            <w:pPr>
              <w:spacing w:after="0" w:line="180" w:lineRule="exact"/>
              <w:jc w:val="center"/>
              <w:rPr>
                <w:rFonts w:cs="Arial"/>
                <w:sz w:val="18"/>
                <w:szCs w:val="18"/>
              </w:rPr>
            </w:pPr>
            <w:r>
              <w:rPr>
                <w:rFonts w:cs="Arial"/>
                <w:sz w:val="18"/>
                <w:szCs w:val="18"/>
              </w:rPr>
              <w:t>PTS</w:t>
            </w:r>
          </w:p>
        </w:tc>
        <w:tc>
          <w:tcPr>
            <w:tcW w:w="5670" w:type="dxa"/>
            <w:tcBorders>
              <w:top w:val="single" w:sz="4" w:space="0" w:color="auto"/>
              <w:left w:val="single" w:sz="4" w:space="0" w:color="auto"/>
              <w:bottom w:val="single" w:sz="4" w:space="0" w:color="auto"/>
              <w:right w:val="single" w:sz="4" w:space="0" w:color="auto"/>
            </w:tcBorders>
            <w:shd w:val="clear" w:color="auto" w:fill="FFFFFF" w:themeFill="background1"/>
            <w:tcMar>
              <w:top w:w="45" w:type="dxa"/>
              <w:left w:w="57" w:type="dxa"/>
              <w:bottom w:w="45" w:type="dxa"/>
              <w:right w:w="57" w:type="dxa"/>
            </w:tcMar>
          </w:tcPr>
          <w:p w14:paraId="234B4577" w14:textId="77777777" w:rsidR="00061891" w:rsidRDefault="00061891" w:rsidP="00061891">
            <w:pPr>
              <w:spacing w:after="0" w:line="180" w:lineRule="exact"/>
              <w:rPr>
                <w:rFonts w:cs="Arial"/>
                <w:sz w:val="18"/>
                <w:szCs w:val="18"/>
              </w:rPr>
            </w:pPr>
            <w:r>
              <w:rPr>
                <w:rFonts w:cs="Arial"/>
                <w:sz w:val="18"/>
                <w:szCs w:val="18"/>
              </w:rPr>
              <w:t>NBN Co</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tcMar>
              <w:top w:w="45" w:type="dxa"/>
              <w:left w:w="57" w:type="dxa"/>
              <w:bottom w:w="45" w:type="dxa"/>
              <w:right w:w="57" w:type="dxa"/>
            </w:tcMar>
          </w:tcPr>
          <w:p w14:paraId="19B4BDD3" w14:textId="37DD68D0" w:rsidR="00061891" w:rsidRDefault="00061891" w:rsidP="00274368">
            <w:pPr>
              <w:spacing w:after="0" w:line="180" w:lineRule="exact"/>
              <w:jc w:val="center"/>
              <w:rPr>
                <w:rFonts w:cs="Arial"/>
                <w:sz w:val="18"/>
                <w:szCs w:val="18"/>
              </w:rPr>
            </w:pPr>
            <w:r>
              <w:rPr>
                <w:rFonts w:cs="Arial"/>
                <w:sz w:val="18"/>
                <w:szCs w:val="18"/>
              </w:rPr>
              <w:t>10 (</w:t>
            </w:r>
            <w:r w:rsidRPr="00061891">
              <w:rPr>
                <w:rFonts w:cs="Arial"/>
                <w:sz w:val="18"/>
                <w:szCs w:val="18"/>
              </w:rPr>
              <w:t>12</w:t>
            </w:r>
            <w:r w:rsidR="007046C7">
              <w:rPr>
                <w:rFonts w:cs="Arial"/>
                <w:sz w:val="18"/>
                <w:szCs w:val="18"/>
              </w:rPr>
              <w:t>,</w:t>
            </w:r>
            <w:r w:rsidRPr="00061891">
              <w:rPr>
                <w:rFonts w:cs="Arial"/>
                <w:sz w:val="18"/>
                <w:szCs w:val="18"/>
              </w:rPr>
              <w:t>58</w:t>
            </w:r>
            <w:r>
              <w:rPr>
                <w:rFonts w:cs="Arial"/>
                <w:sz w:val="18"/>
                <w:szCs w:val="18"/>
              </w:rPr>
              <w:t>6</w:t>
            </w:r>
            <w:r w:rsidRPr="00061891">
              <w:rPr>
                <w:rFonts w:cs="Arial"/>
                <w:sz w:val="18"/>
                <w:szCs w:val="18"/>
              </w:rPr>
              <w:t xml:space="preserve"> </w:t>
            </w:r>
            <w:r>
              <w:rPr>
                <w:rFonts w:cs="Arial"/>
                <w:sz w:val="18"/>
                <w:szCs w:val="18"/>
              </w:rPr>
              <w:t>devices)</w:t>
            </w:r>
          </w:p>
        </w:tc>
      </w:tr>
      <w:tr w:rsidR="00061891" w14:paraId="3F73E55F" w14:textId="77777777" w:rsidTr="00274368">
        <w:trPr>
          <w:trHeight w:val="166"/>
        </w:trPr>
        <w:tc>
          <w:tcPr>
            <w:tcW w:w="1129" w:type="dxa"/>
            <w:vMerge/>
            <w:tcBorders>
              <w:left w:val="single" w:sz="4" w:space="0" w:color="auto"/>
              <w:right w:val="single" w:sz="4" w:space="0" w:color="auto"/>
            </w:tcBorders>
            <w:shd w:val="clear" w:color="auto" w:fill="FFFFFF" w:themeFill="background1"/>
            <w:tcMar>
              <w:top w:w="45" w:type="dxa"/>
              <w:left w:w="57" w:type="dxa"/>
              <w:bottom w:w="45" w:type="dxa"/>
              <w:right w:w="57" w:type="dxa"/>
            </w:tcMar>
            <w:vAlign w:val="center"/>
          </w:tcPr>
          <w:p w14:paraId="31BA3C4A" w14:textId="77777777" w:rsidR="00061891" w:rsidRDefault="00061891" w:rsidP="00061891">
            <w:pPr>
              <w:spacing w:after="0" w:line="180" w:lineRule="exact"/>
              <w:jc w:val="center"/>
              <w:rPr>
                <w:rFonts w:cs="Arial"/>
                <w:b/>
                <w:sz w:val="18"/>
                <w:szCs w:val="18"/>
              </w:rPr>
            </w:pPr>
          </w:p>
        </w:tc>
        <w:tc>
          <w:tcPr>
            <w:tcW w:w="1565" w:type="dxa"/>
            <w:tcBorders>
              <w:top w:val="single" w:sz="4" w:space="0" w:color="auto"/>
              <w:left w:val="single" w:sz="4" w:space="0" w:color="auto"/>
              <w:right w:val="single" w:sz="4" w:space="0" w:color="auto"/>
            </w:tcBorders>
            <w:shd w:val="clear" w:color="auto" w:fill="FFFFFF" w:themeFill="background1"/>
            <w:tcMar>
              <w:top w:w="45" w:type="dxa"/>
              <w:left w:w="57" w:type="dxa"/>
              <w:bottom w:w="45" w:type="dxa"/>
              <w:right w:w="57" w:type="dxa"/>
            </w:tcMar>
          </w:tcPr>
          <w:p w14:paraId="50A7A5DE" w14:textId="77777777" w:rsidR="00061891" w:rsidRDefault="00061891" w:rsidP="00274368">
            <w:pPr>
              <w:spacing w:after="0" w:line="180" w:lineRule="exact"/>
              <w:jc w:val="center"/>
              <w:rPr>
                <w:rFonts w:cs="Arial"/>
                <w:sz w:val="18"/>
                <w:szCs w:val="18"/>
              </w:rPr>
            </w:pPr>
            <w:r>
              <w:rPr>
                <w:rFonts w:cs="Arial"/>
                <w:sz w:val="18"/>
                <w:szCs w:val="18"/>
              </w:rPr>
              <w:t>FDD-PMP</w:t>
            </w:r>
          </w:p>
        </w:tc>
        <w:tc>
          <w:tcPr>
            <w:tcW w:w="5670" w:type="dxa"/>
            <w:tcBorders>
              <w:top w:val="single" w:sz="4" w:space="0" w:color="auto"/>
              <w:left w:val="single" w:sz="4" w:space="0" w:color="auto"/>
              <w:right w:val="single" w:sz="4" w:space="0" w:color="auto"/>
            </w:tcBorders>
            <w:shd w:val="clear" w:color="auto" w:fill="FFFFFF" w:themeFill="background1"/>
            <w:tcMar>
              <w:top w:w="45" w:type="dxa"/>
              <w:left w:w="57" w:type="dxa"/>
              <w:bottom w:w="45" w:type="dxa"/>
              <w:right w:w="57" w:type="dxa"/>
            </w:tcMar>
          </w:tcPr>
          <w:p w14:paraId="4A931E53" w14:textId="77777777" w:rsidR="00061891" w:rsidRDefault="00061891" w:rsidP="00061891">
            <w:pPr>
              <w:spacing w:after="0" w:line="180" w:lineRule="exact"/>
              <w:rPr>
                <w:rFonts w:cs="Arial"/>
                <w:sz w:val="18"/>
                <w:szCs w:val="18"/>
              </w:rPr>
            </w:pPr>
            <w:r>
              <w:rPr>
                <w:rFonts w:cs="Arial"/>
                <w:sz w:val="18"/>
                <w:szCs w:val="18"/>
              </w:rPr>
              <w:t xml:space="preserve">Agile Pty Ltd, </w:t>
            </w:r>
            <w:r w:rsidRPr="003A6AE7">
              <w:rPr>
                <w:rFonts w:cs="Arial"/>
                <w:sz w:val="18"/>
                <w:szCs w:val="18"/>
              </w:rPr>
              <w:t>Armidale Dumaresq Council</w:t>
            </w:r>
            <w:r>
              <w:rPr>
                <w:rFonts w:cs="Arial"/>
                <w:sz w:val="18"/>
                <w:szCs w:val="18"/>
              </w:rPr>
              <w:t xml:space="preserve">, </w:t>
            </w:r>
            <w:r w:rsidRPr="007949A7">
              <w:rPr>
                <w:rFonts w:cs="Arial"/>
                <w:sz w:val="18"/>
                <w:szCs w:val="18"/>
              </w:rPr>
              <w:t>Aussie Broadband Pty Ltd</w:t>
            </w:r>
            <w:r>
              <w:rPr>
                <w:rFonts w:cs="Arial"/>
                <w:sz w:val="18"/>
                <w:szCs w:val="18"/>
              </w:rPr>
              <w:t xml:space="preserve">, </w:t>
            </w:r>
            <w:r w:rsidRPr="003A6AE7">
              <w:rPr>
                <w:rFonts w:cs="Arial"/>
                <w:sz w:val="18"/>
                <w:szCs w:val="18"/>
              </w:rPr>
              <w:t>Davco Farming Company</w:t>
            </w:r>
            <w:r>
              <w:rPr>
                <w:rFonts w:cs="Arial"/>
                <w:sz w:val="18"/>
                <w:szCs w:val="18"/>
              </w:rPr>
              <w:t xml:space="preserve">, </w:t>
            </w:r>
            <w:r w:rsidRPr="007949A7">
              <w:rPr>
                <w:rFonts w:cs="Arial"/>
                <w:sz w:val="18"/>
                <w:szCs w:val="18"/>
              </w:rPr>
              <w:t>HaleNET Pty Ltd</w:t>
            </w:r>
            <w:r>
              <w:rPr>
                <w:rFonts w:cs="Arial"/>
                <w:sz w:val="18"/>
                <w:szCs w:val="18"/>
              </w:rPr>
              <w:t xml:space="preserve">, </w:t>
            </w:r>
            <w:r w:rsidRPr="003A6AE7">
              <w:rPr>
                <w:rFonts w:cs="Arial"/>
                <w:sz w:val="18"/>
                <w:szCs w:val="18"/>
              </w:rPr>
              <w:t>NC Cable Pty Ltd</w:t>
            </w:r>
            <w:r>
              <w:rPr>
                <w:rFonts w:cs="Arial"/>
                <w:sz w:val="18"/>
                <w:szCs w:val="18"/>
              </w:rPr>
              <w:t xml:space="preserve">, </w:t>
            </w:r>
            <w:r w:rsidRPr="007949A7">
              <w:rPr>
                <w:rFonts w:cs="Arial"/>
                <w:sz w:val="18"/>
                <w:szCs w:val="18"/>
              </w:rPr>
              <w:t>Silk Telecom Pty Ltd</w:t>
            </w:r>
            <w:r>
              <w:rPr>
                <w:rFonts w:cs="Arial"/>
                <w:sz w:val="18"/>
                <w:szCs w:val="18"/>
              </w:rPr>
              <w:t xml:space="preserve">, </w:t>
            </w:r>
            <w:r w:rsidRPr="003A6AE7">
              <w:rPr>
                <w:rFonts w:cs="Arial"/>
                <w:sz w:val="18"/>
                <w:szCs w:val="18"/>
              </w:rPr>
              <w:t>Uralla Shire Council</w:t>
            </w:r>
          </w:p>
        </w:tc>
        <w:tc>
          <w:tcPr>
            <w:tcW w:w="1701" w:type="dxa"/>
            <w:tcBorders>
              <w:top w:val="single" w:sz="4" w:space="0" w:color="auto"/>
              <w:left w:val="single" w:sz="4" w:space="0" w:color="auto"/>
              <w:right w:val="single" w:sz="4" w:space="0" w:color="auto"/>
            </w:tcBorders>
            <w:shd w:val="clear" w:color="auto" w:fill="FFFFFF" w:themeFill="background1"/>
            <w:tcMar>
              <w:top w:w="45" w:type="dxa"/>
              <w:left w:w="57" w:type="dxa"/>
              <w:bottom w:w="45" w:type="dxa"/>
              <w:right w:w="57" w:type="dxa"/>
            </w:tcMar>
          </w:tcPr>
          <w:p w14:paraId="08FF267B" w14:textId="77777777" w:rsidR="00061891" w:rsidRDefault="00061891" w:rsidP="00274368">
            <w:pPr>
              <w:spacing w:after="0" w:line="180" w:lineRule="exact"/>
              <w:jc w:val="center"/>
              <w:rPr>
                <w:rFonts w:cs="Arial"/>
                <w:sz w:val="18"/>
                <w:szCs w:val="18"/>
              </w:rPr>
            </w:pPr>
            <w:r>
              <w:rPr>
                <w:rFonts w:cs="Arial"/>
                <w:sz w:val="18"/>
                <w:szCs w:val="18"/>
              </w:rPr>
              <w:t>29</w:t>
            </w:r>
          </w:p>
        </w:tc>
      </w:tr>
      <w:tr w:rsidR="00061891" w14:paraId="2B67C470" w14:textId="77777777" w:rsidTr="00274368">
        <w:trPr>
          <w:trHeight w:val="472"/>
        </w:trPr>
        <w:tc>
          <w:tcPr>
            <w:tcW w:w="1129" w:type="dxa"/>
            <w:vMerge/>
            <w:tcBorders>
              <w:left w:val="single" w:sz="4" w:space="0" w:color="auto"/>
              <w:right w:val="single" w:sz="4" w:space="0" w:color="auto"/>
            </w:tcBorders>
            <w:shd w:val="clear" w:color="auto" w:fill="FFFFFF" w:themeFill="background1"/>
            <w:tcMar>
              <w:top w:w="45" w:type="dxa"/>
              <w:left w:w="57" w:type="dxa"/>
              <w:bottom w:w="45" w:type="dxa"/>
              <w:right w:w="57" w:type="dxa"/>
            </w:tcMar>
            <w:vAlign w:val="center"/>
          </w:tcPr>
          <w:p w14:paraId="5C333930" w14:textId="77777777" w:rsidR="00061891" w:rsidRDefault="00061891" w:rsidP="00061891">
            <w:pPr>
              <w:spacing w:after="0" w:line="180" w:lineRule="exact"/>
              <w:jc w:val="center"/>
              <w:rPr>
                <w:rFonts w:cs="Arial"/>
                <w:b/>
                <w:sz w:val="18"/>
                <w:szCs w:val="18"/>
              </w:rPr>
            </w:pPr>
          </w:p>
        </w:tc>
        <w:tc>
          <w:tcPr>
            <w:tcW w:w="1565" w:type="dxa"/>
            <w:tcBorders>
              <w:top w:val="single" w:sz="4" w:space="0" w:color="auto"/>
              <w:left w:val="single" w:sz="4" w:space="0" w:color="auto"/>
              <w:right w:val="single" w:sz="4" w:space="0" w:color="auto"/>
            </w:tcBorders>
            <w:shd w:val="clear" w:color="auto" w:fill="FFFFFF" w:themeFill="background1"/>
            <w:tcMar>
              <w:top w:w="45" w:type="dxa"/>
              <w:left w:w="57" w:type="dxa"/>
              <w:bottom w:w="45" w:type="dxa"/>
              <w:right w:w="57" w:type="dxa"/>
            </w:tcMar>
          </w:tcPr>
          <w:p w14:paraId="3425D1D0" w14:textId="77777777" w:rsidR="00061891" w:rsidRDefault="00061891" w:rsidP="00274368">
            <w:pPr>
              <w:spacing w:after="0" w:line="180" w:lineRule="exact"/>
              <w:jc w:val="center"/>
              <w:rPr>
                <w:rFonts w:cs="Arial"/>
                <w:sz w:val="18"/>
                <w:szCs w:val="18"/>
              </w:rPr>
            </w:pPr>
            <w:r>
              <w:rPr>
                <w:rFonts w:cs="Arial"/>
                <w:sz w:val="18"/>
                <w:szCs w:val="18"/>
              </w:rPr>
              <w:t>TDD-PMP</w:t>
            </w:r>
          </w:p>
        </w:tc>
        <w:tc>
          <w:tcPr>
            <w:tcW w:w="5670" w:type="dxa"/>
            <w:tcBorders>
              <w:top w:val="single" w:sz="4" w:space="0" w:color="auto"/>
              <w:left w:val="single" w:sz="4" w:space="0" w:color="auto"/>
              <w:right w:val="single" w:sz="4" w:space="0" w:color="auto"/>
            </w:tcBorders>
            <w:shd w:val="clear" w:color="auto" w:fill="FFFFFF" w:themeFill="background1"/>
            <w:tcMar>
              <w:top w:w="45" w:type="dxa"/>
              <w:left w:w="57" w:type="dxa"/>
              <w:bottom w:w="45" w:type="dxa"/>
              <w:right w:w="57" w:type="dxa"/>
            </w:tcMar>
          </w:tcPr>
          <w:p w14:paraId="29EED734" w14:textId="6A86946E" w:rsidR="00061891" w:rsidRDefault="00061891" w:rsidP="00061891">
            <w:pPr>
              <w:spacing w:after="0" w:line="180" w:lineRule="exact"/>
              <w:rPr>
                <w:rFonts w:cs="Arial"/>
                <w:sz w:val="18"/>
                <w:szCs w:val="18"/>
              </w:rPr>
            </w:pPr>
            <w:r w:rsidRPr="003501AD">
              <w:rPr>
                <w:rFonts w:cs="Arial"/>
                <w:sz w:val="18"/>
                <w:szCs w:val="18"/>
              </w:rPr>
              <w:t>March IT Pty Ltd</w:t>
            </w:r>
            <w:r>
              <w:rPr>
                <w:rFonts w:cs="Arial"/>
                <w:sz w:val="18"/>
                <w:szCs w:val="18"/>
              </w:rPr>
              <w:t>, M</w:t>
            </w:r>
            <w:r w:rsidRPr="003501AD">
              <w:rPr>
                <w:rFonts w:cs="Arial"/>
                <w:sz w:val="18"/>
                <w:szCs w:val="18"/>
              </w:rPr>
              <w:t xml:space="preserve">aules </w:t>
            </w:r>
            <w:r>
              <w:rPr>
                <w:rFonts w:cs="Arial"/>
                <w:sz w:val="18"/>
                <w:szCs w:val="18"/>
              </w:rPr>
              <w:t>C</w:t>
            </w:r>
            <w:r w:rsidRPr="003501AD">
              <w:rPr>
                <w:rFonts w:cs="Arial"/>
                <w:sz w:val="18"/>
                <w:szCs w:val="18"/>
              </w:rPr>
              <w:t xml:space="preserve">reek </w:t>
            </w:r>
            <w:r>
              <w:rPr>
                <w:rFonts w:cs="Arial"/>
                <w:sz w:val="18"/>
                <w:szCs w:val="18"/>
              </w:rPr>
              <w:t>C</w:t>
            </w:r>
            <w:r w:rsidRPr="003501AD">
              <w:rPr>
                <w:rFonts w:cs="Arial"/>
                <w:sz w:val="18"/>
                <w:szCs w:val="18"/>
              </w:rPr>
              <w:t xml:space="preserve">oal </w:t>
            </w:r>
            <w:r>
              <w:rPr>
                <w:rFonts w:cs="Arial"/>
                <w:sz w:val="18"/>
                <w:szCs w:val="18"/>
              </w:rPr>
              <w:t>P</w:t>
            </w:r>
            <w:r w:rsidRPr="003501AD">
              <w:rPr>
                <w:rFonts w:cs="Arial"/>
                <w:sz w:val="18"/>
                <w:szCs w:val="18"/>
              </w:rPr>
              <w:t xml:space="preserve">ty </w:t>
            </w:r>
            <w:r>
              <w:rPr>
                <w:rFonts w:cs="Arial"/>
                <w:sz w:val="18"/>
                <w:szCs w:val="18"/>
              </w:rPr>
              <w:t>L</w:t>
            </w:r>
            <w:r w:rsidRPr="003501AD">
              <w:rPr>
                <w:rFonts w:cs="Arial"/>
                <w:sz w:val="18"/>
                <w:szCs w:val="18"/>
              </w:rPr>
              <w:t>td</w:t>
            </w:r>
            <w:r>
              <w:rPr>
                <w:rFonts w:cs="Arial"/>
                <w:sz w:val="18"/>
                <w:szCs w:val="18"/>
              </w:rPr>
              <w:t xml:space="preserve">, </w:t>
            </w:r>
            <w:r w:rsidRPr="003501AD">
              <w:rPr>
                <w:rFonts w:cs="Arial"/>
                <w:sz w:val="18"/>
                <w:szCs w:val="18"/>
              </w:rPr>
              <w:t>Loy Yang Power Management Pty Ltd</w:t>
            </w:r>
            <w:r>
              <w:rPr>
                <w:rFonts w:cs="Arial"/>
                <w:sz w:val="18"/>
                <w:szCs w:val="18"/>
              </w:rPr>
              <w:t>, S</w:t>
            </w:r>
            <w:r w:rsidRPr="003501AD">
              <w:rPr>
                <w:rFonts w:cs="Arial"/>
                <w:sz w:val="18"/>
                <w:szCs w:val="18"/>
              </w:rPr>
              <w:t>atstream (</w:t>
            </w:r>
            <w:r>
              <w:rPr>
                <w:rFonts w:cs="Arial"/>
                <w:sz w:val="18"/>
                <w:szCs w:val="18"/>
              </w:rPr>
              <w:t>A</w:t>
            </w:r>
            <w:r w:rsidRPr="003501AD">
              <w:rPr>
                <w:rFonts w:cs="Arial"/>
                <w:sz w:val="18"/>
                <w:szCs w:val="18"/>
              </w:rPr>
              <w:t xml:space="preserve">ustralia) </w:t>
            </w:r>
            <w:r>
              <w:rPr>
                <w:rFonts w:cs="Arial"/>
                <w:sz w:val="18"/>
                <w:szCs w:val="18"/>
              </w:rPr>
              <w:t>P</w:t>
            </w:r>
            <w:r w:rsidRPr="003501AD">
              <w:rPr>
                <w:rFonts w:cs="Arial"/>
                <w:sz w:val="18"/>
                <w:szCs w:val="18"/>
              </w:rPr>
              <w:t xml:space="preserve">ty </w:t>
            </w:r>
            <w:r>
              <w:rPr>
                <w:rFonts w:cs="Arial"/>
                <w:sz w:val="18"/>
                <w:szCs w:val="18"/>
              </w:rPr>
              <w:t>L</w:t>
            </w:r>
            <w:r w:rsidRPr="003501AD">
              <w:rPr>
                <w:rFonts w:cs="Arial"/>
                <w:sz w:val="18"/>
                <w:szCs w:val="18"/>
              </w:rPr>
              <w:t>td</w:t>
            </w:r>
            <w:r>
              <w:rPr>
                <w:rFonts w:cs="Arial"/>
                <w:sz w:val="18"/>
                <w:szCs w:val="18"/>
              </w:rPr>
              <w:t xml:space="preserve">, </w:t>
            </w:r>
            <w:r w:rsidRPr="003501AD">
              <w:rPr>
                <w:rFonts w:cs="Arial"/>
                <w:sz w:val="18"/>
                <w:szCs w:val="18"/>
              </w:rPr>
              <w:t>Wujal Aboriginal Shire Council</w:t>
            </w:r>
          </w:p>
        </w:tc>
        <w:tc>
          <w:tcPr>
            <w:tcW w:w="1701" w:type="dxa"/>
            <w:tcBorders>
              <w:top w:val="single" w:sz="4" w:space="0" w:color="auto"/>
              <w:left w:val="single" w:sz="4" w:space="0" w:color="auto"/>
              <w:right w:val="single" w:sz="4" w:space="0" w:color="auto"/>
            </w:tcBorders>
            <w:shd w:val="clear" w:color="auto" w:fill="FFFFFF" w:themeFill="background1"/>
            <w:tcMar>
              <w:top w:w="45" w:type="dxa"/>
              <w:left w:w="57" w:type="dxa"/>
              <w:bottom w:w="45" w:type="dxa"/>
              <w:right w:w="57" w:type="dxa"/>
            </w:tcMar>
          </w:tcPr>
          <w:p w14:paraId="4AC2BA09" w14:textId="77777777" w:rsidR="00061891" w:rsidRDefault="00061891" w:rsidP="00274368">
            <w:pPr>
              <w:spacing w:after="0" w:line="180" w:lineRule="exact"/>
              <w:jc w:val="center"/>
              <w:rPr>
                <w:rFonts w:cs="Arial"/>
                <w:sz w:val="18"/>
                <w:szCs w:val="18"/>
              </w:rPr>
            </w:pPr>
            <w:r>
              <w:rPr>
                <w:rFonts w:cs="Arial"/>
                <w:sz w:val="18"/>
                <w:szCs w:val="18"/>
              </w:rPr>
              <w:t>15</w:t>
            </w:r>
          </w:p>
        </w:tc>
      </w:tr>
      <w:tr w:rsidR="00061891" w14:paraId="4A9DA5C5" w14:textId="77777777" w:rsidTr="00274368">
        <w:trPr>
          <w:trHeight w:val="232"/>
        </w:trPr>
        <w:tc>
          <w:tcPr>
            <w:tcW w:w="1129" w:type="dxa"/>
            <w:vMerge w:val="restart"/>
            <w:tcBorders>
              <w:top w:val="single" w:sz="4" w:space="0" w:color="auto"/>
              <w:left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46E7B602" w14:textId="77777777" w:rsidR="00061891" w:rsidRDefault="00061891" w:rsidP="00061891">
            <w:pPr>
              <w:spacing w:after="0" w:line="180" w:lineRule="exact"/>
              <w:jc w:val="center"/>
              <w:rPr>
                <w:rFonts w:cs="Arial"/>
                <w:b/>
                <w:sz w:val="18"/>
                <w:szCs w:val="18"/>
              </w:rPr>
            </w:pPr>
            <w:r>
              <w:rPr>
                <w:rFonts w:cs="Arial"/>
                <w:b/>
                <w:sz w:val="18"/>
                <w:szCs w:val="18"/>
              </w:rPr>
              <w:t>Option 2b</w:t>
            </w:r>
          </w:p>
        </w:tc>
        <w:tc>
          <w:tcPr>
            <w:tcW w:w="1565" w:type="dxa"/>
            <w:tcBorders>
              <w:top w:val="single" w:sz="4" w:space="0" w:color="auto"/>
              <w:left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423E42D8" w14:textId="04007A2F" w:rsidR="00061891" w:rsidRDefault="00061891" w:rsidP="00274368">
            <w:pPr>
              <w:spacing w:after="0" w:line="180" w:lineRule="exact"/>
              <w:jc w:val="center"/>
              <w:rPr>
                <w:rFonts w:cs="Arial"/>
                <w:sz w:val="18"/>
                <w:szCs w:val="18"/>
              </w:rPr>
            </w:pPr>
            <w:r>
              <w:rPr>
                <w:rFonts w:cs="Arial"/>
                <w:sz w:val="18"/>
                <w:szCs w:val="18"/>
              </w:rPr>
              <w:t xml:space="preserve">Spectrum </w:t>
            </w:r>
            <w:r w:rsidR="002414CF">
              <w:rPr>
                <w:rFonts w:cs="Arial"/>
                <w:sz w:val="18"/>
                <w:szCs w:val="18"/>
              </w:rPr>
              <w:t>l</w:t>
            </w:r>
            <w:r>
              <w:rPr>
                <w:rFonts w:cs="Arial"/>
                <w:sz w:val="18"/>
                <w:szCs w:val="18"/>
              </w:rPr>
              <w:t>icence</w:t>
            </w:r>
          </w:p>
        </w:tc>
        <w:tc>
          <w:tcPr>
            <w:tcW w:w="5670" w:type="dxa"/>
            <w:tcBorders>
              <w:top w:val="single" w:sz="4" w:space="0" w:color="auto"/>
              <w:left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69972352" w14:textId="77777777" w:rsidR="00061891" w:rsidRDefault="00061891" w:rsidP="00061891">
            <w:pPr>
              <w:spacing w:after="0" w:line="180" w:lineRule="exact"/>
              <w:rPr>
                <w:rFonts w:cs="Arial"/>
                <w:sz w:val="18"/>
                <w:szCs w:val="18"/>
              </w:rPr>
            </w:pPr>
            <w:r>
              <w:rPr>
                <w:rFonts w:cs="Arial"/>
                <w:sz w:val="18"/>
                <w:szCs w:val="18"/>
              </w:rPr>
              <w:t>NBN Co, Optus</w:t>
            </w:r>
          </w:p>
        </w:tc>
        <w:tc>
          <w:tcPr>
            <w:tcW w:w="1701" w:type="dxa"/>
            <w:tcBorders>
              <w:top w:val="single" w:sz="4" w:space="0" w:color="auto"/>
              <w:left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6632EC3C" w14:textId="41412456" w:rsidR="00061891" w:rsidRDefault="00061891" w:rsidP="00274368">
            <w:pPr>
              <w:spacing w:after="0" w:line="180" w:lineRule="exact"/>
              <w:jc w:val="center"/>
              <w:rPr>
                <w:rFonts w:cs="Arial"/>
                <w:sz w:val="18"/>
                <w:szCs w:val="18"/>
                <w:highlight w:val="yellow"/>
              </w:rPr>
            </w:pPr>
            <w:r>
              <w:rPr>
                <w:rFonts w:cs="Arial"/>
                <w:sz w:val="18"/>
                <w:szCs w:val="18"/>
              </w:rPr>
              <w:t>5 (7396 devices)</w:t>
            </w:r>
          </w:p>
        </w:tc>
      </w:tr>
      <w:tr w:rsidR="00061891" w14:paraId="561E9644" w14:textId="77777777" w:rsidTr="00274368">
        <w:tc>
          <w:tcPr>
            <w:tcW w:w="1129" w:type="dxa"/>
            <w:vMerge/>
            <w:tcBorders>
              <w:left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1CED4698" w14:textId="77777777" w:rsidR="00061891" w:rsidRDefault="00061891" w:rsidP="00061891">
            <w:pPr>
              <w:spacing w:after="0" w:line="180" w:lineRule="exact"/>
              <w:jc w:val="center"/>
              <w:rPr>
                <w:rFonts w:cs="Arial"/>
                <w:b/>
                <w:sz w:val="18"/>
                <w:szCs w:val="18"/>
              </w:rPr>
            </w:pPr>
          </w:p>
        </w:tc>
        <w:tc>
          <w:tcPr>
            <w:tcW w:w="156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55B9E865" w14:textId="77777777" w:rsidR="00061891" w:rsidRDefault="00061891" w:rsidP="00274368">
            <w:pPr>
              <w:spacing w:after="0" w:line="180" w:lineRule="exact"/>
              <w:jc w:val="center"/>
              <w:rPr>
                <w:rFonts w:cs="Arial"/>
                <w:sz w:val="18"/>
                <w:szCs w:val="18"/>
              </w:rPr>
            </w:pPr>
            <w:r>
              <w:rPr>
                <w:rFonts w:cs="Arial"/>
                <w:sz w:val="18"/>
                <w:szCs w:val="18"/>
              </w:rPr>
              <w:t>PTS</w:t>
            </w:r>
          </w:p>
        </w:tc>
        <w:tc>
          <w:tcPr>
            <w:tcW w:w="56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581546DA" w14:textId="77777777" w:rsidR="00061891" w:rsidRDefault="00061891" w:rsidP="00061891">
            <w:pPr>
              <w:spacing w:after="0" w:line="180" w:lineRule="exact"/>
              <w:rPr>
                <w:rFonts w:cs="Arial"/>
                <w:sz w:val="18"/>
                <w:szCs w:val="18"/>
              </w:rPr>
            </w:pPr>
            <w:r>
              <w:rPr>
                <w:rFonts w:cs="Arial"/>
                <w:sz w:val="18"/>
                <w:szCs w:val="18"/>
              </w:rPr>
              <w:t>NBN Co</w:t>
            </w:r>
          </w:p>
        </w:tc>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434C0312" w14:textId="1A9CC223" w:rsidR="00061891" w:rsidRDefault="00061891" w:rsidP="00274368">
            <w:pPr>
              <w:spacing w:after="0" w:line="180" w:lineRule="exact"/>
              <w:jc w:val="center"/>
              <w:rPr>
                <w:rFonts w:cs="Arial"/>
                <w:sz w:val="18"/>
                <w:szCs w:val="18"/>
                <w:highlight w:val="yellow"/>
              </w:rPr>
            </w:pPr>
            <w:r>
              <w:rPr>
                <w:rFonts w:cs="Arial"/>
                <w:sz w:val="18"/>
                <w:szCs w:val="18"/>
              </w:rPr>
              <w:t>10 (</w:t>
            </w:r>
            <w:r w:rsidRPr="00061891">
              <w:rPr>
                <w:rFonts w:cs="Arial"/>
                <w:sz w:val="18"/>
                <w:szCs w:val="18"/>
              </w:rPr>
              <w:t>12</w:t>
            </w:r>
            <w:r w:rsidR="007046C7">
              <w:rPr>
                <w:rFonts w:cs="Arial"/>
                <w:sz w:val="18"/>
                <w:szCs w:val="18"/>
              </w:rPr>
              <w:t>,</w:t>
            </w:r>
            <w:r w:rsidRPr="00061891">
              <w:rPr>
                <w:rFonts w:cs="Arial"/>
                <w:sz w:val="18"/>
                <w:szCs w:val="18"/>
              </w:rPr>
              <w:t>58</w:t>
            </w:r>
            <w:r>
              <w:rPr>
                <w:rFonts w:cs="Arial"/>
                <w:sz w:val="18"/>
                <w:szCs w:val="18"/>
              </w:rPr>
              <w:t>6</w:t>
            </w:r>
            <w:r w:rsidRPr="00061891">
              <w:rPr>
                <w:rFonts w:cs="Arial"/>
                <w:sz w:val="18"/>
                <w:szCs w:val="18"/>
              </w:rPr>
              <w:t xml:space="preserve"> </w:t>
            </w:r>
            <w:r>
              <w:rPr>
                <w:rFonts w:cs="Arial"/>
                <w:sz w:val="18"/>
                <w:szCs w:val="18"/>
              </w:rPr>
              <w:t>devices)</w:t>
            </w:r>
          </w:p>
        </w:tc>
      </w:tr>
      <w:tr w:rsidR="00061891" w14:paraId="234A68D5" w14:textId="77777777" w:rsidTr="00274368">
        <w:tc>
          <w:tcPr>
            <w:tcW w:w="1129" w:type="dxa"/>
            <w:vMerge/>
            <w:tcBorders>
              <w:left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6E77888A" w14:textId="77777777" w:rsidR="00061891" w:rsidRDefault="00061891" w:rsidP="00061891">
            <w:pPr>
              <w:spacing w:after="0" w:line="180" w:lineRule="exact"/>
              <w:jc w:val="center"/>
              <w:rPr>
                <w:rFonts w:cs="Arial"/>
                <w:b/>
                <w:sz w:val="18"/>
                <w:szCs w:val="18"/>
              </w:rPr>
            </w:pPr>
          </w:p>
        </w:tc>
        <w:tc>
          <w:tcPr>
            <w:tcW w:w="156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7ABE0E2A" w14:textId="77777777" w:rsidR="00061891" w:rsidRDefault="00061891" w:rsidP="00274368">
            <w:pPr>
              <w:spacing w:after="0" w:line="180" w:lineRule="exact"/>
              <w:jc w:val="center"/>
              <w:rPr>
                <w:rFonts w:cs="Arial"/>
                <w:sz w:val="18"/>
                <w:szCs w:val="18"/>
              </w:rPr>
            </w:pPr>
            <w:r>
              <w:rPr>
                <w:rFonts w:cs="Arial"/>
                <w:sz w:val="18"/>
                <w:szCs w:val="18"/>
              </w:rPr>
              <w:t>FDD-PMP</w:t>
            </w:r>
          </w:p>
        </w:tc>
        <w:tc>
          <w:tcPr>
            <w:tcW w:w="56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68326129" w14:textId="77777777" w:rsidR="00061891" w:rsidRPr="003A6AE7" w:rsidRDefault="00061891" w:rsidP="00061891">
            <w:pPr>
              <w:spacing w:after="0" w:line="180" w:lineRule="exact"/>
              <w:rPr>
                <w:rFonts w:cs="Arial"/>
                <w:sz w:val="18"/>
                <w:szCs w:val="18"/>
              </w:rPr>
            </w:pPr>
            <w:r>
              <w:rPr>
                <w:rFonts w:cs="Arial"/>
                <w:sz w:val="18"/>
                <w:szCs w:val="18"/>
              </w:rPr>
              <w:t xml:space="preserve">Agile Pty Ltd, </w:t>
            </w:r>
            <w:r w:rsidRPr="003A6AE7">
              <w:rPr>
                <w:rFonts w:cs="Arial"/>
                <w:sz w:val="18"/>
                <w:szCs w:val="18"/>
              </w:rPr>
              <w:t>Armidale Dumaresq Council</w:t>
            </w:r>
            <w:r>
              <w:rPr>
                <w:rFonts w:cs="Arial"/>
                <w:sz w:val="18"/>
                <w:szCs w:val="18"/>
              </w:rPr>
              <w:t xml:space="preserve">, </w:t>
            </w:r>
            <w:r w:rsidRPr="007949A7">
              <w:rPr>
                <w:rFonts w:cs="Arial"/>
                <w:sz w:val="18"/>
                <w:szCs w:val="18"/>
              </w:rPr>
              <w:t>Aussie Broadband Pty Ltd</w:t>
            </w:r>
            <w:r>
              <w:rPr>
                <w:rFonts w:cs="Arial"/>
                <w:sz w:val="18"/>
                <w:szCs w:val="18"/>
              </w:rPr>
              <w:t xml:space="preserve">, </w:t>
            </w:r>
            <w:r w:rsidRPr="003A6AE7">
              <w:rPr>
                <w:rFonts w:cs="Arial"/>
                <w:sz w:val="18"/>
                <w:szCs w:val="18"/>
              </w:rPr>
              <w:t>Davco Farming Company</w:t>
            </w:r>
            <w:r>
              <w:rPr>
                <w:rFonts w:cs="Arial"/>
                <w:sz w:val="18"/>
                <w:szCs w:val="18"/>
              </w:rPr>
              <w:t xml:space="preserve">, </w:t>
            </w:r>
            <w:r w:rsidRPr="007949A7">
              <w:rPr>
                <w:rFonts w:cs="Arial"/>
                <w:sz w:val="18"/>
                <w:szCs w:val="18"/>
              </w:rPr>
              <w:t>HaleNET Pty Ltd</w:t>
            </w:r>
            <w:r>
              <w:rPr>
                <w:rFonts w:cs="Arial"/>
                <w:sz w:val="18"/>
                <w:szCs w:val="18"/>
              </w:rPr>
              <w:t xml:space="preserve">, </w:t>
            </w:r>
            <w:r w:rsidRPr="003A6AE7">
              <w:rPr>
                <w:rFonts w:cs="Arial"/>
                <w:sz w:val="18"/>
                <w:szCs w:val="18"/>
              </w:rPr>
              <w:t>NC Cable Pty Ltd</w:t>
            </w:r>
            <w:r>
              <w:rPr>
                <w:rFonts w:cs="Arial"/>
                <w:sz w:val="18"/>
                <w:szCs w:val="18"/>
              </w:rPr>
              <w:t xml:space="preserve">, </w:t>
            </w:r>
            <w:r w:rsidRPr="007949A7">
              <w:rPr>
                <w:rFonts w:cs="Arial"/>
                <w:sz w:val="18"/>
                <w:szCs w:val="18"/>
              </w:rPr>
              <w:t>Silk Telecom Pty Ltd</w:t>
            </w:r>
            <w:r>
              <w:rPr>
                <w:rFonts w:cs="Arial"/>
                <w:sz w:val="18"/>
                <w:szCs w:val="18"/>
              </w:rPr>
              <w:t xml:space="preserve">, </w:t>
            </w:r>
            <w:r w:rsidRPr="003A6AE7">
              <w:rPr>
                <w:rFonts w:cs="Arial"/>
                <w:sz w:val="18"/>
                <w:szCs w:val="18"/>
              </w:rPr>
              <w:t>Uralla Shire Council</w:t>
            </w:r>
          </w:p>
        </w:tc>
        <w:tc>
          <w:tcPr>
            <w:tcW w:w="170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6FC63E21" w14:textId="77777777" w:rsidR="00061891" w:rsidRPr="003A6AE7" w:rsidRDefault="00061891" w:rsidP="00274368">
            <w:pPr>
              <w:spacing w:after="0" w:line="180" w:lineRule="exact"/>
              <w:jc w:val="center"/>
              <w:rPr>
                <w:rFonts w:cs="Arial"/>
                <w:sz w:val="18"/>
                <w:szCs w:val="18"/>
              </w:rPr>
            </w:pPr>
            <w:r w:rsidRPr="003A6AE7">
              <w:rPr>
                <w:rFonts w:cs="Arial"/>
                <w:sz w:val="18"/>
                <w:szCs w:val="18"/>
              </w:rPr>
              <w:t>2</w:t>
            </w:r>
            <w:r>
              <w:rPr>
                <w:rFonts w:cs="Arial"/>
                <w:sz w:val="18"/>
                <w:szCs w:val="18"/>
              </w:rPr>
              <w:t>9</w:t>
            </w:r>
          </w:p>
        </w:tc>
      </w:tr>
      <w:tr w:rsidR="00061891" w14:paraId="4BCA2511" w14:textId="77777777" w:rsidTr="00274368">
        <w:trPr>
          <w:trHeight w:val="720"/>
        </w:trPr>
        <w:tc>
          <w:tcPr>
            <w:tcW w:w="1129" w:type="dxa"/>
            <w:vMerge/>
            <w:tcBorders>
              <w:left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78A47C22" w14:textId="77777777" w:rsidR="00061891" w:rsidRDefault="00061891" w:rsidP="00061891">
            <w:pPr>
              <w:spacing w:after="0" w:line="180" w:lineRule="exact"/>
              <w:jc w:val="center"/>
              <w:rPr>
                <w:rFonts w:cs="Arial"/>
                <w:b/>
                <w:sz w:val="18"/>
                <w:szCs w:val="18"/>
              </w:rPr>
            </w:pPr>
          </w:p>
        </w:tc>
        <w:tc>
          <w:tcPr>
            <w:tcW w:w="1565" w:type="dxa"/>
            <w:tcBorders>
              <w:top w:val="single" w:sz="4" w:space="0" w:color="auto"/>
              <w:left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593B0C80" w14:textId="77777777" w:rsidR="00061891" w:rsidRDefault="00061891" w:rsidP="00274368">
            <w:pPr>
              <w:spacing w:after="0" w:line="180" w:lineRule="exact"/>
              <w:jc w:val="center"/>
              <w:rPr>
                <w:rFonts w:cs="Arial"/>
                <w:sz w:val="18"/>
                <w:szCs w:val="18"/>
              </w:rPr>
            </w:pPr>
            <w:r>
              <w:rPr>
                <w:rFonts w:cs="Arial"/>
                <w:sz w:val="18"/>
                <w:szCs w:val="18"/>
              </w:rPr>
              <w:t>TDD-PMP</w:t>
            </w:r>
          </w:p>
        </w:tc>
        <w:tc>
          <w:tcPr>
            <w:tcW w:w="5670" w:type="dxa"/>
            <w:tcBorders>
              <w:top w:val="single" w:sz="4" w:space="0" w:color="auto"/>
              <w:left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495B76EC" w14:textId="47F93F57" w:rsidR="00061891" w:rsidRPr="005364D9" w:rsidRDefault="00061891" w:rsidP="00061891">
            <w:pPr>
              <w:spacing w:after="0" w:line="180" w:lineRule="exact"/>
              <w:rPr>
                <w:rFonts w:cs="Arial"/>
                <w:sz w:val="18"/>
                <w:szCs w:val="18"/>
              </w:rPr>
            </w:pPr>
            <w:r w:rsidRPr="003501AD">
              <w:rPr>
                <w:rFonts w:cs="Arial"/>
                <w:sz w:val="18"/>
                <w:szCs w:val="18"/>
              </w:rPr>
              <w:t>March IT Pty Ltd</w:t>
            </w:r>
            <w:r>
              <w:rPr>
                <w:rFonts w:cs="Arial"/>
                <w:sz w:val="18"/>
                <w:szCs w:val="18"/>
              </w:rPr>
              <w:t>, M</w:t>
            </w:r>
            <w:r w:rsidRPr="003501AD">
              <w:rPr>
                <w:rFonts w:cs="Arial"/>
                <w:sz w:val="18"/>
                <w:szCs w:val="18"/>
              </w:rPr>
              <w:t xml:space="preserve">aules </w:t>
            </w:r>
            <w:r>
              <w:rPr>
                <w:rFonts w:cs="Arial"/>
                <w:sz w:val="18"/>
                <w:szCs w:val="18"/>
              </w:rPr>
              <w:t>C</w:t>
            </w:r>
            <w:r w:rsidRPr="003501AD">
              <w:rPr>
                <w:rFonts w:cs="Arial"/>
                <w:sz w:val="18"/>
                <w:szCs w:val="18"/>
              </w:rPr>
              <w:t xml:space="preserve">reek </w:t>
            </w:r>
            <w:r>
              <w:rPr>
                <w:rFonts w:cs="Arial"/>
                <w:sz w:val="18"/>
                <w:szCs w:val="18"/>
              </w:rPr>
              <w:t>C</w:t>
            </w:r>
            <w:r w:rsidRPr="003501AD">
              <w:rPr>
                <w:rFonts w:cs="Arial"/>
                <w:sz w:val="18"/>
                <w:szCs w:val="18"/>
              </w:rPr>
              <w:t xml:space="preserve">oal </w:t>
            </w:r>
            <w:r>
              <w:rPr>
                <w:rFonts w:cs="Arial"/>
                <w:sz w:val="18"/>
                <w:szCs w:val="18"/>
              </w:rPr>
              <w:t>P</w:t>
            </w:r>
            <w:r w:rsidRPr="003501AD">
              <w:rPr>
                <w:rFonts w:cs="Arial"/>
                <w:sz w:val="18"/>
                <w:szCs w:val="18"/>
              </w:rPr>
              <w:t xml:space="preserve">ty </w:t>
            </w:r>
            <w:r>
              <w:rPr>
                <w:rFonts w:cs="Arial"/>
                <w:sz w:val="18"/>
                <w:szCs w:val="18"/>
              </w:rPr>
              <w:t>L</w:t>
            </w:r>
            <w:r w:rsidRPr="003501AD">
              <w:rPr>
                <w:rFonts w:cs="Arial"/>
                <w:sz w:val="18"/>
                <w:szCs w:val="18"/>
              </w:rPr>
              <w:t>td</w:t>
            </w:r>
            <w:r>
              <w:rPr>
                <w:rFonts w:cs="Arial"/>
                <w:sz w:val="18"/>
                <w:szCs w:val="18"/>
              </w:rPr>
              <w:t xml:space="preserve">, </w:t>
            </w:r>
            <w:r w:rsidRPr="003501AD">
              <w:rPr>
                <w:rFonts w:cs="Arial"/>
                <w:sz w:val="18"/>
                <w:szCs w:val="18"/>
              </w:rPr>
              <w:t>Loy Yang Power Management Pty Ltd</w:t>
            </w:r>
            <w:r>
              <w:rPr>
                <w:rFonts w:cs="Arial"/>
                <w:sz w:val="18"/>
                <w:szCs w:val="18"/>
              </w:rPr>
              <w:t>, S</w:t>
            </w:r>
            <w:r w:rsidRPr="003501AD">
              <w:rPr>
                <w:rFonts w:cs="Arial"/>
                <w:sz w:val="18"/>
                <w:szCs w:val="18"/>
              </w:rPr>
              <w:t>atstream (</w:t>
            </w:r>
            <w:r>
              <w:rPr>
                <w:rFonts w:cs="Arial"/>
                <w:sz w:val="18"/>
                <w:szCs w:val="18"/>
              </w:rPr>
              <w:t>A</w:t>
            </w:r>
            <w:r w:rsidRPr="003501AD">
              <w:rPr>
                <w:rFonts w:cs="Arial"/>
                <w:sz w:val="18"/>
                <w:szCs w:val="18"/>
              </w:rPr>
              <w:t xml:space="preserve">ustralia) </w:t>
            </w:r>
            <w:r>
              <w:rPr>
                <w:rFonts w:cs="Arial"/>
                <w:sz w:val="18"/>
                <w:szCs w:val="18"/>
              </w:rPr>
              <w:t>P</w:t>
            </w:r>
            <w:r w:rsidRPr="003501AD">
              <w:rPr>
                <w:rFonts w:cs="Arial"/>
                <w:sz w:val="18"/>
                <w:szCs w:val="18"/>
              </w:rPr>
              <w:t xml:space="preserve">ty </w:t>
            </w:r>
            <w:r>
              <w:rPr>
                <w:rFonts w:cs="Arial"/>
                <w:sz w:val="18"/>
                <w:szCs w:val="18"/>
              </w:rPr>
              <w:t>L</w:t>
            </w:r>
            <w:r w:rsidRPr="003501AD">
              <w:rPr>
                <w:rFonts w:cs="Arial"/>
                <w:sz w:val="18"/>
                <w:szCs w:val="18"/>
              </w:rPr>
              <w:t>td</w:t>
            </w:r>
            <w:r>
              <w:rPr>
                <w:rFonts w:cs="Arial"/>
                <w:sz w:val="18"/>
                <w:szCs w:val="18"/>
              </w:rPr>
              <w:t xml:space="preserve">, </w:t>
            </w:r>
            <w:r w:rsidRPr="003501AD">
              <w:rPr>
                <w:rFonts w:cs="Arial"/>
                <w:sz w:val="18"/>
                <w:szCs w:val="18"/>
              </w:rPr>
              <w:t>Wujal Aboriginal Shire Counc</w:t>
            </w:r>
            <w:r w:rsidR="007046C7">
              <w:rPr>
                <w:rFonts w:cs="Arial"/>
                <w:sz w:val="18"/>
                <w:szCs w:val="18"/>
              </w:rPr>
              <w:t>i</w:t>
            </w:r>
            <w:r w:rsidRPr="003501AD">
              <w:rPr>
                <w:rFonts w:cs="Arial"/>
                <w:sz w:val="18"/>
                <w:szCs w:val="18"/>
              </w:rPr>
              <w:t>l</w:t>
            </w:r>
          </w:p>
        </w:tc>
        <w:tc>
          <w:tcPr>
            <w:tcW w:w="1701" w:type="dxa"/>
            <w:tcBorders>
              <w:top w:val="single" w:sz="4" w:space="0" w:color="auto"/>
              <w:left w:val="single" w:sz="4" w:space="0" w:color="auto"/>
              <w:right w:val="single" w:sz="4" w:space="0" w:color="auto"/>
            </w:tcBorders>
            <w:shd w:val="clear" w:color="auto" w:fill="D9D9D9" w:themeFill="background1" w:themeFillShade="D9"/>
            <w:tcMar>
              <w:top w:w="45" w:type="dxa"/>
              <w:left w:w="57" w:type="dxa"/>
              <w:bottom w:w="45" w:type="dxa"/>
              <w:right w:w="57" w:type="dxa"/>
            </w:tcMar>
          </w:tcPr>
          <w:p w14:paraId="54EE0F34" w14:textId="77777777" w:rsidR="00061891" w:rsidRPr="005364D9" w:rsidRDefault="00061891" w:rsidP="00274368">
            <w:pPr>
              <w:spacing w:after="0" w:line="180" w:lineRule="exact"/>
              <w:jc w:val="center"/>
              <w:rPr>
                <w:rFonts w:cs="Arial"/>
                <w:sz w:val="18"/>
                <w:szCs w:val="18"/>
              </w:rPr>
            </w:pPr>
            <w:r w:rsidRPr="005364D9">
              <w:rPr>
                <w:rFonts w:cs="Arial"/>
                <w:sz w:val="18"/>
                <w:szCs w:val="18"/>
              </w:rPr>
              <w:t>11</w:t>
            </w:r>
          </w:p>
        </w:tc>
      </w:tr>
      <w:tr w:rsidR="00061891" w14:paraId="71C4410A" w14:textId="77777777" w:rsidTr="00274368">
        <w:tc>
          <w:tcPr>
            <w:tcW w:w="1129" w:type="dxa"/>
            <w:vMerge w:val="restart"/>
            <w:tcBorders>
              <w:top w:val="single" w:sz="4" w:space="0" w:color="auto"/>
              <w:left w:val="single" w:sz="4" w:space="0" w:color="auto"/>
              <w:right w:val="single" w:sz="4" w:space="0" w:color="auto"/>
            </w:tcBorders>
            <w:tcMar>
              <w:top w:w="45" w:type="dxa"/>
              <w:left w:w="57" w:type="dxa"/>
              <w:bottom w:w="45" w:type="dxa"/>
              <w:right w:w="57" w:type="dxa"/>
            </w:tcMar>
          </w:tcPr>
          <w:p w14:paraId="1DB09C94" w14:textId="77777777" w:rsidR="00061891" w:rsidRDefault="00061891" w:rsidP="00061891">
            <w:pPr>
              <w:spacing w:after="0" w:line="180" w:lineRule="exact"/>
              <w:jc w:val="center"/>
              <w:rPr>
                <w:rFonts w:cs="Arial"/>
                <w:b/>
                <w:sz w:val="18"/>
                <w:szCs w:val="18"/>
              </w:rPr>
            </w:pPr>
            <w:r>
              <w:rPr>
                <w:rFonts w:cs="Arial"/>
                <w:b/>
                <w:sz w:val="18"/>
                <w:szCs w:val="18"/>
              </w:rPr>
              <w:t>Option 3a</w:t>
            </w:r>
          </w:p>
          <w:p w14:paraId="5D797883" w14:textId="77777777" w:rsidR="00061891" w:rsidRDefault="00061891" w:rsidP="00061891">
            <w:pPr>
              <w:spacing w:after="0" w:line="180" w:lineRule="exact"/>
              <w:jc w:val="center"/>
              <w:rPr>
                <w:rFonts w:cs="Arial"/>
                <w:b/>
                <w:sz w:val="18"/>
                <w:szCs w:val="18"/>
              </w:rPr>
            </w:pPr>
            <w:r>
              <w:rPr>
                <w:rFonts w:cs="Arial"/>
                <w:b/>
                <w:sz w:val="18"/>
                <w:szCs w:val="18"/>
              </w:rPr>
              <w:t>&amp;</w:t>
            </w:r>
          </w:p>
          <w:p w14:paraId="4893AB0C" w14:textId="18111F45" w:rsidR="00061891" w:rsidRDefault="00061891" w:rsidP="00061891">
            <w:pPr>
              <w:spacing w:after="0" w:line="180" w:lineRule="exact"/>
              <w:jc w:val="center"/>
              <w:rPr>
                <w:rFonts w:cs="Arial"/>
                <w:b/>
                <w:sz w:val="18"/>
                <w:szCs w:val="18"/>
              </w:rPr>
            </w:pPr>
            <w:r>
              <w:rPr>
                <w:rFonts w:cs="Arial"/>
                <w:b/>
                <w:sz w:val="18"/>
                <w:szCs w:val="18"/>
              </w:rPr>
              <w:t xml:space="preserve"> Option 3b</w:t>
            </w:r>
          </w:p>
        </w:tc>
        <w:tc>
          <w:tcPr>
            <w:tcW w:w="1565"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6415C678" w14:textId="215C06F6" w:rsidR="00061891" w:rsidRDefault="00061891" w:rsidP="00274368">
            <w:pPr>
              <w:spacing w:after="0" w:line="180" w:lineRule="exact"/>
              <w:jc w:val="center"/>
              <w:rPr>
                <w:rFonts w:cs="Arial"/>
                <w:sz w:val="18"/>
                <w:szCs w:val="18"/>
              </w:rPr>
            </w:pPr>
            <w:r>
              <w:rPr>
                <w:rFonts w:cs="Arial"/>
                <w:sz w:val="18"/>
                <w:szCs w:val="18"/>
              </w:rPr>
              <w:t xml:space="preserve">Spectrum </w:t>
            </w:r>
            <w:r w:rsidR="002414CF">
              <w:rPr>
                <w:rFonts w:cs="Arial"/>
                <w:sz w:val="18"/>
                <w:szCs w:val="18"/>
              </w:rPr>
              <w:t>l</w:t>
            </w:r>
            <w:r>
              <w:rPr>
                <w:rFonts w:cs="Arial"/>
                <w:sz w:val="18"/>
                <w:szCs w:val="18"/>
              </w:rPr>
              <w:t>icence</w:t>
            </w:r>
          </w:p>
        </w:tc>
        <w:tc>
          <w:tcPr>
            <w:tcW w:w="5670"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326BE500" w14:textId="77777777" w:rsidR="00061891" w:rsidRDefault="00061891" w:rsidP="00061891">
            <w:pPr>
              <w:spacing w:after="0" w:line="180" w:lineRule="exact"/>
              <w:rPr>
                <w:rFonts w:cs="Arial"/>
                <w:sz w:val="18"/>
                <w:szCs w:val="18"/>
              </w:rPr>
            </w:pPr>
            <w:r>
              <w:rPr>
                <w:rFonts w:cs="Arial"/>
                <w:sz w:val="18"/>
                <w:szCs w:val="18"/>
              </w:rPr>
              <w:t>NBN Co, Optus</w:t>
            </w:r>
          </w:p>
        </w:tc>
        <w:tc>
          <w:tcPr>
            <w:tcW w:w="1701"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703D110E" w14:textId="7259A504" w:rsidR="00061891" w:rsidRDefault="00061891" w:rsidP="00274368">
            <w:pPr>
              <w:spacing w:after="0" w:line="180" w:lineRule="exact"/>
              <w:jc w:val="center"/>
              <w:rPr>
                <w:rFonts w:cs="Arial"/>
                <w:sz w:val="18"/>
                <w:szCs w:val="18"/>
                <w:highlight w:val="yellow"/>
              </w:rPr>
            </w:pPr>
            <w:r>
              <w:rPr>
                <w:rFonts w:cs="Arial"/>
                <w:sz w:val="18"/>
                <w:szCs w:val="18"/>
              </w:rPr>
              <w:t>5 (7396 devices)</w:t>
            </w:r>
          </w:p>
        </w:tc>
      </w:tr>
      <w:tr w:rsidR="00061891" w14:paraId="21F23BA3" w14:textId="77777777" w:rsidTr="00274368">
        <w:tc>
          <w:tcPr>
            <w:tcW w:w="1129" w:type="dxa"/>
            <w:vMerge/>
            <w:tcBorders>
              <w:left w:val="single" w:sz="4" w:space="0" w:color="auto"/>
              <w:right w:val="single" w:sz="4" w:space="0" w:color="auto"/>
            </w:tcBorders>
            <w:tcMar>
              <w:top w:w="45" w:type="dxa"/>
              <w:left w:w="57" w:type="dxa"/>
              <w:bottom w:w="45" w:type="dxa"/>
              <w:right w:w="57" w:type="dxa"/>
            </w:tcMar>
          </w:tcPr>
          <w:p w14:paraId="11001FB0" w14:textId="77777777" w:rsidR="00061891" w:rsidRDefault="00061891" w:rsidP="00061891">
            <w:pPr>
              <w:spacing w:after="0" w:line="180" w:lineRule="exact"/>
              <w:jc w:val="center"/>
              <w:rPr>
                <w:rFonts w:cs="Arial"/>
                <w:b/>
                <w:sz w:val="18"/>
                <w:szCs w:val="18"/>
              </w:rPr>
            </w:pPr>
          </w:p>
        </w:tc>
        <w:tc>
          <w:tcPr>
            <w:tcW w:w="1565"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4CCC4A93" w14:textId="77777777" w:rsidR="00061891" w:rsidRDefault="00061891" w:rsidP="00274368">
            <w:pPr>
              <w:spacing w:after="0" w:line="180" w:lineRule="exact"/>
              <w:jc w:val="center"/>
              <w:rPr>
                <w:rFonts w:cs="Arial"/>
                <w:sz w:val="18"/>
                <w:szCs w:val="18"/>
              </w:rPr>
            </w:pPr>
            <w:r>
              <w:rPr>
                <w:rFonts w:cs="Arial"/>
                <w:sz w:val="18"/>
                <w:szCs w:val="18"/>
              </w:rPr>
              <w:t>PTS</w:t>
            </w:r>
          </w:p>
        </w:tc>
        <w:tc>
          <w:tcPr>
            <w:tcW w:w="5670"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5455C69D" w14:textId="77777777" w:rsidR="00061891" w:rsidRDefault="00061891" w:rsidP="00061891">
            <w:pPr>
              <w:spacing w:after="0" w:line="180" w:lineRule="exact"/>
              <w:rPr>
                <w:rFonts w:cs="Arial"/>
                <w:sz w:val="18"/>
                <w:szCs w:val="18"/>
              </w:rPr>
            </w:pPr>
            <w:r>
              <w:rPr>
                <w:rFonts w:cs="Arial"/>
                <w:sz w:val="18"/>
                <w:szCs w:val="18"/>
              </w:rPr>
              <w:t>NBN Co</w:t>
            </w:r>
          </w:p>
        </w:tc>
        <w:tc>
          <w:tcPr>
            <w:tcW w:w="1701"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79B14D5F" w14:textId="3DAAD596" w:rsidR="00061891" w:rsidRDefault="00061891" w:rsidP="00274368">
            <w:pPr>
              <w:spacing w:after="0" w:line="180" w:lineRule="exact"/>
              <w:jc w:val="center"/>
              <w:rPr>
                <w:rFonts w:cs="Arial"/>
                <w:sz w:val="18"/>
                <w:szCs w:val="18"/>
                <w:highlight w:val="yellow"/>
              </w:rPr>
            </w:pPr>
            <w:r>
              <w:rPr>
                <w:rFonts w:cs="Arial"/>
                <w:sz w:val="18"/>
                <w:szCs w:val="18"/>
              </w:rPr>
              <w:t>10 (</w:t>
            </w:r>
            <w:r w:rsidRPr="00061891">
              <w:rPr>
                <w:rFonts w:cs="Arial"/>
                <w:sz w:val="18"/>
                <w:szCs w:val="18"/>
              </w:rPr>
              <w:t>12</w:t>
            </w:r>
            <w:r w:rsidR="007046C7">
              <w:rPr>
                <w:rFonts w:cs="Arial"/>
                <w:sz w:val="18"/>
                <w:szCs w:val="18"/>
              </w:rPr>
              <w:t>,</w:t>
            </w:r>
            <w:r w:rsidRPr="00061891">
              <w:rPr>
                <w:rFonts w:cs="Arial"/>
                <w:sz w:val="18"/>
                <w:szCs w:val="18"/>
              </w:rPr>
              <w:t>58</w:t>
            </w:r>
            <w:r>
              <w:rPr>
                <w:rFonts w:cs="Arial"/>
                <w:sz w:val="18"/>
                <w:szCs w:val="18"/>
              </w:rPr>
              <w:t>6</w:t>
            </w:r>
            <w:r w:rsidRPr="00061891">
              <w:rPr>
                <w:rFonts w:cs="Arial"/>
                <w:sz w:val="18"/>
                <w:szCs w:val="18"/>
              </w:rPr>
              <w:t xml:space="preserve"> </w:t>
            </w:r>
            <w:r>
              <w:rPr>
                <w:rFonts w:cs="Arial"/>
                <w:sz w:val="18"/>
                <w:szCs w:val="18"/>
              </w:rPr>
              <w:t>devices)</w:t>
            </w:r>
          </w:p>
        </w:tc>
      </w:tr>
      <w:tr w:rsidR="00061891" w14:paraId="083F47B8" w14:textId="77777777" w:rsidTr="00274368">
        <w:tc>
          <w:tcPr>
            <w:tcW w:w="1129" w:type="dxa"/>
            <w:vMerge/>
            <w:tcBorders>
              <w:left w:val="single" w:sz="4" w:space="0" w:color="auto"/>
              <w:right w:val="single" w:sz="4" w:space="0" w:color="auto"/>
            </w:tcBorders>
            <w:tcMar>
              <w:top w:w="45" w:type="dxa"/>
              <w:left w:w="57" w:type="dxa"/>
              <w:bottom w:w="45" w:type="dxa"/>
              <w:right w:w="57" w:type="dxa"/>
            </w:tcMar>
          </w:tcPr>
          <w:p w14:paraId="64E69515" w14:textId="77777777" w:rsidR="00061891" w:rsidRDefault="00061891" w:rsidP="00061891">
            <w:pPr>
              <w:spacing w:after="0" w:line="180" w:lineRule="exact"/>
              <w:jc w:val="center"/>
              <w:rPr>
                <w:rFonts w:cs="Arial"/>
                <w:b/>
                <w:sz w:val="18"/>
                <w:szCs w:val="18"/>
              </w:rPr>
            </w:pPr>
          </w:p>
        </w:tc>
        <w:tc>
          <w:tcPr>
            <w:tcW w:w="1565"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7CF241A8" w14:textId="77777777" w:rsidR="00061891" w:rsidRDefault="00061891" w:rsidP="00274368">
            <w:pPr>
              <w:spacing w:after="0" w:line="180" w:lineRule="exact"/>
              <w:jc w:val="center"/>
              <w:rPr>
                <w:rFonts w:cs="Arial"/>
                <w:sz w:val="18"/>
                <w:szCs w:val="18"/>
              </w:rPr>
            </w:pPr>
            <w:r>
              <w:rPr>
                <w:rFonts w:cs="Arial"/>
                <w:sz w:val="18"/>
                <w:szCs w:val="18"/>
              </w:rPr>
              <w:t>FDD-PMP</w:t>
            </w:r>
          </w:p>
        </w:tc>
        <w:tc>
          <w:tcPr>
            <w:tcW w:w="5670"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74CDD3F9" w14:textId="77777777" w:rsidR="00061891" w:rsidRDefault="00061891" w:rsidP="00061891">
            <w:pPr>
              <w:spacing w:after="0" w:line="180" w:lineRule="exact"/>
              <w:rPr>
                <w:rFonts w:cs="Arial"/>
                <w:sz w:val="18"/>
                <w:szCs w:val="18"/>
              </w:rPr>
            </w:pPr>
            <w:r>
              <w:rPr>
                <w:rFonts w:cs="Arial"/>
                <w:sz w:val="18"/>
                <w:szCs w:val="18"/>
              </w:rPr>
              <w:t xml:space="preserve">Agile Pty Ltd, </w:t>
            </w:r>
            <w:r w:rsidRPr="003A6AE7">
              <w:rPr>
                <w:rFonts w:cs="Arial"/>
                <w:sz w:val="18"/>
                <w:szCs w:val="18"/>
              </w:rPr>
              <w:t>Armidale Dumaresq Council</w:t>
            </w:r>
            <w:r>
              <w:rPr>
                <w:rFonts w:cs="Arial"/>
                <w:sz w:val="18"/>
                <w:szCs w:val="18"/>
              </w:rPr>
              <w:t xml:space="preserve">, </w:t>
            </w:r>
            <w:r w:rsidRPr="007949A7">
              <w:rPr>
                <w:rFonts w:cs="Arial"/>
                <w:sz w:val="18"/>
                <w:szCs w:val="18"/>
              </w:rPr>
              <w:t>Aussie Broadband Pty Ltd</w:t>
            </w:r>
            <w:r>
              <w:rPr>
                <w:rFonts w:cs="Arial"/>
                <w:sz w:val="18"/>
                <w:szCs w:val="18"/>
              </w:rPr>
              <w:t xml:space="preserve">, </w:t>
            </w:r>
            <w:r w:rsidRPr="003A6AE7">
              <w:rPr>
                <w:rFonts w:cs="Arial"/>
                <w:sz w:val="18"/>
                <w:szCs w:val="18"/>
              </w:rPr>
              <w:t>Davco Farming Company</w:t>
            </w:r>
            <w:r>
              <w:rPr>
                <w:rFonts w:cs="Arial"/>
                <w:sz w:val="18"/>
                <w:szCs w:val="18"/>
              </w:rPr>
              <w:t xml:space="preserve">, </w:t>
            </w:r>
            <w:r w:rsidRPr="007949A7">
              <w:rPr>
                <w:rFonts w:cs="Arial"/>
                <w:sz w:val="18"/>
                <w:szCs w:val="18"/>
              </w:rPr>
              <w:t>HaleNET Pty Ltd</w:t>
            </w:r>
            <w:r>
              <w:rPr>
                <w:rFonts w:cs="Arial"/>
                <w:sz w:val="18"/>
                <w:szCs w:val="18"/>
              </w:rPr>
              <w:t xml:space="preserve">, </w:t>
            </w:r>
            <w:r w:rsidRPr="003A6AE7">
              <w:rPr>
                <w:rFonts w:cs="Arial"/>
                <w:sz w:val="18"/>
                <w:szCs w:val="18"/>
              </w:rPr>
              <w:t>NC Cable Pty Ltd</w:t>
            </w:r>
            <w:r>
              <w:rPr>
                <w:rFonts w:cs="Arial"/>
                <w:sz w:val="18"/>
                <w:szCs w:val="18"/>
              </w:rPr>
              <w:t xml:space="preserve">, </w:t>
            </w:r>
            <w:r w:rsidRPr="007949A7">
              <w:rPr>
                <w:rFonts w:cs="Arial"/>
                <w:sz w:val="18"/>
                <w:szCs w:val="18"/>
              </w:rPr>
              <w:t>Silk Telecom Pty Ltd</w:t>
            </w:r>
            <w:r>
              <w:rPr>
                <w:rFonts w:cs="Arial"/>
                <w:sz w:val="18"/>
                <w:szCs w:val="18"/>
              </w:rPr>
              <w:t xml:space="preserve">, </w:t>
            </w:r>
            <w:r w:rsidRPr="003A6AE7">
              <w:rPr>
                <w:rFonts w:cs="Arial"/>
                <w:sz w:val="18"/>
                <w:szCs w:val="18"/>
              </w:rPr>
              <w:t>Uralla Shire Council</w:t>
            </w:r>
          </w:p>
        </w:tc>
        <w:tc>
          <w:tcPr>
            <w:tcW w:w="1701"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1749E0BC" w14:textId="77777777" w:rsidR="00061891" w:rsidRDefault="00061891" w:rsidP="00274368">
            <w:pPr>
              <w:spacing w:after="0" w:line="180" w:lineRule="exact"/>
              <w:jc w:val="center"/>
              <w:rPr>
                <w:rFonts w:cs="Arial"/>
                <w:sz w:val="18"/>
                <w:szCs w:val="18"/>
                <w:highlight w:val="yellow"/>
              </w:rPr>
            </w:pPr>
            <w:r>
              <w:rPr>
                <w:rFonts w:cs="Arial"/>
                <w:sz w:val="18"/>
                <w:szCs w:val="18"/>
              </w:rPr>
              <w:t>29</w:t>
            </w:r>
          </w:p>
        </w:tc>
      </w:tr>
      <w:tr w:rsidR="00061891" w14:paraId="79F18548" w14:textId="77777777" w:rsidTr="00274368">
        <w:tc>
          <w:tcPr>
            <w:tcW w:w="1129" w:type="dxa"/>
            <w:vMerge/>
            <w:tcBorders>
              <w:left w:val="single" w:sz="4" w:space="0" w:color="auto"/>
              <w:bottom w:val="single" w:sz="4" w:space="0" w:color="auto"/>
              <w:right w:val="single" w:sz="4" w:space="0" w:color="auto"/>
            </w:tcBorders>
            <w:tcMar>
              <w:top w:w="45" w:type="dxa"/>
              <w:left w:w="57" w:type="dxa"/>
              <w:bottom w:w="45" w:type="dxa"/>
              <w:right w:w="57" w:type="dxa"/>
            </w:tcMar>
          </w:tcPr>
          <w:p w14:paraId="7EAF12E4" w14:textId="77777777" w:rsidR="00061891" w:rsidRDefault="00061891" w:rsidP="00061891">
            <w:pPr>
              <w:spacing w:after="0" w:line="180" w:lineRule="exact"/>
              <w:jc w:val="center"/>
              <w:rPr>
                <w:rFonts w:cs="Arial"/>
                <w:b/>
                <w:sz w:val="18"/>
                <w:szCs w:val="18"/>
              </w:rPr>
            </w:pPr>
          </w:p>
        </w:tc>
        <w:tc>
          <w:tcPr>
            <w:tcW w:w="1565"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1D74A5BF" w14:textId="77777777" w:rsidR="00061891" w:rsidRDefault="00061891" w:rsidP="00274368">
            <w:pPr>
              <w:spacing w:after="0" w:line="180" w:lineRule="exact"/>
              <w:jc w:val="center"/>
              <w:rPr>
                <w:rFonts w:cs="Arial"/>
                <w:sz w:val="18"/>
                <w:szCs w:val="18"/>
              </w:rPr>
            </w:pPr>
            <w:r>
              <w:rPr>
                <w:rFonts w:cs="Arial"/>
                <w:sz w:val="18"/>
                <w:szCs w:val="18"/>
              </w:rPr>
              <w:t>TDD-PMP</w:t>
            </w:r>
          </w:p>
        </w:tc>
        <w:tc>
          <w:tcPr>
            <w:tcW w:w="5670"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1F07600A" w14:textId="77777777" w:rsidR="00061891" w:rsidRDefault="00061891" w:rsidP="00061891">
            <w:pPr>
              <w:spacing w:after="0" w:line="180" w:lineRule="exact"/>
              <w:rPr>
                <w:rFonts w:cs="Arial"/>
                <w:sz w:val="18"/>
                <w:szCs w:val="18"/>
              </w:rPr>
            </w:pPr>
            <w:r w:rsidRPr="003501AD">
              <w:rPr>
                <w:rFonts w:cs="Arial"/>
                <w:sz w:val="18"/>
                <w:szCs w:val="18"/>
              </w:rPr>
              <w:t>March IT Pty Ltd</w:t>
            </w:r>
            <w:r>
              <w:rPr>
                <w:rFonts w:cs="Arial"/>
                <w:sz w:val="18"/>
                <w:szCs w:val="18"/>
              </w:rPr>
              <w:t>, M</w:t>
            </w:r>
            <w:r w:rsidRPr="003501AD">
              <w:rPr>
                <w:rFonts w:cs="Arial"/>
                <w:sz w:val="18"/>
                <w:szCs w:val="18"/>
              </w:rPr>
              <w:t xml:space="preserve">aules </w:t>
            </w:r>
            <w:r>
              <w:rPr>
                <w:rFonts w:cs="Arial"/>
                <w:sz w:val="18"/>
                <w:szCs w:val="18"/>
              </w:rPr>
              <w:t>C</w:t>
            </w:r>
            <w:r w:rsidRPr="003501AD">
              <w:rPr>
                <w:rFonts w:cs="Arial"/>
                <w:sz w:val="18"/>
                <w:szCs w:val="18"/>
              </w:rPr>
              <w:t xml:space="preserve">reek </w:t>
            </w:r>
            <w:r>
              <w:rPr>
                <w:rFonts w:cs="Arial"/>
                <w:sz w:val="18"/>
                <w:szCs w:val="18"/>
              </w:rPr>
              <w:t>C</w:t>
            </w:r>
            <w:r w:rsidRPr="003501AD">
              <w:rPr>
                <w:rFonts w:cs="Arial"/>
                <w:sz w:val="18"/>
                <w:szCs w:val="18"/>
              </w:rPr>
              <w:t xml:space="preserve">oal </w:t>
            </w:r>
            <w:r>
              <w:rPr>
                <w:rFonts w:cs="Arial"/>
                <w:sz w:val="18"/>
                <w:szCs w:val="18"/>
              </w:rPr>
              <w:t>P</w:t>
            </w:r>
            <w:r w:rsidRPr="003501AD">
              <w:rPr>
                <w:rFonts w:cs="Arial"/>
                <w:sz w:val="18"/>
                <w:szCs w:val="18"/>
              </w:rPr>
              <w:t xml:space="preserve">ty </w:t>
            </w:r>
            <w:r>
              <w:rPr>
                <w:rFonts w:cs="Arial"/>
                <w:sz w:val="18"/>
                <w:szCs w:val="18"/>
              </w:rPr>
              <w:t>L</w:t>
            </w:r>
            <w:r w:rsidRPr="003501AD">
              <w:rPr>
                <w:rFonts w:cs="Arial"/>
                <w:sz w:val="18"/>
                <w:szCs w:val="18"/>
              </w:rPr>
              <w:t>td</w:t>
            </w:r>
            <w:r>
              <w:rPr>
                <w:rFonts w:cs="Arial"/>
                <w:sz w:val="18"/>
                <w:szCs w:val="18"/>
              </w:rPr>
              <w:t xml:space="preserve">, </w:t>
            </w:r>
            <w:r w:rsidRPr="003501AD">
              <w:rPr>
                <w:rFonts w:cs="Arial"/>
                <w:sz w:val="18"/>
                <w:szCs w:val="18"/>
              </w:rPr>
              <w:t>Loy Yang Power Management Pty Ltd</w:t>
            </w:r>
            <w:r>
              <w:rPr>
                <w:rFonts w:cs="Arial"/>
                <w:sz w:val="18"/>
                <w:szCs w:val="18"/>
              </w:rPr>
              <w:t>, S</w:t>
            </w:r>
            <w:r w:rsidRPr="003501AD">
              <w:rPr>
                <w:rFonts w:cs="Arial"/>
                <w:sz w:val="18"/>
                <w:szCs w:val="18"/>
              </w:rPr>
              <w:t>atstream (</w:t>
            </w:r>
            <w:r>
              <w:rPr>
                <w:rFonts w:cs="Arial"/>
                <w:sz w:val="18"/>
                <w:szCs w:val="18"/>
              </w:rPr>
              <w:t>A</w:t>
            </w:r>
            <w:r w:rsidRPr="003501AD">
              <w:rPr>
                <w:rFonts w:cs="Arial"/>
                <w:sz w:val="18"/>
                <w:szCs w:val="18"/>
              </w:rPr>
              <w:t xml:space="preserve">ustralia) </w:t>
            </w:r>
            <w:r>
              <w:rPr>
                <w:rFonts w:cs="Arial"/>
                <w:sz w:val="18"/>
                <w:szCs w:val="18"/>
              </w:rPr>
              <w:t>P</w:t>
            </w:r>
            <w:r w:rsidRPr="003501AD">
              <w:rPr>
                <w:rFonts w:cs="Arial"/>
                <w:sz w:val="18"/>
                <w:szCs w:val="18"/>
              </w:rPr>
              <w:t xml:space="preserve">ty </w:t>
            </w:r>
            <w:r>
              <w:rPr>
                <w:rFonts w:cs="Arial"/>
                <w:sz w:val="18"/>
                <w:szCs w:val="18"/>
              </w:rPr>
              <w:t>L</w:t>
            </w:r>
            <w:r w:rsidRPr="003501AD">
              <w:rPr>
                <w:rFonts w:cs="Arial"/>
                <w:sz w:val="18"/>
                <w:szCs w:val="18"/>
              </w:rPr>
              <w:t>td</w:t>
            </w:r>
            <w:r>
              <w:rPr>
                <w:rFonts w:cs="Arial"/>
                <w:sz w:val="18"/>
                <w:szCs w:val="18"/>
              </w:rPr>
              <w:t xml:space="preserve">, </w:t>
            </w:r>
            <w:r w:rsidRPr="003501AD">
              <w:rPr>
                <w:rFonts w:cs="Arial"/>
                <w:sz w:val="18"/>
                <w:szCs w:val="18"/>
              </w:rPr>
              <w:t>Wujal Wujal Aboriginal Shire Council</w:t>
            </w:r>
          </w:p>
        </w:tc>
        <w:tc>
          <w:tcPr>
            <w:tcW w:w="1701" w:type="dxa"/>
            <w:tcBorders>
              <w:top w:val="single" w:sz="4" w:space="0" w:color="auto"/>
              <w:left w:val="single" w:sz="4" w:space="0" w:color="auto"/>
              <w:bottom w:val="single" w:sz="4" w:space="0" w:color="auto"/>
              <w:right w:val="single" w:sz="4" w:space="0" w:color="auto"/>
            </w:tcBorders>
            <w:tcMar>
              <w:top w:w="45" w:type="dxa"/>
              <w:left w:w="57" w:type="dxa"/>
              <w:bottom w:w="45" w:type="dxa"/>
              <w:right w:w="57" w:type="dxa"/>
            </w:tcMar>
          </w:tcPr>
          <w:p w14:paraId="78FC1654" w14:textId="77777777" w:rsidR="00061891" w:rsidRDefault="00061891" w:rsidP="00274368">
            <w:pPr>
              <w:spacing w:after="0" w:line="180" w:lineRule="exact"/>
              <w:jc w:val="center"/>
              <w:rPr>
                <w:rFonts w:cs="Arial"/>
                <w:sz w:val="18"/>
                <w:szCs w:val="18"/>
                <w:highlight w:val="yellow"/>
              </w:rPr>
            </w:pPr>
            <w:r>
              <w:rPr>
                <w:rFonts w:cs="Arial"/>
                <w:sz w:val="18"/>
                <w:szCs w:val="18"/>
              </w:rPr>
              <w:t>7</w:t>
            </w:r>
          </w:p>
        </w:tc>
      </w:tr>
    </w:tbl>
    <w:p w14:paraId="40C6B913" w14:textId="77777777" w:rsidR="00AA55D7" w:rsidRDefault="00AA55D7" w:rsidP="001C2F3E">
      <w:pPr>
        <w:pStyle w:val="ACMAFigureHeader"/>
        <w:spacing w:before="360" w:after="0"/>
        <w:sectPr w:rsidR="00AA55D7" w:rsidSect="00B717B2">
          <w:pgSz w:w="11906" w:h="16838" w:code="9"/>
          <w:pgMar w:top="993" w:right="3101" w:bottom="1135" w:left="1134" w:header="709" w:footer="119" w:gutter="0"/>
          <w:cols w:space="708"/>
          <w:docGrid w:linePitch="360"/>
        </w:sectPr>
      </w:pPr>
    </w:p>
    <w:p w14:paraId="3FEFD3D0" w14:textId="67E113EF" w:rsidR="001C2F3E" w:rsidRPr="009076FC" w:rsidRDefault="001C2F3E" w:rsidP="001C2F3E">
      <w:pPr>
        <w:pStyle w:val="ACMAFigureHeader"/>
        <w:spacing w:before="360" w:after="0"/>
      </w:pPr>
      <w:r>
        <w:lastRenderedPageBreak/>
        <w:t xml:space="preserve">Summary of </w:t>
      </w:r>
      <w:r w:rsidR="00EE1F80">
        <w:t xml:space="preserve">planning </w:t>
      </w:r>
      <w:r>
        <w:t xml:space="preserve">options </w:t>
      </w:r>
    </w:p>
    <w:p w14:paraId="5FCAFFD6" w14:textId="77777777" w:rsidR="00AA55D7" w:rsidRDefault="008F14EF" w:rsidP="003C5923">
      <w:pPr>
        <w:tabs>
          <w:tab w:val="left" w:pos="142"/>
        </w:tabs>
        <w:spacing w:before="120" w:after="0" w:line="240" w:lineRule="auto"/>
        <w:rPr>
          <w:noProof/>
        </w:rPr>
        <w:sectPr w:rsidR="00AA55D7" w:rsidSect="00AF4439">
          <w:pgSz w:w="16838" w:h="11906" w:orient="landscape" w:code="9"/>
          <w:pgMar w:top="1134" w:right="993" w:bottom="1560" w:left="1135" w:header="709" w:footer="119" w:gutter="0"/>
          <w:cols w:space="708"/>
          <w:docGrid w:linePitch="360"/>
        </w:sectPr>
      </w:pPr>
      <w:r>
        <w:rPr>
          <w:noProof/>
        </w:rPr>
        <w:drawing>
          <wp:inline distT="0" distB="0" distL="0" distR="0" wp14:anchorId="645CCF29" wp14:editId="6730793F">
            <wp:extent cx="9219647" cy="4965405"/>
            <wp:effectExtent l="0" t="0" r="635" b="6985"/>
            <wp:docPr id="17" name="Picture 17" descr="Summary of planning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6" cstate="screen">
                      <a:extLst>
                        <a:ext uri="{28A0092B-C50C-407E-A947-70E740481C1C}">
                          <a14:useLocalDpi xmlns:a14="http://schemas.microsoft.com/office/drawing/2010/main"/>
                        </a:ext>
                      </a:extLst>
                    </a:blip>
                    <a:srcRect/>
                    <a:stretch/>
                  </pic:blipFill>
                  <pic:spPr bwMode="auto">
                    <a:xfrm>
                      <a:off x="0" y="0"/>
                      <a:ext cx="9274221" cy="4994797"/>
                    </a:xfrm>
                    <a:prstGeom prst="rect">
                      <a:avLst/>
                    </a:prstGeom>
                    <a:ln w="9525" cap="flat" cmpd="sng" algn="ctr">
                      <a:no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5BFCEA73" w14:textId="77777777" w:rsidR="00A62F94" w:rsidRPr="00056519" w:rsidRDefault="00A62F94" w:rsidP="00A62F94">
      <w:pPr>
        <w:pStyle w:val="Heading2"/>
        <w:spacing w:after="240"/>
      </w:pPr>
      <w:bookmarkStart w:id="70" w:name="_Toc6923110"/>
      <w:bookmarkEnd w:id="66"/>
      <w:r>
        <w:lastRenderedPageBreak/>
        <w:t>Planning goals</w:t>
      </w:r>
      <w:bookmarkEnd w:id="70"/>
    </w:p>
    <w:p w14:paraId="10BB1F6A" w14:textId="3663E529" w:rsidR="00A62F94" w:rsidRDefault="00A62F94" w:rsidP="003C5923">
      <w:pPr>
        <w:spacing w:before="240" w:after="80"/>
        <w:rPr>
          <w:rFonts w:cs="Arial"/>
        </w:rPr>
      </w:pPr>
      <w:bookmarkStart w:id="71" w:name="_Hlk5606916"/>
      <w:r>
        <w:rPr>
          <w:rFonts w:cs="Arial"/>
        </w:rPr>
        <w:t>T</w:t>
      </w:r>
      <w:r w:rsidRPr="00695ABD">
        <w:rPr>
          <w:rFonts w:cs="Arial"/>
        </w:rPr>
        <w:t>he ACMA</w:t>
      </w:r>
      <w:r>
        <w:rPr>
          <w:rFonts w:cs="Arial"/>
        </w:rPr>
        <w:t>’</w:t>
      </w:r>
      <w:r w:rsidRPr="00695ABD">
        <w:rPr>
          <w:rFonts w:cs="Arial"/>
        </w:rPr>
        <w:t xml:space="preserve">s planning goals </w:t>
      </w:r>
      <w:r>
        <w:rPr>
          <w:rFonts w:cs="Arial"/>
        </w:rPr>
        <w:t xml:space="preserve">for any </w:t>
      </w:r>
      <w:r w:rsidR="008276C0">
        <w:rPr>
          <w:rFonts w:cs="Arial"/>
        </w:rPr>
        <w:t xml:space="preserve">regulatory intervention </w:t>
      </w:r>
      <w:r>
        <w:rPr>
          <w:rFonts w:cs="Arial"/>
        </w:rPr>
        <w:t>in the 3400</w:t>
      </w:r>
      <w:r w:rsidR="002414CF">
        <w:rPr>
          <w:rFonts w:cs="Arial"/>
        </w:rPr>
        <w:t>–</w:t>
      </w:r>
      <w:r>
        <w:rPr>
          <w:rFonts w:cs="Arial"/>
        </w:rPr>
        <w:t xml:space="preserve">3575 MHz band </w:t>
      </w:r>
      <w:r w:rsidRPr="00695ABD">
        <w:rPr>
          <w:rFonts w:cs="Arial"/>
        </w:rPr>
        <w:t xml:space="preserve">are to ensure, as </w:t>
      </w:r>
      <w:r w:rsidR="002414CF">
        <w:rPr>
          <w:rFonts w:cs="Arial"/>
        </w:rPr>
        <w:t>much</w:t>
      </w:r>
      <w:r w:rsidR="002414CF" w:rsidRPr="00695ABD">
        <w:rPr>
          <w:rFonts w:cs="Arial"/>
        </w:rPr>
        <w:t xml:space="preserve"> </w:t>
      </w:r>
      <w:r w:rsidRPr="00695ABD">
        <w:rPr>
          <w:rFonts w:cs="Arial"/>
        </w:rPr>
        <w:t>as possible, the following:</w:t>
      </w:r>
    </w:p>
    <w:p w14:paraId="75B0CC9E" w14:textId="315B3654" w:rsidR="00A62F94" w:rsidRPr="00274368" w:rsidRDefault="00A62F94" w:rsidP="00274368">
      <w:pPr>
        <w:pStyle w:val="ListBullet"/>
        <w:numPr>
          <w:ilvl w:val="0"/>
          <w:numId w:val="18"/>
        </w:numPr>
        <w:tabs>
          <w:tab w:val="num" w:pos="295"/>
        </w:tabs>
        <w:spacing w:line="240" w:lineRule="auto"/>
        <w:ind w:left="295" w:hanging="295"/>
      </w:pPr>
      <w:r w:rsidRPr="00274368">
        <w:t>Barriers to change</w:t>
      </w:r>
      <w:r w:rsidR="00274368">
        <w:t xml:space="preserve"> (e.g. trading)</w:t>
      </w:r>
      <w:r w:rsidRPr="00274368">
        <w:t xml:space="preserve"> are removed</w:t>
      </w:r>
    </w:p>
    <w:p w14:paraId="1AA6C28F" w14:textId="1A2339DD" w:rsidR="00A62F94" w:rsidRPr="00274368" w:rsidRDefault="00A62F94" w:rsidP="00274368">
      <w:pPr>
        <w:pStyle w:val="ListBullet"/>
        <w:numPr>
          <w:ilvl w:val="0"/>
          <w:numId w:val="18"/>
        </w:numPr>
        <w:tabs>
          <w:tab w:val="num" w:pos="295"/>
        </w:tabs>
        <w:spacing w:line="240" w:lineRule="auto"/>
        <w:ind w:left="295" w:hanging="295"/>
      </w:pPr>
      <w:r w:rsidRPr="00274368">
        <w:t>Arrangements for wireless broadband use are put in place across the entire 3400</w:t>
      </w:r>
      <w:r w:rsidR="002414CF">
        <w:t>–</w:t>
      </w:r>
      <w:r w:rsidRPr="00274368">
        <w:t>3575 MHz band</w:t>
      </w:r>
      <w:r w:rsidR="002414CF">
        <w:t>,</w:t>
      </w:r>
      <w:r w:rsidRPr="00274368">
        <w:t xml:space="preserve"> Australia-wide</w:t>
      </w:r>
    </w:p>
    <w:p w14:paraId="0A82B6DA" w14:textId="546F9C1D" w:rsidR="00A62F94" w:rsidRPr="00274368" w:rsidRDefault="00A62F94" w:rsidP="00274368">
      <w:pPr>
        <w:pStyle w:val="ListBullet"/>
        <w:numPr>
          <w:ilvl w:val="0"/>
          <w:numId w:val="18"/>
        </w:numPr>
        <w:tabs>
          <w:tab w:val="num" w:pos="295"/>
        </w:tabs>
        <w:spacing w:line="240" w:lineRule="auto"/>
        <w:ind w:left="295" w:hanging="295"/>
      </w:pPr>
      <w:r w:rsidRPr="00274368">
        <w:t>Area-based PTS and spectrum licensees achieve contiguous spectrum holdings in all areas in which they hold licences</w:t>
      </w:r>
    </w:p>
    <w:p w14:paraId="53AD86EF" w14:textId="58C4F3A7" w:rsidR="00A62F94" w:rsidRPr="00274368" w:rsidRDefault="00A62F94" w:rsidP="00274368">
      <w:pPr>
        <w:pStyle w:val="ListBullet"/>
        <w:numPr>
          <w:ilvl w:val="0"/>
          <w:numId w:val="18"/>
        </w:numPr>
        <w:tabs>
          <w:tab w:val="num" w:pos="295"/>
        </w:tabs>
        <w:spacing w:line="240" w:lineRule="auto"/>
        <w:ind w:left="295" w:hanging="295"/>
      </w:pPr>
      <w:r w:rsidRPr="00274368">
        <w:t xml:space="preserve">Area-based PTS and spectrum licensee’s total spectrum holdings are maintained in all areas they hold licences </w:t>
      </w:r>
    </w:p>
    <w:p w14:paraId="431E7270" w14:textId="16C435D2" w:rsidR="00A62F94" w:rsidRPr="00274368" w:rsidRDefault="00A62F94" w:rsidP="00274368">
      <w:pPr>
        <w:pStyle w:val="ListBullet"/>
        <w:numPr>
          <w:ilvl w:val="0"/>
          <w:numId w:val="18"/>
        </w:numPr>
        <w:tabs>
          <w:tab w:val="num" w:pos="295"/>
        </w:tabs>
        <w:spacing w:line="240" w:lineRule="auto"/>
        <w:ind w:left="295" w:hanging="295"/>
      </w:pPr>
      <w:r w:rsidRPr="00274368">
        <w:t xml:space="preserve">Spectrum arrangements for PMP licensing are consolidated into a single frequency range to facilitate the adoption of TDD wireless broadband technologies and provide access to larger channel sizes </w:t>
      </w:r>
    </w:p>
    <w:p w14:paraId="021916F2" w14:textId="77777777" w:rsidR="00A62F94" w:rsidRPr="00274368" w:rsidRDefault="00A62F94" w:rsidP="00274368">
      <w:pPr>
        <w:pStyle w:val="ListBullet"/>
        <w:numPr>
          <w:ilvl w:val="0"/>
          <w:numId w:val="18"/>
        </w:numPr>
        <w:tabs>
          <w:tab w:val="num" w:pos="295"/>
        </w:tabs>
        <w:spacing w:line="240" w:lineRule="auto"/>
        <w:ind w:left="295" w:hanging="295"/>
      </w:pPr>
      <w:r w:rsidRPr="00274368">
        <w:t>The amount of spectrum available for PMP licensing remains the same or increases in all areas. This provides an option for incumbent PMP licensees to continue operating in the band if they wish to do so.</w:t>
      </w:r>
    </w:p>
    <w:bookmarkEnd w:id="71"/>
    <w:p w14:paraId="1791F6BE" w14:textId="24FF6A5E" w:rsidR="00A62F94" w:rsidRDefault="00A62F94" w:rsidP="00A62F94">
      <w:pPr>
        <w:spacing w:before="240"/>
        <w:rPr>
          <w:rFonts w:cs="Arial"/>
        </w:rPr>
      </w:pPr>
      <w:r>
        <w:rPr>
          <w:rFonts w:cs="Arial"/>
        </w:rPr>
        <w:t xml:space="preserve">Each of the planning options </w:t>
      </w:r>
      <w:r w:rsidR="00CB3E7F">
        <w:rPr>
          <w:rFonts w:cs="Arial"/>
        </w:rPr>
        <w:t>are</w:t>
      </w:r>
      <w:r>
        <w:rPr>
          <w:rFonts w:cs="Arial"/>
        </w:rPr>
        <w:t xml:space="preserve"> assessed against these goals. </w:t>
      </w:r>
    </w:p>
    <w:p w14:paraId="78E1686C" w14:textId="75A05117" w:rsidR="009A7A2A" w:rsidRPr="009A7A2A" w:rsidRDefault="009A7A2A" w:rsidP="003C1B83">
      <w:pPr>
        <w:pStyle w:val="ListParagraph"/>
        <w:numPr>
          <w:ilvl w:val="0"/>
          <w:numId w:val="64"/>
        </w:numPr>
        <w:shd w:val="clear" w:color="auto" w:fill="F2F2F2" w:themeFill="background1" w:themeFillShade="F2"/>
        <w:spacing w:before="120" w:after="120" w:line="240" w:lineRule="auto"/>
        <w:contextualSpacing w:val="0"/>
        <w:rPr>
          <w:b/>
        </w:rPr>
      </w:pPr>
      <w:bookmarkStart w:id="72" w:name="_Hlk5797155"/>
      <w:r w:rsidRPr="00AC2CAC">
        <w:rPr>
          <w:b/>
        </w:rPr>
        <w:t xml:space="preserve">Do stakeholders have any comments </w:t>
      </w:r>
      <w:r>
        <w:rPr>
          <w:b/>
        </w:rPr>
        <w:t>on the planning goals for the 3400</w:t>
      </w:r>
      <w:r w:rsidR="002414CF">
        <w:rPr>
          <w:b/>
        </w:rPr>
        <w:t>–</w:t>
      </w:r>
      <w:r>
        <w:rPr>
          <w:b/>
        </w:rPr>
        <w:t>3575 MHz band</w:t>
      </w:r>
      <w:r w:rsidRPr="00AC2CAC">
        <w:rPr>
          <w:b/>
        </w:rPr>
        <w:t>?</w:t>
      </w:r>
      <w:r>
        <w:rPr>
          <w:b/>
        </w:rPr>
        <w:t xml:space="preserve"> Are the</w:t>
      </w:r>
      <w:r w:rsidR="00C55FF0">
        <w:rPr>
          <w:b/>
        </w:rPr>
        <w:t>re</w:t>
      </w:r>
      <w:r>
        <w:rPr>
          <w:b/>
        </w:rPr>
        <w:t xml:space="preserve"> any other planning goals that should be considered?</w:t>
      </w:r>
    </w:p>
    <w:bookmarkEnd w:id="72"/>
    <w:p w14:paraId="6BFCB3A6" w14:textId="77777777" w:rsidR="009A7A2A" w:rsidRPr="00A62F94" w:rsidRDefault="009A7A2A" w:rsidP="00A62F94">
      <w:pPr>
        <w:spacing w:before="240"/>
        <w:rPr>
          <w:rFonts w:cs="Arial"/>
        </w:rPr>
      </w:pPr>
    </w:p>
    <w:p w14:paraId="672A1BA9" w14:textId="77777777" w:rsidR="00274368" w:rsidRDefault="00274368">
      <w:pPr>
        <w:spacing w:after="0" w:line="240" w:lineRule="auto"/>
        <w:rPr>
          <w:rFonts w:cs="Arial"/>
          <w:b/>
          <w:bCs/>
          <w:iCs/>
          <w:sz w:val="28"/>
          <w:szCs w:val="28"/>
        </w:rPr>
      </w:pPr>
      <w:r>
        <w:br w:type="page"/>
      </w:r>
    </w:p>
    <w:p w14:paraId="053D66A9" w14:textId="62E64874" w:rsidR="00C01513" w:rsidRDefault="00C01513" w:rsidP="00D53B0E">
      <w:pPr>
        <w:pStyle w:val="Heading2"/>
        <w:spacing w:after="120"/>
      </w:pPr>
      <w:bookmarkStart w:id="73" w:name="_Toc6923111"/>
      <w:r>
        <w:lastRenderedPageBreak/>
        <w:t>Option</w:t>
      </w:r>
      <w:r w:rsidR="00CF7048">
        <w:t xml:space="preserve"> 1: No change</w:t>
      </w:r>
      <w:bookmarkEnd w:id="73"/>
    </w:p>
    <w:p w14:paraId="50FA0848" w14:textId="21F26D33" w:rsidR="00A825DF" w:rsidRPr="00D53B0E" w:rsidRDefault="00A825DF" w:rsidP="003C5923">
      <w:pPr>
        <w:pStyle w:val="Heading3"/>
      </w:pPr>
      <w:bookmarkStart w:id="74" w:name="_Toc6923112"/>
      <w:r w:rsidRPr="00D53B0E">
        <w:t>Overview</w:t>
      </w:r>
      <w:bookmarkEnd w:id="74"/>
    </w:p>
    <w:p w14:paraId="4693AE64" w14:textId="1F669908" w:rsidR="00572E09" w:rsidRPr="00274368" w:rsidRDefault="00542F0C" w:rsidP="00C01513">
      <w:pPr>
        <w:rPr>
          <w:rFonts w:cs="Arial"/>
        </w:rPr>
      </w:pPr>
      <w:bookmarkStart w:id="75" w:name="_Hlk5606873"/>
      <w:r>
        <w:rPr>
          <w:rFonts w:cs="Arial"/>
        </w:rPr>
        <w:t>Under Option 1, existing arrangements</w:t>
      </w:r>
      <w:r w:rsidR="00F435DD">
        <w:rPr>
          <w:rFonts w:cs="Arial"/>
        </w:rPr>
        <w:t xml:space="preserve"> in the </w:t>
      </w:r>
      <w:r w:rsidR="005619B4">
        <w:rPr>
          <w:rFonts w:cs="Arial"/>
        </w:rPr>
        <w:t>3400</w:t>
      </w:r>
      <w:r w:rsidR="002414CF">
        <w:rPr>
          <w:rFonts w:cs="Arial"/>
        </w:rPr>
        <w:t>–</w:t>
      </w:r>
      <w:r w:rsidR="005619B4">
        <w:rPr>
          <w:rFonts w:cs="Arial"/>
        </w:rPr>
        <w:t>3575 MHz</w:t>
      </w:r>
      <w:r w:rsidR="00F435DD">
        <w:rPr>
          <w:rFonts w:cs="Arial"/>
        </w:rPr>
        <w:t xml:space="preserve"> band</w:t>
      </w:r>
      <w:r w:rsidR="00EB1D68">
        <w:rPr>
          <w:rFonts w:cs="Arial"/>
        </w:rPr>
        <w:t xml:space="preserve"> remain unchanged</w:t>
      </w:r>
      <w:r w:rsidR="00F435DD">
        <w:rPr>
          <w:rFonts w:cs="Arial"/>
        </w:rPr>
        <w:t xml:space="preserve">. </w:t>
      </w:r>
      <w:bookmarkEnd w:id="75"/>
      <w:r w:rsidR="00565090">
        <w:rPr>
          <w:rFonts w:cs="Arial"/>
        </w:rPr>
        <w:t xml:space="preserve">This </w:t>
      </w:r>
      <w:r w:rsidR="00F435DD">
        <w:rPr>
          <w:rFonts w:cs="Arial"/>
        </w:rPr>
        <w:t>means the existing</w:t>
      </w:r>
      <w:r w:rsidR="00565090">
        <w:rPr>
          <w:rFonts w:cs="Arial"/>
        </w:rPr>
        <w:t xml:space="preserve"> apparatus and spectrum licensing </w:t>
      </w:r>
      <w:r w:rsidR="00497B6C">
        <w:rPr>
          <w:rFonts w:cs="Arial"/>
        </w:rPr>
        <w:t xml:space="preserve">arrangements </w:t>
      </w:r>
      <w:r w:rsidR="00441FF4">
        <w:rPr>
          <w:rFonts w:cs="Arial"/>
        </w:rPr>
        <w:t xml:space="preserve">are </w:t>
      </w:r>
      <w:r w:rsidR="00497B6C">
        <w:rPr>
          <w:rFonts w:cs="Arial"/>
        </w:rPr>
        <w:t>maintained</w:t>
      </w:r>
      <w:r w:rsidR="00F435DD">
        <w:rPr>
          <w:rFonts w:cs="Arial"/>
        </w:rPr>
        <w:t xml:space="preserve"> </w:t>
      </w:r>
      <w:r w:rsidR="00565090">
        <w:rPr>
          <w:rFonts w:cs="Arial"/>
        </w:rPr>
        <w:t xml:space="preserve">in </w:t>
      </w:r>
      <w:r w:rsidR="00274368">
        <w:rPr>
          <w:rFonts w:cs="Arial"/>
        </w:rPr>
        <w:t>m</w:t>
      </w:r>
      <w:r w:rsidR="00565090">
        <w:rPr>
          <w:rFonts w:cs="Arial"/>
        </w:rPr>
        <w:t xml:space="preserve">etropolitan, </w:t>
      </w:r>
      <w:r w:rsidR="00274368" w:rsidRPr="00274368">
        <w:rPr>
          <w:rFonts w:cs="Arial"/>
        </w:rPr>
        <w:t>m</w:t>
      </w:r>
      <w:r w:rsidR="00565090" w:rsidRPr="00274368">
        <w:rPr>
          <w:rFonts w:cs="Arial"/>
        </w:rPr>
        <w:t xml:space="preserve">ajor </w:t>
      </w:r>
      <w:r w:rsidR="00D82563" w:rsidRPr="00274368">
        <w:rPr>
          <w:rFonts w:cs="Arial"/>
        </w:rPr>
        <w:t>r</w:t>
      </w:r>
      <w:r w:rsidR="00565090" w:rsidRPr="00274368">
        <w:rPr>
          <w:rFonts w:cs="Arial"/>
        </w:rPr>
        <w:t xml:space="preserve">egional </w:t>
      </w:r>
      <w:r w:rsidR="00D82563" w:rsidRPr="00274368">
        <w:rPr>
          <w:rFonts w:cs="Arial"/>
        </w:rPr>
        <w:t>c</w:t>
      </w:r>
      <w:r w:rsidR="00565090" w:rsidRPr="00274368">
        <w:rPr>
          <w:rFonts w:cs="Arial"/>
        </w:rPr>
        <w:t xml:space="preserve">entres and </w:t>
      </w:r>
      <w:r w:rsidR="00274368" w:rsidRPr="00274368">
        <w:rPr>
          <w:rFonts w:cs="Arial"/>
        </w:rPr>
        <w:t>r</w:t>
      </w:r>
      <w:r w:rsidR="00565090" w:rsidRPr="00274368">
        <w:rPr>
          <w:rFonts w:cs="Arial"/>
        </w:rPr>
        <w:t xml:space="preserve">egional areas. </w:t>
      </w:r>
      <w:r w:rsidR="00F435DD" w:rsidRPr="00274368">
        <w:rPr>
          <w:rFonts w:cs="Arial"/>
        </w:rPr>
        <w:t xml:space="preserve">The existing site-based apparatus licensing arrangements in </w:t>
      </w:r>
      <w:r w:rsidR="00274368" w:rsidRPr="00274368">
        <w:rPr>
          <w:rFonts w:cs="Arial"/>
        </w:rPr>
        <w:t>r</w:t>
      </w:r>
      <w:r w:rsidR="00F435DD" w:rsidRPr="00274368">
        <w:rPr>
          <w:rFonts w:cs="Arial"/>
        </w:rPr>
        <w:t xml:space="preserve">emote areas </w:t>
      </w:r>
      <w:r w:rsidR="00441FF4" w:rsidRPr="00274368">
        <w:rPr>
          <w:rFonts w:cs="Arial"/>
        </w:rPr>
        <w:t>are</w:t>
      </w:r>
      <w:r w:rsidR="00ED39AB" w:rsidRPr="00274368">
        <w:rPr>
          <w:rFonts w:cs="Arial"/>
        </w:rPr>
        <w:t xml:space="preserve"> </w:t>
      </w:r>
      <w:r w:rsidR="00F435DD" w:rsidRPr="00274368">
        <w:rPr>
          <w:rFonts w:cs="Arial"/>
        </w:rPr>
        <w:t xml:space="preserve">also maintained. Current arrangements in the band are detailed in </w:t>
      </w:r>
      <w:r w:rsidR="00F435DD" w:rsidRPr="003C5923">
        <w:rPr>
          <w:rFonts w:cs="Arial"/>
        </w:rPr>
        <w:t>Appendix A</w:t>
      </w:r>
      <w:r w:rsidR="00F435DD" w:rsidRPr="00274368">
        <w:rPr>
          <w:rFonts w:cs="Arial"/>
        </w:rPr>
        <w:t xml:space="preserve"> and </w:t>
      </w:r>
      <w:r w:rsidR="00C83E49">
        <w:rPr>
          <w:rFonts w:cs="Arial"/>
        </w:rPr>
        <w:t>illustrated</w:t>
      </w:r>
      <w:r w:rsidR="00C83E49" w:rsidRPr="00274368">
        <w:rPr>
          <w:rFonts w:cs="Arial"/>
        </w:rPr>
        <w:t xml:space="preserve"> </w:t>
      </w:r>
      <w:r w:rsidR="00F435DD" w:rsidRPr="00274368">
        <w:rPr>
          <w:rFonts w:cs="Arial"/>
        </w:rPr>
        <w:t>in Figure 2</w:t>
      </w:r>
      <w:r w:rsidR="00261530" w:rsidRPr="00274368">
        <w:rPr>
          <w:rFonts w:cs="Arial"/>
        </w:rPr>
        <w:t>.</w:t>
      </w:r>
    </w:p>
    <w:p w14:paraId="25995BD9" w14:textId="5474F0EE" w:rsidR="006D3ECB" w:rsidRPr="00274368" w:rsidRDefault="006D3ECB" w:rsidP="003C5923">
      <w:pPr>
        <w:pStyle w:val="Heading3"/>
      </w:pPr>
      <w:bookmarkStart w:id="76" w:name="_Toc6923113"/>
      <w:r w:rsidRPr="00274368">
        <w:t>Assessment</w:t>
      </w:r>
      <w:r w:rsidR="00D53B0E" w:rsidRPr="00274368">
        <w:t xml:space="preserve"> of Option 1</w:t>
      </w:r>
      <w:r w:rsidR="00BD6A84" w:rsidRPr="00274368">
        <w:t xml:space="preserve"> against the planning goals</w:t>
      </w:r>
      <w:bookmarkEnd w:id="76"/>
    </w:p>
    <w:p w14:paraId="07656A61" w14:textId="74A4C2F3" w:rsidR="006D3ECB" w:rsidRDefault="006D3ECB" w:rsidP="003C5923">
      <w:pPr>
        <w:spacing w:after="80"/>
        <w:rPr>
          <w:rFonts w:cs="Arial"/>
        </w:rPr>
      </w:pPr>
      <w:r w:rsidRPr="00274368">
        <w:rPr>
          <w:rFonts w:cs="Arial"/>
        </w:rPr>
        <w:t xml:space="preserve">The advantage of this </w:t>
      </w:r>
      <w:r w:rsidR="00EE1F80" w:rsidRPr="00274368">
        <w:rPr>
          <w:rFonts w:cs="Arial"/>
        </w:rPr>
        <w:t xml:space="preserve">planning </w:t>
      </w:r>
      <w:r w:rsidRPr="00274368">
        <w:rPr>
          <w:rFonts w:cs="Arial"/>
        </w:rPr>
        <w:t>option is:</w:t>
      </w:r>
    </w:p>
    <w:p w14:paraId="58AEB6D8" w14:textId="0D508A75" w:rsidR="006D3ECB" w:rsidRPr="00565090" w:rsidRDefault="006D3ECB" w:rsidP="00274368">
      <w:pPr>
        <w:pStyle w:val="ListBullet"/>
        <w:numPr>
          <w:ilvl w:val="0"/>
          <w:numId w:val="18"/>
        </w:numPr>
        <w:tabs>
          <w:tab w:val="num" w:pos="295"/>
        </w:tabs>
        <w:spacing w:line="240" w:lineRule="auto"/>
        <w:ind w:left="295" w:hanging="295"/>
        <w:rPr>
          <w:rFonts w:cs="Arial"/>
        </w:rPr>
      </w:pPr>
      <w:r>
        <w:rPr>
          <w:rFonts w:cs="Arial"/>
        </w:rPr>
        <w:t xml:space="preserve">It </w:t>
      </w:r>
      <w:r w:rsidRPr="003C09B7">
        <w:rPr>
          <w:rFonts w:cs="Arial"/>
        </w:rPr>
        <w:t xml:space="preserve">allows incumbent services to continue operating in the band as they currently do. </w:t>
      </w:r>
    </w:p>
    <w:p w14:paraId="41A971BB" w14:textId="1BEB1057" w:rsidR="006D3ECB" w:rsidRDefault="006D3ECB" w:rsidP="003C5923">
      <w:pPr>
        <w:spacing w:before="240" w:after="80"/>
        <w:rPr>
          <w:rFonts w:cs="Arial"/>
        </w:rPr>
      </w:pPr>
      <w:r>
        <w:rPr>
          <w:rFonts w:cs="Arial"/>
        </w:rPr>
        <w:t xml:space="preserve">The disadvantages of this </w:t>
      </w:r>
      <w:r w:rsidR="00EE1F80">
        <w:rPr>
          <w:rFonts w:cs="Arial"/>
        </w:rPr>
        <w:t xml:space="preserve">planning </w:t>
      </w:r>
      <w:r>
        <w:rPr>
          <w:rFonts w:cs="Arial"/>
        </w:rPr>
        <w:t>option are:</w:t>
      </w:r>
    </w:p>
    <w:p w14:paraId="1C7CF70A" w14:textId="52F14DA3" w:rsidR="006D3ECB" w:rsidRDefault="006D3ECB" w:rsidP="00274368">
      <w:pPr>
        <w:pStyle w:val="ListBullet"/>
        <w:numPr>
          <w:ilvl w:val="0"/>
          <w:numId w:val="18"/>
        </w:numPr>
        <w:tabs>
          <w:tab w:val="num" w:pos="295"/>
        </w:tabs>
        <w:spacing w:line="240" w:lineRule="auto"/>
        <w:ind w:left="295" w:hanging="295"/>
        <w:rPr>
          <w:rFonts w:cs="Arial"/>
        </w:rPr>
      </w:pPr>
      <w:bookmarkStart w:id="77" w:name="_Hlk4659919"/>
      <w:r>
        <w:rPr>
          <w:rFonts w:cs="Arial"/>
        </w:rPr>
        <w:t xml:space="preserve">It </w:t>
      </w:r>
      <w:r w:rsidRPr="003C09B7">
        <w:rPr>
          <w:rFonts w:cs="Arial"/>
        </w:rPr>
        <w:t xml:space="preserve">does not remove the barriers to </w:t>
      </w:r>
      <w:r w:rsidR="00441FF4">
        <w:rPr>
          <w:rFonts w:cs="Arial"/>
        </w:rPr>
        <w:t xml:space="preserve">facilitate </w:t>
      </w:r>
      <w:r w:rsidR="00C83E49">
        <w:rPr>
          <w:rFonts w:cs="Arial"/>
        </w:rPr>
        <w:t>change in the</w:t>
      </w:r>
      <w:r w:rsidR="00441FF4">
        <w:rPr>
          <w:rFonts w:cs="Arial"/>
        </w:rPr>
        <w:t xml:space="preserve"> band</w:t>
      </w:r>
      <w:r w:rsidR="002414CF">
        <w:rPr>
          <w:rFonts w:cs="Arial"/>
        </w:rPr>
        <w:t xml:space="preserve">. </w:t>
      </w:r>
    </w:p>
    <w:p w14:paraId="011E07E3" w14:textId="0E3C5350" w:rsidR="006D3ECB" w:rsidRDefault="006D3ECB" w:rsidP="00274368">
      <w:pPr>
        <w:pStyle w:val="ListBullet"/>
        <w:numPr>
          <w:ilvl w:val="0"/>
          <w:numId w:val="18"/>
        </w:numPr>
        <w:tabs>
          <w:tab w:val="num" w:pos="295"/>
        </w:tabs>
        <w:spacing w:line="240" w:lineRule="auto"/>
        <w:ind w:left="295" w:hanging="295"/>
        <w:rPr>
          <w:rFonts w:cs="Arial"/>
        </w:rPr>
      </w:pPr>
      <w:r>
        <w:rPr>
          <w:rFonts w:cs="Arial"/>
        </w:rPr>
        <w:t>The existing arrangements are more likely to result in inefficient use of spectrum. This is due to</w:t>
      </w:r>
      <w:r w:rsidR="00EF4478">
        <w:rPr>
          <w:rFonts w:cs="Arial"/>
        </w:rPr>
        <w:t xml:space="preserve"> the</w:t>
      </w:r>
      <w:r>
        <w:rPr>
          <w:rFonts w:cs="Arial"/>
        </w:rPr>
        <w:t xml:space="preserve"> fragmented and irregular spectrum holdings </w:t>
      </w:r>
      <w:r w:rsidR="00EF4478">
        <w:rPr>
          <w:rFonts w:cs="Arial"/>
        </w:rPr>
        <w:t>of</w:t>
      </w:r>
      <w:r>
        <w:rPr>
          <w:rFonts w:cs="Arial"/>
        </w:rPr>
        <w:t xml:space="preserve"> area-based licensees as well as the irregular amount of spectrum available </w:t>
      </w:r>
      <w:r w:rsidR="00747CC0">
        <w:rPr>
          <w:rFonts w:cs="Arial"/>
        </w:rPr>
        <w:t xml:space="preserve">for </w:t>
      </w:r>
      <w:r>
        <w:rPr>
          <w:rFonts w:cs="Arial"/>
        </w:rPr>
        <w:t xml:space="preserve">PMP licensing. An example of irregular spectrum holdings are the two 17.5 MHz lots available for PMP licensing. This does not align with standard 5 MHz channelling arrangements associated with modern </w:t>
      </w:r>
      <w:r w:rsidR="00C4423E">
        <w:rPr>
          <w:rFonts w:cs="Arial"/>
        </w:rPr>
        <w:t>technologies</w:t>
      </w:r>
      <w:r w:rsidR="00E2458D">
        <w:rPr>
          <w:rFonts w:cs="Arial"/>
        </w:rPr>
        <w:t>.</w:t>
      </w:r>
      <w:r w:rsidR="00C60E71">
        <w:rPr>
          <w:rFonts w:cs="Arial"/>
        </w:rPr>
        <w:t xml:space="preserve"> </w:t>
      </w:r>
    </w:p>
    <w:p w14:paraId="0C959669" w14:textId="728BEFFB" w:rsidR="006B18EB" w:rsidRDefault="006D3ECB" w:rsidP="00274368">
      <w:pPr>
        <w:pStyle w:val="ListBullet"/>
        <w:numPr>
          <w:ilvl w:val="0"/>
          <w:numId w:val="18"/>
        </w:numPr>
        <w:tabs>
          <w:tab w:val="num" w:pos="295"/>
        </w:tabs>
        <w:spacing w:line="240" w:lineRule="auto"/>
        <w:ind w:left="295" w:hanging="295"/>
        <w:rPr>
          <w:rFonts w:cs="Arial"/>
        </w:rPr>
      </w:pPr>
      <w:r>
        <w:rPr>
          <w:rFonts w:cs="Arial"/>
        </w:rPr>
        <w:t>Fragmented spectrum holdings are more likely to result in increased network deployment costs</w:t>
      </w:r>
      <w:r w:rsidR="00E2458D">
        <w:rPr>
          <w:rFonts w:cs="Arial"/>
        </w:rPr>
        <w:t>,</w:t>
      </w:r>
      <w:r>
        <w:rPr>
          <w:rFonts w:cs="Arial"/>
        </w:rPr>
        <w:t xml:space="preserve"> as discussed in</w:t>
      </w:r>
      <w:r w:rsidR="00E2458D">
        <w:rPr>
          <w:rFonts w:cs="Arial"/>
        </w:rPr>
        <w:t xml:space="preserve"> the ‘</w:t>
      </w:r>
      <w:r w:rsidRPr="003C5923">
        <w:rPr>
          <w:rFonts w:cs="Arial"/>
        </w:rPr>
        <w:t>Case for Action</w:t>
      </w:r>
      <w:r w:rsidR="00E2458D">
        <w:rPr>
          <w:rFonts w:cs="Arial"/>
        </w:rPr>
        <w:t>’</w:t>
      </w:r>
      <w:r w:rsidRPr="003C09B7">
        <w:rPr>
          <w:rFonts w:cs="Arial"/>
        </w:rPr>
        <w:t xml:space="preserve"> section</w:t>
      </w:r>
      <w:r w:rsidR="00274368">
        <w:t xml:space="preserve"> above</w:t>
      </w:r>
      <w:r w:rsidR="00E2458D">
        <w:t xml:space="preserve">. </w:t>
      </w:r>
    </w:p>
    <w:p w14:paraId="03615476" w14:textId="18E3FA9E" w:rsidR="00521C8A" w:rsidRDefault="00521C8A" w:rsidP="00274368">
      <w:pPr>
        <w:pStyle w:val="ListBullet"/>
        <w:numPr>
          <w:ilvl w:val="0"/>
          <w:numId w:val="18"/>
        </w:numPr>
        <w:tabs>
          <w:tab w:val="num" w:pos="295"/>
        </w:tabs>
        <w:spacing w:line="240" w:lineRule="auto"/>
        <w:ind w:left="295" w:hanging="295"/>
        <w:rPr>
          <w:rFonts w:cs="Arial"/>
        </w:rPr>
      </w:pPr>
      <w:r>
        <w:rPr>
          <w:rFonts w:cs="Arial"/>
        </w:rPr>
        <w:t xml:space="preserve">Large portions of the band remain </w:t>
      </w:r>
      <w:r w:rsidR="00306CE7">
        <w:rPr>
          <w:rFonts w:cs="Arial"/>
        </w:rPr>
        <w:t xml:space="preserve">underutilised and </w:t>
      </w:r>
      <w:r>
        <w:rPr>
          <w:rFonts w:cs="Arial"/>
        </w:rPr>
        <w:t>unavailable for use by wireless br</w:t>
      </w:r>
      <w:r w:rsidR="00AA4F56">
        <w:rPr>
          <w:rFonts w:cs="Arial"/>
        </w:rPr>
        <w:t>o</w:t>
      </w:r>
      <w:r>
        <w:rPr>
          <w:rFonts w:cs="Arial"/>
        </w:rPr>
        <w:t xml:space="preserve">adband use. </w:t>
      </w:r>
    </w:p>
    <w:p w14:paraId="03D48B07" w14:textId="3C2C7F24" w:rsidR="00CF7048" w:rsidRDefault="00CF7048" w:rsidP="00032ECB">
      <w:pPr>
        <w:pStyle w:val="Heading2"/>
        <w:spacing w:after="120"/>
      </w:pPr>
      <w:bookmarkStart w:id="78" w:name="_Toc6923114"/>
      <w:bookmarkEnd w:id="77"/>
      <w:r>
        <w:t xml:space="preserve">Option 2: </w:t>
      </w:r>
      <w:r w:rsidR="00D771E1">
        <w:t xml:space="preserve">Convert and re-allocate more of the band </w:t>
      </w:r>
      <w:r w:rsidR="00071EEA">
        <w:t>for</w:t>
      </w:r>
      <w:r w:rsidR="00D771E1">
        <w:t xml:space="preserve"> spectrum </w:t>
      </w:r>
      <w:r w:rsidRPr="00CF7048">
        <w:t>licen</w:t>
      </w:r>
      <w:r w:rsidR="00071EEA">
        <w:t>sing</w:t>
      </w:r>
      <w:bookmarkEnd w:id="78"/>
      <w:r w:rsidR="00BA4146">
        <w:t xml:space="preserve"> </w:t>
      </w:r>
    </w:p>
    <w:p w14:paraId="56BAD609" w14:textId="77777777" w:rsidR="00F435DD" w:rsidRPr="00032ECB" w:rsidRDefault="00F435DD" w:rsidP="003C5923">
      <w:pPr>
        <w:pStyle w:val="Heading3"/>
      </w:pPr>
      <w:bookmarkStart w:id="79" w:name="_Toc6923115"/>
      <w:r w:rsidRPr="00032ECB">
        <w:t>Overview</w:t>
      </w:r>
      <w:bookmarkEnd w:id="79"/>
    </w:p>
    <w:p w14:paraId="0156BF25" w14:textId="56218BB3" w:rsidR="00030772" w:rsidRDefault="00F435DD" w:rsidP="003C5923">
      <w:pPr>
        <w:spacing w:after="80"/>
        <w:rPr>
          <w:rFonts w:cs="Arial"/>
        </w:rPr>
      </w:pPr>
      <w:bookmarkStart w:id="80" w:name="_Hlk4675835"/>
      <w:r>
        <w:rPr>
          <w:rFonts w:cs="Arial"/>
        </w:rPr>
        <w:t xml:space="preserve">Under </w:t>
      </w:r>
      <w:r w:rsidR="00AA4F56">
        <w:rPr>
          <w:rFonts w:cs="Arial"/>
        </w:rPr>
        <w:t xml:space="preserve">this </w:t>
      </w:r>
      <w:r w:rsidR="00E2458D">
        <w:rPr>
          <w:rFonts w:cs="Arial"/>
        </w:rPr>
        <w:t>o</w:t>
      </w:r>
      <w:r>
        <w:rPr>
          <w:rFonts w:cs="Arial"/>
        </w:rPr>
        <w:t>ption</w:t>
      </w:r>
      <w:r w:rsidR="00030772">
        <w:rPr>
          <w:rFonts w:cs="Arial"/>
        </w:rPr>
        <w:t>:</w:t>
      </w:r>
      <w:r w:rsidR="003E329D">
        <w:rPr>
          <w:rFonts w:cs="Arial"/>
        </w:rPr>
        <w:t xml:space="preserve"> </w:t>
      </w:r>
    </w:p>
    <w:p w14:paraId="51D1EC53" w14:textId="763CC7FF" w:rsidR="00EB1D68" w:rsidRPr="00EB1D68" w:rsidRDefault="00030772" w:rsidP="00274368">
      <w:pPr>
        <w:pStyle w:val="ListBullet"/>
        <w:numPr>
          <w:ilvl w:val="0"/>
          <w:numId w:val="18"/>
        </w:numPr>
        <w:tabs>
          <w:tab w:val="num" w:pos="295"/>
        </w:tabs>
        <w:spacing w:line="240" w:lineRule="auto"/>
        <w:ind w:left="295" w:hanging="295"/>
        <w:rPr>
          <w:rFonts w:cs="Arial"/>
        </w:rPr>
      </w:pPr>
      <w:r w:rsidRPr="00EB1D68">
        <w:rPr>
          <w:rFonts w:cs="Arial"/>
        </w:rPr>
        <w:t xml:space="preserve">NBN Co’s PTS licences </w:t>
      </w:r>
      <w:r w:rsidR="00AA4F56" w:rsidRPr="00EB1D68">
        <w:rPr>
          <w:rFonts w:cs="Arial"/>
        </w:rPr>
        <w:t>are</w:t>
      </w:r>
      <w:r w:rsidRPr="00EB1D68">
        <w:rPr>
          <w:rFonts w:cs="Arial"/>
        </w:rPr>
        <w:t xml:space="preserve"> converted to spectrum licences. </w:t>
      </w:r>
      <w:r w:rsidR="00274368">
        <w:t>To do this</w:t>
      </w:r>
      <w:r w:rsidR="00E2458D">
        <w:t>,</w:t>
      </w:r>
      <w:r w:rsidR="00274368" w:rsidRPr="00EB1D68">
        <w:rPr>
          <w:rFonts w:cs="Arial"/>
        </w:rPr>
        <w:t xml:space="preserve"> t</w:t>
      </w:r>
      <w:r w:rsidR="00EB1D68" w:rsidRPr="00EB1D68">
        <w:rPr>
          <w:rFonts w:cs="Arial"/>
        </w:rPr>
        <w:t xml:space="preserve">he </w:t>
      </w:r>
      <w:r w:rsidR="00E2458D">
        <w:rPr>
          <w:rFonts w:cs="Arial"/>
        </w:rPr>
        <w:t>m</w:t>
      </w:r>
      <w:r w:rsidR="00EB1D68" w:rsidRPr="00EB1D68">
        <w:rPr>
          <w:rFonts w:cs="Arial"/>
        </w:rPr>
        <w:t>inister must issue a written notice to the ACMA (under section 36 of the Act) designating specified spectrum in specified areas to be allocated by issuing spectrum licences. If such a designation is made, the ACMA must then prepare a conversion plan under section 38 of the Act and commence discussion with NBN Co on the conversion of their apparatus licences to spectrum licences (</w:t>
      </w:r>
      <w:r w:rsidR="00EB1D68" w:rsidRPr="003C5923">
        <w:t>Appendix D</w:t>
      </w:r>
      <w:r w:rsidR="00EB1D68" w:rsidRPr="00EB1D68">
        <w:rPr>
          <w:rFonts w:cs="Arial"/>
        </w:rPr>
        <w:t xml:space="preserve"> provides an overview of the conversion process)</w:t>
      </w:r>
      <w:r w:rsidR="00E2458D">
        <w:rPr>
          <w:rFonts w:cs="Arial"/>
        </w:rPr>
        <w:t xml:space="preserve">. </w:t>
      </w:r>
    </w:p>
    <w:p w14:paraId="665032DA" w14:textId="76513738" w:rsidR="0057337D" w:rsidRPr="00030772" w:rsidRDefault="00E2458D" w:rsidP="003C5923">
      <w:pPr>
        <w:pStyle w:val="ListBullet"/>
        <w:numPr>
          <w:ilvl w:val="0"/>
          <w:numId w:val="18"/>
        </w:numPr>
        <w:tabs>
          <w:tab w:val="num" w:pos="295"/>
        </w:tabs>
        <w:spacing w:after="240" w:line="240" w:lineRule="auto"/>
        <w:ind w:left="295" w:hanging="295"/>
        <w:rPr>
          <w:rFonts w:cs="Arial"/>
        </w:rPr>
      </w:pPr>
      <w:r>
        <w:rPr>
          <w:rFonts w:cs="Arial"/>
        </w:rPr>
        <w:t>M</w:t>
      </w:r>
      <w:r w:rsidR="00D31251" w:rsidRPr="00030772">
        <w:rPr>
          <w:rFonts w:cs="Arial"/>
        </w:rPr>
        <w:t xml:space="preserve">ore of the </w:t>
      </w:r>
      <w:r w:rsidR="005619B4">
        <w:rPr>
          <w:rFonts w:cs="Arial"/>
        </w:rPr>
        <w:t>3400</w:t>
      </w:r>
      <w:r>
        <w:rPr>
          <w:rFonts w:cs="Arial"/>
        </w:rPr>
        <w:t>–</w:t>
      </w:r>
      <w:r w:rsidR="005619B4">
        <w:rPr>
          <w:rFonts w:cs="Arial"/>
        </w:rPr>
        <w:t>3575 MHz</w:t>
      </w:r>
      <w:r w:rsidR="00D31251" w:rsidRPr="00030772">
        <w:rPr>
          <w:rFonts w:cs="Arial"/>
        </w:rPr>
        <w:t xml:space="preserve"> band in </w:t>
      </w:r>
      <w:r w:rsidR="00274368">
        <w:t>m</w:t>
      </w:r>
      <w:r w:rsidR="0057337D" w:rsidRPr="00274368">
        <w:t>ajor</w:t>
      </w:r>
      <w:r w:rsidR="0057337D" w:rsidRPr="00030772">
        <w:rPr>
          <w:rFonts w:cs="Arial"/>
        </w:rPr>
        <w:t xml:space="preserve"> </w:t>
      </w:r>
      <w:r w:rsidR="00D82563">
        <w:rPr>
          <w:rFonts w:cs="Arial"/>
        </w:rPr>
        <w:t>r</w:t>
      </w:r>
      <w:r w:rsidR="0057337D" w:rsidRPr="00030772">
        <w:rPr>
          <w:rFonts w:cs="Arial"/>
        </w:rPr>
        <w:t xml:space="preserve">egional </w:t>
      </w:r>
      <w:r w:rsidR="00D82563">
        <w:rPr>
          <w:rFonts w:cs="Arial"/>
        </w:rPr>
        <w:t>c</w:t>
      </w:r>
      <w:r w:rsidR="0057337D" w:rsidRPr="00030772">
        <w:rPr>
          <w:rFonts w:cs="Arial"/>
        </w:rPr>
        <w:t xml:space="preserve">entres and </w:t>
      </w:r>
      <w:r w:rsidR="00274368">
        <w:t>r</w:t>
      </w:r>
      <w:r w:rsidR="0057337D" w:rsidRPr="00274368">
        <w:t>egional areas</w:t>
      </w:r>
      <w:r w:rsidR="001E5F1D" w:rsidRPr="00274368">
        <w:t xml:space="preserve"> </w:t>
      </w:r>
      <w:r w:rsidR="00274368">
        <w:t>that is</w:t>
      </w:r>
      <w:r w:rsidR="00274368">
        <w:rPr>
          <w:rFonts w:cs="Arial"/>
        </w:rPr>
        <w:t xml:space="preserve"> </w:t>
      </w:r>
      <w:r w:rsidR="001E5F1D" w:rsidRPr="00030772">
        <w:rPr>
          <w:rFonts w:cs="Arial"/>
        </w:rPr>
        <w:t>not currently subject to spectrum licensing</w:t>
      </w:r>
      <w:r w:rsidR="0057337D" w:rsidRPr="00030772">
        <w:rPr>
          <w:rFonts w:cs="Arial"/>
        </w:rPr>
        <w:t xml:space="preserve"> </w:t>
      </w:r>
      <w:r w:rsidR="00274368">
        <w:rPr>
          <w:rFonts w:cs="Arial"/>
        </w:rPr>
        <w:t>is</w:t>
      </w:r>
      <w:r w:rsidR="00AA4F56">
        <w:rPr>
          <w:rFonts w:cs="Arial"/>
        </w:rPr>
        <w:t xml:space="preserve"> </w:t>
      </w:r>
      <w:r w:rsidR="0057337D" w:rsidRPr="00030772">
        <w:rPr>
          <w:rFonts w:cs="Arial"/>
        </w:rPr>
        <w:t xml:space="preserve">re-allocated for the issue of spectrum licences. </w:t>
      </w:r>
      <w:r w:rsidR="00030772">
        <w:rPr>
          <w:rFonts w:cs="Arial"/>
        </w:rPr>
        <w:t xml:space="preserve">If the </w:t>
      </w:r>
      <w:r>
        <w:rPr>
          <w:rFonts w:cs="Arial"/>
        </w:rPr>
        <w:t>m</w:t>
      </w:r>
      <w:r w:rsidR="00030772">
        <w:rPr>
          <w:rFonts w:cs="Arial"/>
        </w:rPr>
        <w:t xml:space="preserve">inister </w:t>
      </w:r>
      <w:r w:rsidR="001E5F1D">
        <w:rPr>
          <w:rFonts w:cs="Arial"/>
        </w:rPr>
        <w:t xml:space="preserve">decides </w:t>
      </w:r>
      <w:r w:rsidR="00030772">
        <w:rPr>
          <w:rFonts w:cs="Arial"/>
        </w:rPr>
        <w:t xml:space="preserve">to re-allocate any </w:t>
      </w:r>
      <w:r w:rsidR="001E5F1D">
        <w:rPr>
          <w:rFonts w:cs="Arial"/>
        </w:rPr>
        <w:t>of the band</w:t>
      </w:r>
      <w:r w:rsidR="00030772">
        <w:rPr>
          <w:rFonts w:cs="Arial"/>
        </w:rPr>
        <w:t>, the ACMA then prepare</w:t>
      </w:r>
      <w:r w:rsidR="00AA4F56">
        <w:rPr>
          <w:rFonts w:cs="Arial"/>
        </w:rPr>
        <w:t>s</w:t>
      </w:r>
      <w:r w:rsidR="00030772">
        <w:rPr>
          <w:rFonts w:cs="Arial"/>
        </w:rPr>
        <w:t xml:space="preserve"> a marketing plan under s</w:t>
      </w:r>
      <w:r>
        <w:rPr>
          <w:rFonts w:cs="Arial"/>
        </w:rPr>
        <w:t xml:space="preserve">ection </w:t>
      </w:r>
      <w:r w:rsidR="00030772">
        <w:rPr>
          <w:rFonts w:cs="Arial"/>
        </w:rPr>
        <w:t>39</w:t>
      </w:r>
      <w:r w:rsidR="002379A7">
        <w:rPr>
          <w:rFonts w:cs="Arial"/>
        </w:rPr>
        <w:t>a</w:t>
      </w:r>
      <w:r w:rsidR="00030772">
        <w:rPr>
          <w:rFonts w:cs="Arial"/>
        </w:rPr>
        <w:t xml:space="preserve"> of the Act and allocate</w:t>
      </w:r>
      <w:r w:rsidR="00AA4F56">
        <w:rPr>
          <w:rFonts w:cs="Arial"/>
        </w:rPr>
        <w:t>s</w:t>
      </w:r>
      <w:r w:rsidR="00030772">
        <w:rPr>
          <w:rFonts w:cs="Arial"/>
        </w:rPr>
        <w:t xml:space="preserve"> it in accordance with s</w:t>
      </w:r>
      <w:r>
        <w:rPr>
          <w:rFonts w:cs="Arial"/>
        </w:rPr>
        <w:t xml:space="preserve">ection </w:t>
      </w:r>
      <w:r w:rsidR="00030772">
        <w:rPr>
          <w:rFonts w:cs="Arial"/>
        </w:rPr>
        <w:t>60 of the Act (e.g. via auction).</w:t>
      </w:r>
      <w:r w:rsidR="00116A99">
        <w:rPr>
          <w:rFonts w:cs="Arial"/>
        </w:rPr>
        <w:t xml:space="preserve"> </w:t>
      </w:r>
      <w:r w:rsidR="00274368">
        <w:t>I</w:t>
      </w:r>
      <w:r w:rsidR="00EF7DDE" w:rsidRPr="00274368">
        <w:t>ncumbent</w:t>
      </w:r>
      <w:r w:rsidR="00EF7DDE">
        <w:rPr>
          <w:rFonts w:cs="Arial"/>
        </w:rPr>
        <w:t xml:space="preserve"> apparatus licences in areas and frequencies subject to re-allocation are cancelled at the end of the re-allocation period. </w:t>
      </w:r>
      <w:r w:rsidR="00FF31FE">
        <w:rPr>
          <w:rFonts w:cs="Arial"/>
        </w:rPr>
        <w:t>Therefore,</w:t>
      </w:r>
      <w:r w:rsidR="00EF7DDE">
        <w:rPr>
          <w:rFonts w:cs="Arial"/>
        </w:rPr>
        <w:t xml:space="preserve"> a</w:t>
      </w:r>
      <w:r w:rsidR="00116A99">
        <w:rPr>
          <w:rFonts w:cs="Arial"/>
        </w:rPr>
        <w:t xml:space="preserve"> suitable re-allocation period need</w:t>
      </w:r>
      <w:r w:rsidR="00AA4F56">
        <w:rPr>
          <w:rFonts w:cs="Arial"/>
        </w:rPr>
        <w:t>s</w:t>
      </w:r>
      <w:r w:rsidR="00116A99">
        <w:rPr>
          <w:rFonts w:cs="Arial"/>
        </w:rPr>
        <w:t xml:space="preserve"> to be determined, noting the Act specifies a minimum </w:t>
      </w:r>
      <w:r w:rsidR="00274368">
        <w:t>two</w:t>
      </w:r>
      <w:r w:rsidR="00116A99">
        <w:rPr>
          <w:rFonts w:cs="Arial"/>
        </w:rPr>
        <w:t xml:space="preserve">-year period. </w:t>
      </w:r>
    </w:p>
    <w:p w14:paraId="629DC754" w14:textId="14A743B3" w:rsidR="006E120D" w:rsidRDefault="006E120D" w:rsidP="00E644A1">
      <w:pPr>
        <w:rPr>
          <w:rFonts w:cs="Arial"/>
        </w:rPr>
      </w:pPr>
      <w:r>
        <w:rPr>
          <w:rFonts w:cs="Arial"/>
        </w:rPr>
        <w:t xml:space="preserve">Once spectrum licences have been issued, defrag could occur via </w:t>
      </w:r>
      <w:r w:rsidR="00802F61">
        <w:rPr>
          <w:rFonts w:cs="Arial"/>
        </w:rPr>
        <w:t xml:space="preserve">any combination of </w:t>
      </w:r>
      <w:r w:rsidR="00274368">
        <w:rPr>
          <w:rFonts w:cs="Arial"/>
        </w:rPr>
        <w:t>third</w:t>
      </w:r>
      <w:r w:rsidR="00E2458D">
        <w:rPr>
          <w:rFonts w:cs="Arial"/>
        </w:rPr>
        <w:t>-</w:t>
      </w:r>
      <w:r>
        <w:rPr>
          <w:rFonts w:cs="Arial"/>
        </w:rPr>
        <w:t>party authorisations</w:t>
      </w:r>
      <w:r w:rsidR="009D651A">
        <w:rPr>
          <w:rFonts w:cs="Arial"/>
        </w:rPr>
        <w:t xml:space="preserve"> and/or </w:t>
      </w:r>
      <w:r w:rsidR="000061B8">
        <w:rPr>
          <w:rFonts w:cs="Arial"/>
        </w:rPr>
        <w:t xml:space="preserve">licence </w:t>
      </w:r>
      <w:r w:rsidR="009D651A">
        <w:rPr>
          <w:rFonts w:cs="Arial"/>
        </w:rPr>
        <w:t>trading</w:t>
      </w:r>
      <w:r>
        <w:rPr>
          <w:rFonts w:cs="Arial"/>
        </w:rPr>
        <w:t xml:space="preserve">. </w:t>
      </w:r>
      <w:r w:rsidR="00EF4478">
        <w:rPr>
          <w:rFonts w:cs="Arial"/>
        </w:rPr>
        <w:t xml:space="preserve">To facilitate trading, the ACMA would seek to align the expiry date of any spectrum licences issued with existing spectrum licences in the </w:t>
      </w:r>
      <w:r w:rsidR="005619B4">
        <w:rPr>
          <w:rFonts w:cs="Arial"/>
        </w:rPr>
        <w:t>3400</w:t>
      </w:r>
      <w:r w:rsidR="00E2458D">
        <w:rPr>
          <w:rFonts w:cs="Arial"/>
        </w:rPr>
        <w:t>–</w:t>
      </w:r>
      <w:r w:rsidR="005619B4">
        <w:rPr>
          <w:rFonts w:cs="Arial"/>
        </w:rPr>
        <w:t>3575 MHz</w:t>
      </w:r>
      <w:r w:rsidR="00EF4478">
        <w:rPr>
          <w:rFonts w:cs="Arial"/>
        </w:rPr>
        <w:t xml:space="preserve"> band. These are set to expire on 13 December 2030.</w:t>
      </w:r>
    </w:p>
    <w:p w14:paraId="25A05E81" w14:textId="6FDCE68C" w:rsidR="006E120D" w:rsidRDefault="00EB1D68" w:rsidP="00E644A1">
      <w:pPr>
        <w:rPr>
          <w:rFonts w:cs="Arial"/>
        </w:rPr>
      </w:pPr>
      <w:r>
        <w:rPr>
          <w:rFonts w:cs="Arial"/>
        </w:rPr>
        <w:t>Under th</w:t>
      </w:r>
      <w:r w:rsidR="00266082">
        <w:rPr>
          <w:rFonts w:cs="Arial"/>
        </w:rPr>
        <w:t>is</w:t>
      </w:r>
      <w:r>
        <w:rPr>
          <w:rFonts w:cs="Arial"/>
        </w:rPr>
        <w:t xml:space="preserve"> option, the ACMA would </w:t>
      </w:r>
      <w:bookmarkStart w:id="81" w:name="_Hlk5818270"/>
      <w:r>
        <w:rPr>
          <w:rFonts w:cs="Arial"/>
        </w:rPr>
        <w:t xml:space="preserve">not recommend the introduction of spectrum licensing in </w:t>
      </w:r>
      <w:r w:rsidR="00274368">
        <w:rPr>
          <w:rFonts w:cs="Arial"/>
        </w:rPr>
        <w:t>r</w:t>
      </w:r>
      <w:r>
        <w:rPr>
          <w:rFonts w:cs="Arial"/>
        </w:rPr>
        <w:t>emote areas</w:t>
      </w:r>
      <w:bookmarkEnd w:id="81"/>
      <w:r>
        <w:rPr>
          <w:rFonts w:cs="Arial"/>
        </w:rPr>
        <w:t xml:space="preserve">. </w:t>
      </w:r>
      <w:r w:rsidR="006E120D">
        <w:rPr>
          <w:rFonts w:cs="Arial"/>
        </w:rPr>
        <w:t xml:space="preserve">This is </w:t>
      </w:r>
      <w:r w:rsidR="00266082">
        <w:rPr>
          <w:rFonts w:cs="Arial"/>
        </w:rPr>
        <w:t xml:space="preserve">in </w:t>
      </w:r>
      <w:r w:rsidR="006E120D">
        <w:rPr>
          <w:rFonts w:cs="Arial"/>
        </w:rPr>
        <w:t xml:space="preserve">line with the </w:t>
      </w:r>
      <w:r w:rsidR="00122289">
        <w:rPr>
          <w:rFonts w:cs="Arial"/>
        </w:rPr>
        <w:t>outcomes</w:t>
      </w:r>
      <w:r w:rsidR="006E120D">
        <w:rPr>
          <w:rFonts w:cs="Arial"/>
        </w:rPr>
        <w:t xml:space="preserve"> of the ACMA’s </w:t>
      </w:r>
      <w:hyperlink r:id="rId37" w:history="1">
        <w:r w:rsidR="006E120D" w:rsidRPr="007D62DD">
          <w:rPr>
            <w:rStyle w:val="Hyperlink"/>
            <w:rFonts w:cs="Arial"/>
          </w:rPr>
          <w:t>review of arrangements in the adjacent 3.6 GHz band</w:t>
        </w:r>
      </w:hyperlink>
      <w:r w:rsidR="006E120D">
        <w:rPr>
          <w:rFonts w:cs="Arial"/>
        </w:rPr>
        <w:t xml:space="preserve">. As a </w:t>
      </w:r>
      <w:r w:rsidR="00BE3B54">
        <w:rPr>
          <w:rFonts w:cs="Arial"/>
        </w:rPr>
        <w:t>consequence</w:t>
      </w:r>
      <w:r w:rsidR="006E120D">
        <w:rPr>
          <w:rFonts w:cs="Arial"/>
        </w:rPr>
        <w:t xml:space="preserve">, the existing apparatus licensing arrangements for PMP, amateur and FSS in remote areas could be extended to cover the entire </w:t>
      </w:r>
      <w:r w:rsidR="005619B4">
        <w:rPr>
          <w:rFonts w:cs="Arial"/>
        </w:rPr>
        <w:t>3400-3575 MHz</w:t>
      </w:r>
      <w:r w:rsidR="006E120D">
        <w:rPr>
          <w:rFonts w:cs="Arial"/>
        </w:rPr>
        <w:t xml:space="preserve"> band. This </w:t>
      </w:r>
      <w:r w:rsidR="00802F61">
        <w:rPr>
          <w:rFonts w:cs="Arial"/>
        </w:rPr>
        <w:t>might</w:t>
      </w:r>
      <w:r w:rsidR="006E120D">
        <w:rPr>
          <w:rFonts w:cs="Arial"/>
        </w:rPr>
        <w:t xml:space="preserve"> also include </w:t>
      </w:r>
      <w:r w:rsidR="006E120D">
        <w:rPr>
          <w:rFonts w:cs="Arial"/>
        </w:rPr>
        <w:lastRenderedPageBreak/>
        <w:t>consideration of apparatus licen</w:t>
      </w:r>
      <w:r w:rsidR="00747CC0">
        <w:rPr>
          <w:rFonts w:cs="Arial"/>
        </w:rPr>
        <w:t>sing</w:t>
      </w:r>
      <w:r w:rsidR="006E120D">
        <w:rPr>
          <w:rFonts w:cs="Arial"/>
        </w:rPr>
        <w:t xml:space="preserve"> arrangements across the broader 3400</w:t>
      </w:r>
      <w:r w:rsidR="002379A7">
        <w:rPr>
          <w:rFonts w:cs="Arial"/>
        </w:rPr>
        <w:t>–</w:t>
      </w:r>
      <w:r w:rsidR="006E120D">
        <w:rPr>
          <w:rFonts w:cs="Arial"/>
        </w:rPr>
        <w:t>3700 MHz frequency range</w:t>
      </w:r>
      <w:r w:rsidR="00802F61">
        <w:rPr>
          <w:rFonts w:cs="Arial"/>
        </w:rPr>
        <w:t xml:space="preserve"> in </w:t>
      </w:r>
      <w:r w:rsidR="00274368">
        <w:rPr>
          <w:rFonts w:cs="Arial"/>
        </w:rPr>
        <w:t>r</w:t>
      </w:r>
      <w:r w:rsidR="00802F61">
        <w:rPr>
          <w:rFonts w:cs="Arial"/>
        </w:rPr>
        <w:t>emote areas</w:t>
      </w:r>
      <w:r w:rsidR="006E120D">
        <w:rPr>
          <w:rFonts w:cs="Arial"/>
        </w:rPr>
        <w:t>.</w:t>
      </w:r>
    </w:p>
    <w:p w14:paraId="10BD8313" w14:textId="088587EC" w:rsidR="00A677C2" w:rsidRPr="00BE3B54" w:rsidRDefault="00A677C2" w:rsidP="003C5923">
      <w:pPr>
        <w:spacing w:after="80"/>
        <w:rPr>
          <w:rFonts w:cs="Arial"/>
        </w:rPr>
      </w:pPr>
      <w:r>
        <w:rPr>
          <w:rFonts w:cs="Arial"/>
        </w:rPr>
        <w:t>V</w:t>
      </w:r>
      <w:r w:rsidR="00030772">
        <w:rPr>
          <w:rFonts w:cs="Arial"/>
        </w:rPr>
        <w:t>ary</w:t>
      </w:r>
      <w:r w:rsidR="00371CF7">
        <w:rPr>
          <w:rFonts w:cs="Arial"/>
        </w:rPr>
        <w:t>ing</w:t>
      </w:r>
      <w:r w:rsidR="00030772">
        <w:rPr>
          <w:rFonts w:cs="Arial"/>
        </w:rPr>
        <w:t xml:space="preserve"> </w:t>
      </w:r>
      <w:r w:rsidR="00371CF7">
        <w:rPr>
          <w:rFonts w:cs="Arial"/>
        </w:rPr>
        <w:t xml:space="preserve">amounts </w:t>
      </w:r>
      <w:r w:rsidR="00030772">
        <w:rPr>
          <w:rFonts w:cs="Arial"/>
        </w:rPr>
        <w:t xml:space="preserve">of the </w:t>
      </w:r>
      <w:r w:rsidR="005619B4">
        <w:rPr>
          <w:rFonts w:cs="Arial"/>
        </w:rPr>
        <w:t>3400</w:t>
      </w:r>
      <w:r w:rsidR="002379A7">
        <w:rPr>
          <w:rFonts w:cs="Arial"/>
        </w:rPr>
        <w:t>–</w:t>
      </w:r>
      <w:r w:rsidR="005619B4" w:rsidRPr="00BE3B54">
        <w:rPr>
          <w:rFonts w:cs="Arial"/>
        </w:rPr>
        <w:t>3575 MHz</w:t>
      </w:r>
      <w:r w:rsidR="00030772" w:rsidRPr="00BE3B54">
        <w:rPr>
          <w:rFonts w:cs="Arial"/>
        </w:rPr>
        <w:t xml:space="preserve"> band could be </w:t>
      </w:r>
      <w:r w:rsidR="00802F61" w:rsidRPr="00BE3B54">
        <w:rPr>
          <w:rFonts w:cs="Arial"/>
        </w:rPr>
        <w:t>re-allocated or designated for the issue of</w:t>
      </w:r>
      <w:r w:rsidR="00030772" w:rsidRPr="00BE3B54">
        <w:rPr>
          <w:rFonts w:cs="Arial"/>
        </w:rPr>
        <w:t xml:space="preserve"> spectrum licen</w:t>
      </w:r>
      <w:r w:rsidR="00802F61" w:rsidRPr="00BE3B54">
        <w:rPr>
          <w:rFonts w:cs="Arial"/>
        </w:rPr>
        <w:t>ces</w:t>
      </w:r>
      <w:r w:rsidRPr="00BE3B54">
        <w:rPr>
          <w:rFonts w:cs="Arial"/>
        </w:rPr>
        <w:t xml:space="preserve"> under this option. However,</w:t>
      </w:r>
      <w:r w:rsidR="00030772" w:rsidRPr="00BE3B54">
        <w:rPr>
          <w:rFonts w:cs="Arial"/>
        </w:rPr>
        <w:t xml:space="preserve"> to</w:t>
      </w:r>
      <w:r w:rsidR="00D23137" w:rsidRPr="00BE3B54">
        <w:rPr>
          <w:rFonts w:cs="Arial"/>
        </w:rPr>
        <w:t xml:space="preserve"> achieve the</w:t>
      </w:r>
      <w:r w:rsidR="00030772" w:rsidRPr="00BE3B54">
        <w:rPr>
          <w:rFonts w:cs="Arial"/>
        </w:rPr>
        <w:t xml:space="preserve"> </w:t>
      </w:r>
      <w:r w:rsidR="00D23137" w:rsidRPr="00BE3B54">
        <w:rPr>
          <w:rFonts w:cs="Arial"/>
        </w:rPr>
        <w:t xml:space="preserve">minimum degree of defrag, as described at </w:t>
      </w:r>
      <w:r w:rsidR="00D23137" w:rsidRPr="003C5923">
        <w:rPr>
          <w:rFonts w:cs="Arial"/>
        </w:rPr>
        <w:t>Appendix C</w:t>
      </w:r>
      <w:r w:rsidR="00D23137" w:rsidRPr="00BE3B54">
        <w:rPr>
          <w:rFonts w:cs="Arial"/>
        </w:rPr>
        <w:t>:</w:t>
      </w:r>
    </w:p>
    <w:p w14:paraId="64421DE7" w14:textId="4399A62F" w:rsidR="00030772" w:rsidRDefault="002379A7" w:rsidP="00274368">
      <w:pPr>
        <w:pStyle w:val="ListBullet"/>
        <w:numPr>
          <w:ilvl w:val="0"/>
          <w:numId w:val="18"/>
        </w:numPr>
        <w:tabs>
          <w:tab w:val="num" w:pos="295"/>
        </w:tabs>
        <w:spacing w:line="240" w:lineRule="auto"/>
        <w:ind w:left="295" w:hanging="295"/>
        <w:rPr>
          <w:rFonts w:cs="Arial"/>
        </w:rPr>
      </w:pPr>
      <w:r>
        <w:rPr>
          <w:rFonts w:cs="Arial"/>
        </w:rPr>
        <w:t>T</w:t>
      </w:r>
      <w:r w:rsidR="00D53D0B" w:rsidRPr="00455E6C">
        <w:rPr>
          <w:rFonts w:cs="Arial"/>
        </w:rPr>
        <w:t>he conversion process</w:t>
      </w:r>
      <w:r w:rsidR="00AA4F56">
        <w:rPr>
          <w:rFonts w:cs="Arial"/>
        </w:rPr>
        <w:t xml:space="preserve"> </w:t>
      </w:r>
      <w:r w:rsidR="00D23137">
        <w:rPr>
          <w:rFonts w:cs="Arial"/>
        </w:rPr>
        <w:t>must</w:t>
      </w:r>
      <w:r w:rsidR="00AA4F56">
        <w:rPr>
          <w:rFonts w:cs="Arial"/>
        </w:rPr>
        <w:t xml:space="preserve"> </w:t>
      </w:r>
      <w:r w:rsidR="00D53D0B" w:rsidRPr="00455E6C">
        <w:rPr>
          <w:rFonts w:cs="Arial"/>
        </w:rPr>
        <w:t xml:space="preserve">include all </w:t>
      </w:r>
      <w:r w:rsidR="00802F61">
        <w:rPr>
          <w:rFonts w:cs="Arial"/>
        </w:rPr>
        <w:t xml:space="preserve">frequencies and </w:t>
      </w:r>
      <w:r w:rsidR="00D53D0B" w:rsidRPr="00455E6C">
        <w:rPr>
          <w:rFonts w:cs="Arial"/>
        </w:rPr>
        <w:t>areas covered by NBN Co’s PTS licences</w:t>
      </w:r>
      <w:r w:rsidR="00455E6C">
        <w:rPr>
          <w:rFonts w:cs="Arial"/>
        </w:rPr>
        <w:t>.</w:t>
      </w:r>
      <w:r w:rsidR="00455E6C" w:rsidRPr="00455E6C">
        <w:rPr>
          <w:rFonts w:cs="Arial"/>
        </w:rPr>
        <w:t xml:space="preserve"> </w:t>
      </w:r>
      <w:r w:rsidR="00D23137">
        <w:rPr>
          <w:rFonts w:cs="Arial"/>
        </w:rPr>
        <w:t>To enable</w:t>
      </w:r>
      <w:r w:rsidR="00AA4F56">
        <w:rPr>
          <w:rFonts w:cs="Arial"/>
        </w:rPr>
        <w:t xml:space="preserve"> </w:t>
      </w:r>
      <w:r w:rsidR="00455E6C">
        <w:rPr>
          <w:rFonts w:cs="Arial"/>
        </w:rPr>
        <w:t xml:space="preserve">NBN Co </w:t>
      </w:r>
      <w:r w:rsidR="00D23137">
        <w:rPr>
          <w:rFonts w:cs="Arial"/>
        </w:rPr>
        <w:t>to</w:t>
      </w:r>
      <w:r w:rsidR="00455E6C">
        <w:rPr>
          <w:rFonts w:cs="Arial"/>
        </w:rPr>
        <w:t xml:space="preserve"> continue operating services to the same extent </w:t>
      </w:r>
      <w:r w:rsidR="00AA4F56">
        <w:rPr>
          <w:rFonts w:cs="Arial"/>
        </w:rPr>
        <w:t xml:space="preserve">that </w:t>
      </w:r>
      <w:r w:rsidR="00455E6C">
        <w:rPr>
          <w:rFonts w:cs="Arial"/>
        </w:rPr>
        <w:t xml:space="preserve">they currently do, </w:t>
      </w:r>
      <w:r w:rsidR="00350ACD">
        <w:rPr>
          <w:rFonts w:cs="Arial"/>
        </w:rPr>
        <w:t xml:space="preserve">their geographical </w:t>
      </w:r>
      <w:r w:rsidR="00455E6C">
        <w:rPr>
          <w:rFonts w:cs="Arial"/>
        </w:rPr>
        <w:t xml:space="preserve">licence boundaries may need to be </w:t>
      </w:r>
      <w:r w:rsidR="00350ACD">
        <w:rPr>
          <w:rFonts w:cs="Arial"/>
        </w:rPr>
        <w:t xml:space="preserve">reviewed </w:t>
      </w:r>
      <w:r w:rsidR="00455E6C">
        <w:rPr>
          <w:rFonts w:cs="Arial"/>
        </w:rPr>
        <w:t xml:space="preserve">in some </w:t>
      </w:r>
      <w:r w:rsidR="00350ACD">
        <w:rPr>
          <w:rFonts w:cs="Arial"/>
        </w:rPr>
        <w:t>r</w:t>
      </w:r>
      <w:r w:rsidR="00455E6C">
        <w:rPr>
          <w:rFonts w:cs="Arial"/>
        </w:rPr>
        <w:t>egional areas</w:t>
      </w:r>
      <w:r>
        <w:rPr>
          <w:rFonts w:cs="Arial"/>
        </w:rPr>
        <w:t>.</w:t>
      </w:r>
    </w:p>
    <w:p w14:paraId="6B2795A5" w14:textId="43B89019" w:rsidR="00455E6C" w:rsidRPr="00455E6C" w:rsidRDefault="002379A7" w:rsidP="00274368">
      <w:pPr>
        <w:pStyle w:val="ListBullet"/>
        <w:numPr>
          <w:ilvl w:val="0"/>
          <w:numId w:val="18"/>
        </w:numPr>
        <w:tabs>
          <w:tab w:val="num" w:pos="295"/>
        </w:tabs>
        <w:spacing w:line="240" w:lineRule="auto"/>
        <w:ind w:left="295" w:hanging="295"/>
        <w:rPr>
          <w:rFonts w:cs="Arial"/>
        </w:rPr>
      </w:pPr>
      <w:r>
        <w:rPr>
          <w:rFonts w:cs="Arial"/>
        </w:rPr>
        <w:t>T</w:t>
      </w:r>
      <w:r w:rsidR="006D3ECB">
        <w:rPr>
          <w:rFonts w:cs="Arial"/>
        </w:rPr>
        <w:t>he re-allocation of spectrum in the 3425</w:t>
      </w:r>
      <w:r>
        <w:rPr>
          <w:rFonts w:cs="Arial"/>
        </w:rPr>
        <w:t>–</w:t>
      </w:r>
      <w:r w:rsidR="006D3ECB">
        <w:rPr>
          <w:rFonts w:cs="Arial"/>
        </w:rPr>
        <w:t>3442</w:t>
      </w:r>
      <w:r w:rsidR="00747CC0">
        <w:rPr>
          <w:rFonts w:cs="Arial"/>
        </w:rPr>
        <w:t>.5</w:t>
      </w:r>
      <w:r w:rsidR="006D3ECB">
        <w:rPr>
          <w:rFonts w:cs="Arial"/>
        </w:rPr>
        <w:t xml:space="preserve"> MHz and 3475</w:t>
      </w:r>
      <w:r>
        <w:rPr>
          <w:rFonts w:cs="Arial"/>
        </w:rPr>
        <w:t>–</w:t>
      </w:r>
      <w:r w:rsidR="006D3ECB">
        <w:rPr>
          <w:rFonts w:cs="Arial"/>
        </w:rPr>
        <w:t>3492.5 MHz frequency ranges need</w:t>
      </w:r>
      <w:r w:rsidR="00AA4F56">
        <w:rPr>
          <w:rFonts w:cs="Arial"/>
        </w:rPr>
        <w:t>s</w:t>
      </w:r>
      <w:r w:rsidR="006D3ECB">
        <w:rPr>
          <w:rFonts w:cs="Arial"/>
        </w:rPr>
        <w:t xml:space="preserve"> to include the same regional areas </w:t>
      </w:r>
      <w:r w:rsidR="003641CC">
        <w:rPr>
          <w:rFonts w:cs="Arial"/>
        </w:rPr>
        <w:t xml:space="preserve">covered </w:t>
      </w:r>
      <w:r w:rsidR="006D3ECB">
        <w:rPr>
          <w:rFonts w:cs="Arial"/>
        </w:rPr>
        <w:t xml:space="preserve">by </w:t>
      </w:r>
      <w:r w:rsidR="003641CC">
        <w:rPr>
          <w:rFonts w:cs="Arial"/>
        </w:rPr>
        <w:t xml:space="preserve">services operating under </w:t>
      </w:r>
      <w:r w:rsidR="006D3ECB">
        <w:rPr>
          <w:rFonts w:cs="Arial"/>
        </w:rPr>
        <w:t xml:space="preserve">NBN Co’s PTS licences. </w:t>
      </w:r>
    </w:p>
    <w:p w14:paraId="129F4D50" w14:textId="136668B8" w:rsidR="00B73529" w:rsidRPr="00BE3B54" w:rsidRDefault="00AA4F56" w:rsidP="003C5923">
      <w:pPr>
        <w:spacing w:after="80"/>
        <w:rPr>
          <w:rFonts w:cs="Arial"/>
        </w:rPr>
      </w:pPr>
      <w:r w:rsidRPr="00BE3B54">
        <w:rPr>
          <w:rFonts w:cs="Arial"/>
        </w:rPr>
        <w:t>T</w:t>
      </w:r>
      <w:r w:rsidR="00B73529" w:rsidRPr="00BE3B54">
        <w:rPr>
          <w:rFonts w:cs="Arial"/>
        </w:rPr>
        <w:t>wo variants of Option 2 are presented for consideration in this paper</w:t>
      </w:r>
      <w:r w:rsidR="00350ACD" w:rsidRPr="00BE3B54">
        <w:rPr>
          <w:rFonts w:cs="Arial"/>
        </w:rPr>
        <w:t>:</w:t>
      </w:r>
      <w:r w:rsidR="00B73529" w:rsidRPr="00BE3B54">
        <w:rPr>
          <w:rFonts w:cs="Arial"/>
        </w:rPr>
        <w:t xml:space="preserve"> </w:t>
      </w:r>
    </w:p>
    <w:p w14:paraId="03BB89E3" w14:textId="6BA73C04" w:rsidR="00B73529" w:rsidRDefault="00B73529" w:rsidP="00BE3B54">
      <w:pPr>
        <w:pStyle w:val="ListBullet"/>
        <w:numPr>
          <w:ilvl w:val="0"/>
          <w:numId w:val="18"/>
        </w:numPr>
        <w:tabs>
          <w:tab w:val="num" w:pos="295"/>
        </w:tabs>
        <w:spacing w:line="240" w:lineRule="auto"/>
        <w:ind w:left="295" w:hanging="295"/>
        <w:rPr>
          <w:rFonts w:cs="Arial"/>
        </w:rPr>
      </w:pPr>
      <w:r w:rsidRPr="003C5923">
        <w:rPr>
          <w:rFonts w:cs="Arial"/>
        </w:rPr>
        <w:t>Option 2a</w:t>
      </w:r>
      <w:r w:rsidRPr="003C5923">
        <w:t>:</w:t>
      </w:r>
      <w:r>
        <w:rPr>
          <w:rFonts w:cs="Arial"/>
        </w:rPr>
        <w:t xml:space="preserve"> </w:t>
      </w:r>
      <w:r w:rsidR="00B759BC">
        <w:rPr>
          <w:rFonts w:cs="Arial"/>
        </w:rPr>
        <w:t xml:space="preserve">Under this variant, </w:t>
      </w:r>
      <w:r w:rsidR="00D42F6E">
        <w:rPr>
          <w:rFonts w:cs="Arial"/>
        </w:rPr>
        <w:t xml:space="preserve">NBN Co’s PTS licences </w:t>
      </w:r>
      <w:r w:rsidR="00C957DD">
        <w:rPr>
          <w:rFonts w:cs="Arial"/>
        </w:rPr>
        <w:t>are</w:t>
      </w:r>
      <w:r w:rsidR="00AA4F56">
        <w:rPr>
          <w:rFonts w:cs="Arial"/>
        </w:rPr>
        <w:t xml:space="preserve"> </w:t>
      </w:r>
      <w:r w:rsidR="00D42F6E">
        <w:rPr>
          <w:rFonts w:cs="Arial"/>
        </w:rPr>
        <w:t xml:space="preserve">converted to spectrum licences and all </w:t>
      </w:r>
      <w:r w:rsidR="00BE3B54" w:rsidRPr="00BE3B54">
        <w:t>m</w:t>
      </w:r>
      <w:r w:rsidR="00D42F6E" w:rsidRPr="00BE3B54">
        <w:t>ajor</w:t>
      </w:r>
      <w:r w:rsidR="00D42F6E">
        <w:rPr>
          <w:rFonts w:cs="Arial"/>
        </w:rPr>
        <w:t xml:space="preserve"> </w:t>
      </w:r>
      <w:r w:rsidR="00D82563">
        <w:rPr>
          <w:rFonts w:cs="Arial"/>
        </w:rPr>
        <w:t>r</w:t>
      </w:r>
      <w:r w:rsidR="00D42F6E">
        <w:rPr>
          <w:rFonts w:cs="Arial"/>
        </w:rPr>
        <w:t xml:space="preserve">egional </w:t>
      </w:r>
      <w:r w:rsidR="00D82563">
        <w:rPr>
          <w:rFonts w:cs="Arial"/>
        </w:rPr>
        <w:t>c</w:t>
      </w:r>
      <w:r w:rsidR="00D42F6E">
        <w:rPr>
          <w:rFonts w:cs="Arial"/>
        </w:rPr>
        <w:t xml:space="preserve">entres and </w:t>
      </w:r>
      <w:r w:rsidR="00BE3B54" w:rsidRPr="00BE3B54">
        <w:t>r</w:t>
      </w:r>
      <w:r w:rsidR="00D42F6E" w:rsidRPr="00BE3B54">
        <w:t>egional</w:t>
      </w:r>
      <w:r w:rsidR="00D42F6E">
        <w:rPr>
          <w:rFonts w:cs="Arial"/>
        </w:rPr>
        <w:t xml:space="preserve"> areas not </w:t>
      </w:r>
      <w:r w:rsidR="00350ACD">
        <w:rPr>
          <w:rFonts w:cs="Arial"/>
        </w:rPr>
        <w:t xml:space="preserve">already </w:t>
      </w:r>
      <w:r w:rsidR="00D42F6E">
        <w:rPr>
          <w:rFonts w:cs="Arial"/>
        </w:rPr>
        <w:t xml:space="preserve">subject to spectrum licensing </w:t>
      </w:r>
      <w:r w:rsidR="00C87DAB">
        <w:rPr>
          <w:rFonts w:cs="Arial"/>
        </w:rPr>
        <w:t>in the 3400</w:t>
      </w:r>
      <w:r w:rsidR="00077F63">
        <w:rPr>
          <w:rFonts w:cs="Arial"/>
        </w:rPr>
        <w:t>–</w:t>
      </w:r>
      <w:r w:rsidR="00C87DAB">
        <w:rPr>
          <w:rFonts w:cs="Arial"/>
        </w:rPr>
        <w:t xml:space="preserve">3575 MHz band </w:t>
      </w:r>
      <w:r w:rsidR="005211D9">
        <w:rPr>
          <w:rFonts w:cs="Arial"/>
        </w:rPr>
        <w:t>as well as some regional areas in the 3475</w:t>
      </w:r>
      <w:r w:rsidR="00077F63">
        <w:rPr>
          <w:rFonts w:cs="Arial"/>
        </w:rPr>
        <w:t>–</w:t>
      </w:r>
      <w:r w:rsidR="005211D9">
        <w:rPr>
          <w:rFonts w:cs="Arial"/>
        </w:rPr>
        <w:t xml:space="preserve">3492.5 MHz frequency range </w:t>
      </w:r>
      <w:r w:rsidR="00AA4F56">
        <w:rPr>
          <w:rFonts w:cs="Arial"/>
        </w:rPr>
        <w:t>are</w:t>
      </w:r>
      <w:r w:rsidR="00D42F6E">
        <w:rPr>
          <w:rFonts w:cs="Arial"/>
        </w:rPr>
        <w:t xml:space="preserve"> re-allocated.</w:t>
      </w:r>
      <w:r w:rsidR="00977581">
        <w:rPr>
          <w:rFonts w:cs="Arial"/>
        </w:rPr>
        <w:t xml:space="preserve"> The </w:t>
      </w:r>
      <w:r w:rsidR="00BE3B54" w:rsidRPr="00BE3B54">
        <w:t>e</w:t>
      </w:r>
      <w:r w:rsidR="00977581" w:rsidRPr="00BE3B54">
        <w:t>arth</w:t>
      </w:r>
      <w:r w:rsidR="00977581">
        <w:rPr>
          <w:rFonts w:cs="Arial"/>
        </w:rPr>
        <w:t xml:space="preserve"> station protection zones</w:t>
      </w:r>
      <w:r w:rsidR="009D4B2E">
        <w:rPr>
          <w:rFonts w:cs="Arial"/>
        </w:rPr>
        <w:t xml:space="preserve"> </w:t>
      </w:r>
      <w:r w:rsidR="002D7D0D">
        <w:rPr>
          <w:rFonts w:cs="Arial"/>
        </w:rPr>
        <w:t xml:space="preserve">(ESPZs) </w:t>
      </w:r>
      <w:r w:rsidR="00977581">
        <w:rPr>
          <w:rFonts w:cs="Arial"/>
        </w:rPr>
        <w:t xml:space="preserve">defined in </w:t>
      </w:r>
      <w:hyperlink r:id="rId38" w:history="1">
        <w:r w:rsidR="00977581" w:rsidRPr="00977581">
          <w:rPr>
            <w:rStyle w:val="Hyperlink"/>
            <w:rFonts w:cs="Arial"/>
          </w:rPr>
          <w:t>RALI MS44</w:t>
        </w:r>
      </w:hyperlink>
      <w:r w:rsidR="00977581">
        <w:rPr>
          <w:rFonts w:cs="Arial"/>
        </w:rPr>
        <w:t xml:space="preserve"> will be excised from any re-allocation process to support current and future FSS use</w:t>
      </w:r>
      <w:r w:rsidR="00B85287">
        <w:rPr>
          <w:rFonts w:cs="Arial"/>
        </w:rPr>
        <w:t xml:space="preserve"> at those locations</w:t>
      </w:r>
      <w:r w:rsidR="00977581">
        <w:rPr>
          <w:rFonts w:cs="Arial"/>
        </w:rPr>
        <w:t xml:space="preserve">. </w:t>
      </w:r>
      <w:r w:rsidR="006E120D">
        <w:rPr>
          <w:rFonts w:cs="Arial"/>
        </w:rPr>
        <w:t>Apparatus licen</w:t>
      </w:r>
      <w:r w:rsidR="00747CC0">
        <w:rPr>
          <w:rFonts w:cs="Arial"/>
        </w:rPr>
        <w:t>sing</w:t>
      </w:r>
      <w:r w:rsidR="006E120D">
        <w:rPr>
          <w:rFonts w:cs="Arial"/>
        </w:rPr>
        <w:t xml:space="preserve"> arrangements for PMP </w:t>
      </w:r>
      <w:r w:rsidR="00323D00">
        <w:rPr>
          <w:rFonts w:cs="Arial"/>
        </w:rPr>
        <w:t>c</w:t>
      </w:r>
      <w:r w:rsidR="00AA4F56">
        <w:rPr>
          <w:rFonts w:cs="Arial"/>
        </w:rPr>
        <w:t xml:space="preserve">an then </w:t>
      </w:r>
      <w:r w:rsidR="006E120D">
        <w:rPr>
          <w:rFonts w:cs="Arial"/>
        </w:rPr>
        <w:t xml:space="preserve">be </w:t>
      </w:r>
      <w:r w:rsidR="00350ACD">
        <w:rPr>
          <w:rFonts w:cs="Arial"/>
        </w:rPr>
        <w:t>extended across the entire 3400</w:t>
      </w:r>
      <w:r w:rsidR="00077F63">
        <w:rPr>
          <w:rFonts w:cs="Arial"/>
        </w:rPr>
        <w:t>–</w:t>
      </w:r>
      <w:r w:rsidR="00350ACD">
        <w:rPr>
          <w:rFonts w:cs="Arial"/>
        </w:rPr>
        <w:t xml:space="preserve">3575 MHz band </w:t>
      </w:r>
      <w:r w:rsidR="006E120D">
        <w:rPr>
          <w:rFonts w:cs="Arial"/>
        </w:rPr>
        <w:t xml:space="preserve">in </w:t>
      </w:r>
      <w:r w:rsidR="00BE3B54" w:rsidRPr="00BE3B54">
        <w:t>r</w:t>
      </w:r>
      <w:r w:rsidR="006E120D" w:rsidRPr="00BE3B54">
        <w:t>emote</w:t>
      </w:r>
      <w:r w:rsidR="006E120D">
        <w:rPr>
          <w:rFonts w:cs="Arial"/>
        </w:rPr>
        <w:t xml:space="preserve"> areas</w:t>
      </w:r>
      <w:r w:rsidR="00EC2FF4">
        <w:rPr>
          <w:rFonts w:cs="Arial"/>
        </w:rPr>
        <w:t xml:space="preserve"> as well as major regional centres and regional areas not subject to spectrum licensing in the 3475</w:t>
      </w:r>
      <w:r w:rsidR="00077F63">
        <w:rPr>
          <w:rFonts w:cs="Arial"/>
        </w:rPr>
        <w:t>–</w:t>
      </w:r>
      <w:r w:rsidR="00EC2FF4">
        <w:rPr>
          <w:rFonts w:cs="Arial"/>
        </w:rPr>
        <w:t>3542.5 MHz frequency range</w:t>
      </w:r>
      <w:r w:rsidR="006E120D">
        <w:rPr>
          <w:rFonts w:cs="Arial"/>
        </w:rPr>
        <w:t xml:space="preserve">. </w:t>
      </w:r>
      <w:r w:rsidR="00D42F6E">
        <w:rPr>
          <w:rFonts w:cs="Arial"/>
        </w:rPr>
        <w:t xml:space="preserve">The final </w:t>
      </w:r>
      <w:r w:rsidR="00796A78">
        <w:rPr>
          <w:rFonts w:cs="Arial"/>
        </w:rPr>
        <w:t xml:space="preserve">proposed </w:t>
      </w:r>
      <w:r w:rsidR="00D42F6E">
        <w:rPr>
          <w:rFonts w:cs="Arial"/>
        </w:rPr>
        <w:t xml:space="preserve">arrangements are displayed in </w:t>
      </w:r>
      <w:r w:rsidRPr="00BE3B54">
        <w:t xml:space="preserve">Figure </w:t>
      </w:r>
      <w:r w:rsidR="00A72636" w:rsidRPr="00BE3B54">
        <w:t>4</w:t>
      </w:r>
    </w:p>
    <w:p w14:paraId="4CA5870E" w14:textId="34109F18" w:rsidR="00B73529" w:rsidRDefault="00B73529" w:rsidP="00BE3B54">
      <w:pPr>
        <w:pStyle w:val="ListBullet"/>
        <w:numPr>
          <w:ilvl w:val="0"/>
          <w:numId w:val="18"/>
        </w:numPr>
        <w:tabs>
          <w:tab w:val="num" w:pos="295"/>
        </w:tabs>
        <w:spacing w:line="240" w:lineRule="auto"/>
        <w:ind w:left="295" w:hanging="295"/>
        <w:rPr>
          <w:rFonts w:cs="Arial"/>
        </w:rPr>
      </w:pPr>
      <w:r w:rsidRPr="003C5923">
        <w:rPr>
          <w:rFonts w:cs="Arial"/>
        </w:rPr>
        <w:t>Option 2b</w:t>
      </w:r>
      <w:r w:rsidRPr="003C5923">
        <w:t>:</w:t>
      </w:r>
      <w:r>
        <w:rPr>
          <w:rFonts w:cs="Arial"/>
        </w:rPr>
        <w:t xml:space="preserve"> </w:t>
      </w:r>
      <w:r w:rsidR="00D42F6E">
        <w:rPr>
          <w:rFonts w:cs="Arial"/>
        </w:rPr>
        <w:t xml:space="preserve">Under this variant, NBN Co’s PTS licences </w:t>
      </w:r>
      <w:r w:rsidR="00AA4F56">
        <w:rPr>
          <w:rFonts w:cs="Arial"/>
        </w:rPr>
        <w:t>are</w:t>
      </w:r>
      <w:r w:rsidR="00D42F6E">
        <w:rPr>
          <w:rFonts w:cs="Arial"/>
        </w:rPr>
        <w:t xml:space="preserve"> converted to spectrum licences</w:t>
      </w:r>
      <w:r w:rsidR="00D41819">
        <w:rPr>
          <w:rFonts w:cs="Arial"/>
        </w:rPr>
        <w:t xml:space="preserve">. Also, </w:t>
      </w:r>
      <w:r w:rsidR="00BE3B54" w:rsidRPr="00BE3B54">
        <w:t>m</w:t>
      </w:r>
      <w:r w:rsidR="00D42F6E" w:rsidRPr="00BE3B54">
        <w:t>ajor</w:t>
      </w:r>
      <w:r w:rsidR="00D42F6E">
        <w:rPr>
          <w:rFonts w:cs="Arial"/>
        </w:rPr>
        <w:t xml:space="preserve"> </w:t>
      </w:r>
      <w:r w:rsidR="00D82563">
        <w:rPr>
          <w:rFonts w:cs="Arial"/>
        </w:rPr>
        <w:t>r</w:t>
      </w:r>
      <w:r w:rsidR="00D42F6E">
        <w:rPr>
          <w:rFonts w:cs="Arial"/>
        </w:rPr>
        <w:t xml:space="preserve">egional </w:t>
      </w:r>
      <w:r w:rsidR="00D82563">
        <w:rPr>
          <w:rFonts w:cs="Arial"/>
        </w:rPr>
        <w:t>c</w:t>
      </w:r>
      <w:r w:rsidR="00D42F6E">
        <w:rPr>
          <w:rFonts w:cs="Arial"/>
        </w:rPr>
        <w:t xml:space="preserve">entres and </w:t>
      </w:r>
      <w:r w:rsidR="00BE3B54" w:rsidRPr="00BE3B54">
        <w:t>r</w:t>
      </w:r>
      <w:r w:rsidR="00D42F6E" w:rsidRPr="00BE3B54">
        <w:t>egional</w:t>
      </w:r>
      <w:r w:rsidR="00D42F6E">
        <w:rPr>
          <w:rFonts w:cs="Arial"/>
        </w:rPr>
        <w:t xml:space="preserve"> areas </w:t>
      </w:r>
      <w:r w:rsidR="00D41819">
        <w:rPr>
          <w:rFonts w:cs="Arial"/>
        </w:rPr>
        <w:t>in the 3400</w:t>
      </w:r>
      <w:r w:rsidR="006C0733">
        <w:rPr>
          <w:rFonts w:cs="Arial"/>
        </w:rPr>
        <w:t>–</w:t>
      </w:r>
      <w:r w:rsidR="00D41819">
        <w:rPr>
          <w:rFonts w:cs="Arial"/>
        </w:rPr>
        <w:t>3442.</w:t>
      </w:r>
      <w:r w:rsidR="00747CC0">
        <w:rPr>
          <w:rFonts w:cs="Arial"/>
        </w:rPr>
        <w:t>5</w:t>
      </w:r>
      <w:r w:rsidR="00D41819">
        <w:rPr>
          <w:rFonts w:cs="Arial"/>
        </w:rPr>
        <w:t xml:space="preserve"> MHz frequency range </w:t>
      </w:r>
      <w:r w:rsidR="00D42F6E">
        <w:rPr>
          <w:rFonts w:cs="Arial"/>
        </w:rPr>
        <w:t xml:space="preserve">not </w:t>
      </w:r>
      <w:r w:rsidR="00350ACD">
        <w:rPr>
          <w:rFonts w:cs="Arial"/>
        </w:rPr>
        <w:t xml:space="preserve">already </w:t>
      </w:r>
      <w:r w:rsidR="00D42F6E">
        <w:rPr>
          <w:rFonts w:cs="Arial"/>
        </w:rPr>
        <w:t xml:space="preserve">subject to spectrum licensing </w:t>
      </w:r>
      <w:r w:rsidR="00AA4F56">
        <w:rPr>
          <w:rFonts w:cs="Arial"/>
        </w:rPr>
        <w:t>are</w:t>
      </w:r>
      <w:r w:rsidR="002A0C94">
        <w:rPr>
          <w:rFonts w:cs="Arial"/>
        </w:rPr>
        <w:t xml:space="preserve"> </w:t>
      </w:r>
      <w:r w:rsidR="00D42F6E">
        <w:rPr>
          <w:rFonts w:cs="Arial"/>
        </w:rPr>
        <w:t>re-allocated</w:t>
      </w:r>
      <w:r w:rsidR="001E5F1D">
        <w:rPr>
          <w:rFonts w:cs="Arial"/>
        </w:rPr>
        <w:t xml:space="preserve">. </w:t>
      </w:r>
      <w:r w:rsidR="00D41819">
        <w:rPr>
          <w:rFonts w:cs="Arial"/>
        </w:rPr>
        <w:t xml:space="preserve">ESPZs defined in </w:t>
      </w:r>
      <w:hyperlink r:id="rId39" w:history="1">
        <w:r w:rsidR="00BE3B54" w:rsidRPr="00977581">
          <w:rPr>
            <w:rStyle w:val="Hyperlink"/>
            <w:rFonts w:cs="Arial"/>
          </w:rPr>
          <w:t>RALI MS44</w:t>
        </w:r>
      </w:hyperlink>
      <w:r w:rsidR="00D41819">
        <w:rPr>
          <w:rFonts w:cs="Arial"/>
        </w:rPr>
        <w:t xml:space="preserve"> will be excised from any re-allocation process to support current and future FSS use at those locations. </w:t>
      </w:r>
      <w:r w:rsidR="00350ACD">
        <w:rPr>
          <w:rFonts w:cs="Arial"/>
        </w:rPr>
        <w:t>Apparatus licence arrangements for PMP</w:t>
      </w:r>
      <w:r w:rsidR="00A72636">
        <w:rPr>
          <w:rFonts w:cs="Arial"/>
        </w:rPr>
        <w:t xml:space="preserve"> </w:t>
      </w:r>
      <w:r w:rsidR="00350ACD">
        <w:rPr>
          <w:rFonts w:cs="Arial"/>
        </w:rPr>
        <w:t>c</w:t>
      </w:r>
      <w:r w:rsidR="00AA4F56">
        <w:rPr>
          <w:rFonts w:cs="Arial"/>
        </w:rPr>
        <w:t xml:space="preserve">an then </w:t>
      </w:r>
      <w:r w:rsidR="00350ACD">
        <w:rPr>
          <w:rFonts w:cs="Arial"/>
        </w:rPr>
        <w:t>be extended across the entire 3400</w:t>
      </w:r>
      <w:r w:rsidR="00E007EA">
        <w:rPr>
          <w:rFonts w:cs="Arial"/>
        </w:rPr>
        <w:t>–</w:t>
      </w:r>
      <w:r w:rsidR="00350ACD">
        <w:rPr>
          <w:rFonts w:cs="Arial"/>
        </w:rPr>
        <w:t>3575 MHz band in</w:t>
      </w:r>
      <w:r w:rsidR="00BE3B54">
        <w:rPr>
          <w:rFonts w:cs="Arial"/>
        </w:rPr>
        <w:t xml:space="preserve"> </w:t>
      </w:r>
      <w:r w:rsidR="00BE3B54" w:rsidRPr="00BE3B54">
        <w:t>r</w:t>
      </w:r>
      <w:r w:rsidR="00350ACD" w:rsidRPr="00BE3B54">
        <w:t>emote</w:t>
      </w:r>
      <w:r w:rsidR="00350ACD">
        <w:rPr>
          <w:rFonts w:cs="Arial"/>
        </w:rPr>
        <w:t xml:space="preserve"> areas. </w:t>
      </w:r>
      <w:r w:rsidR="006E120D">
        <w:rPr>
          <w:rFonts w:cs="Arial"/>
        </w:rPr>
        <w:t xml:space="preserve">The final proposed arrangements are displayed in </w:t>
      </w:r>
      <w:r w:rsidR="006E120D" w:rsidRPr="00BE3B54">
        <w:t xml:space="preserve">Figure </w:t>
      </w:r>
      <w:r w:rsidR="00A72636" w:rsidRPr="00BE3B54">
        <w:t>4</w:t>
      </w:r>
      <w:r w:rsidR="006E120D">
        <w:rPr>
          <w:rFonts w:cs="Arial"/>
        </w:rPr>
        <w:t>.</w:t>
      </w:r>
    </w:p>
    <w:p w14:paraId="50E6C39B" w14:textId="7CB42CCA" w:rsidR="00A72636" w:rsidRPr="00BE3B54" w:rsidRDefault="00A72636" w:rsidP="00BE3B54">
      <w:pPr>
        <w:spacing w:before="240"/>
        <w:rPr>
          <w:rFonts w:cs="Arial"/>
        </w:rPr>
      </w:pPr>
      <w:r w:rsidRPr="00BE3B54">
        <w:rPr>
          <w:rFonts w:cs="Arial"/>
        </w:rPr>
        <w:t xml:space="preserve">Under both sub-options, </w:t>
      </w:r>
      <w:r w:rsidR="00EF7DDE" w:rsidRPr="00BE3B54">
        <w:rPr>
          <w:rFonts w:cs="Arial"/>
        </w:rPr>
        <w:t xml:space="preserve">to avoid the need to cancel </w:t>
      </w:r>
      <w:r w:rsidR="00BE3B54">
        <w:rPr>
          <w:rFonts w:cs="Arial"/>
        </w:rPr>
        <w:t>a</w:t>
      </w:r>
      <w:r w:rsidR="00EF7DDE" w:rsidRPr="00BE3B54">
        <w:rPr>
          <w:rFonts w:cs="Arial"/>
        </w:rPr>
        <w:t xml:space="preserve">mateur licences, </w:t>
      </w:r>
      <w:r w:rsidRPr="00BE3B54">
        <w:rPr>
          <w:rFonts w:cs="Arial"/>
        </w:rPr>
        <w:t>the ACMA</w:t>
      </w:r>
      <w:r>
        <w:rPr>
          <w:rFonts w:cs="Arial"/>
        </w:rPr>
        <w:t xml:space="preserve"> w</w:t>
      </w:r>
      <w:r w:rsidR="00876906">
        <w:rPr>
          <w:rFonts w:cs="Arial"/>
        </w:rPr>
        <w:t xml:space="preserve">ould need to </w:t>
      </w:r>
      <w:r w:rsidR="00EF7DDE">
        <w:rPr>
          <w:rFonts w:cs="Arial"/>
        </w:rPr>
        <w:t xml:space="preserve">vary the </w:t>
      </w:r>
      <w:hyperlink r:id="rId40" w:history="1">
        <w:r w:rsidR="00EF7DDE" w:rsidRPr="001C2F3E">
          <w:rPr>
            <w:rStyle w:val="Hyperlink"/>
            <w:i/>
          </w:rPr>
          <w:t>Radiocommunications Licence Conditions (Amateur Licence) Determination 2015</w:t>
        </w:r>
      </w:hyperlink>
      <w:r w:rsidR="00EF7DDE">
        <w:rPr>
          <w:rFonts w:cs="Arial"/>
        </w:rPr>
        <w:t xml:space="preserve"> before the end of the re-allocation period. This variation would </w:t>
      </w:r>
      <w:r w:rsidR="00876906">
        <w:rPr>
          <w:rFonts w:cs="Arial"/>
        </w:rPr>
        <w:t>remove arrangements for amateur use in those frequencies and areas that are re-</w:t>
      </w:r>
      <w:r w:rsidR="00876906" w:rsidRPr="00BE3B54">
        <w:rPr>
          <w:rFonts w:cs="Arial"/>
        </w:rPr>
        <w:t>allocated</w:t>
      </w:r>
      <w:r w:rsidR="00EF7DDE" w:rsidRPr="00BE3B54">
        <w:rPr>
          <w:rFonts w:cs="Arial"/>
        </w:rPr>
        <w:t>.</w:t>
      </w:r>
      <w:r w:rsidR="00876906" w:rsidRPr="00BE3B54">
        <w:rPr>
          <w:rFonts w:cs="Arial"/>
        </w:rPr>
        <w:t xml:space="preserve"> </w:t>
      </w:r>
    </w:p>
    <w:p w14:paraId="7D186288" w14:textId="63F1E128" w:rsidR="006B518E" w:rsidRDefault="009D4B2E" w:rsidP="006B518E">
      <w:pPr>
        <w:rPr>
          <w:rFonts w:cs="Arial"/>
        </w:rPr>
      </w:pPr>
      <w:r w:rsidRPr="00BE3B54">
        <w:rPr>
          <w:rFonts w:cs="Arial"/>
        </w:rPr>
        <w:t>Table 2</w:t>
      </w:r>
      <w:r w:rsidR="006B518E" w:rsidRPr="00BE3B54">
        <w:rPr>
          <w:rFonts w:cs="Arial"/>
        </w:rPr>
        <w:t>,</w:t>
      </w:r>
      <w:r w:rsidRPr="00BE3B54">
        <w:rPr>
          <w:rFonts w:cs="Arial"/>
        </w:rPr>
        <w:t xml:space="preserve"> </w:t>
      </w:r>
      <w:r w:rsidR="00D31E44" w:rsidRPr="00BE3B54">
        <w:rPr>
          <w:rFonts w:cs="Arial"/>
        </w:rPr>
        <w:t xml:space="preserve">in the </w:t>
      </w:r>
      <w:r w:rsidR="00E007EA">
        <w:rPr>
          <w:rFonts w:cs="Arial"/>
        </w:rPr>
        <w:t>‘</w:t>
      </w:r>
      <w:r w:rsidR="00D31E44" w:rsidRPr="003C5923">
        <w:rPr>
          <w:rFonts w:cs="Arial"/>
        </w:rPr>
        <w:t>Summary of options</w:t>
      </w:r>
      <w:r w:rsidR="00E007EA">
        <w:rPr>
          <w:rFonts w:cs="Arial"/>
        </w:rPr>
        <w:t>’</w:t>
      </w:r>
      <w:r w:rsidR="00D31E44" w:rsidRPr="00BE3B54">
        <w:rPr>
          <w:rFonts w:cs="Arial"/>
          <w:i/>
        </w:rPr>
        <w:t xml:space="preserve"> </w:t>
      </w:r>
      <w:r w:rsidR="00D31E44" w:rsidRPr="00BE3B54">
        <w:rPr>
          <w:rFonts w:cs="Arial"/>
        </w:rPr>
        <w:t>section, provides</w:t>
      </w:r>
      <w:r w:rsidRPr="00BE3B54">
        <w:rPr>
          <w:rFonts w:cs="Arial"/>
        </w:rPr>
        <w:t xml:space="preserve"> a summary of </w:t>
      </w:r>
      <w:r w:rsidR="00421E87" w:rsidRPr="00BE3B54">
        <w:rPr>
          <w:rFonts w:cs="Arial"/>
        </w:rPr>
        <w:t>licensees</w:t>
      </w:r>
      <w:r w:rsidRPr="00BE3B54">
        <w:rPr>
          <w:rFonts w:cs="Arial"/>
        </w:rPr>
        <w:t xml:space="preserve"> that </w:t>
      </w:r>
      <w:r w:rsidR="00AA4F56" w:rsidRPr="00BE3B54">
        <w:rPr>
          <w:rFonts w:cs="Arial"/>
        </w:rPr>
        <w:t xml:space="preserve">are likely to </w:t>
      </w:r>
      <w:r w:rsidRPr="00BE3B54">
        <w:rPr>
          <w:rFonts w:cs="Arial"/>
        </w:rPr>
        <w:t>be affected under Options 2a and 2b.</w:t>
      </w:r>
      <w:bookmarkEnd w:id="80"/>
      <w:r w:rsidR="0009112D" w:rsidRPr="00BE3B54">
        <w:rPr>
          <w:rFonts w:cs="Arial"/>
        </w:rPr>
        <w:t xml:space="preserve"> </w:t>
      </w:r>
      <w:r w:rsidR="006B518E" w:rsidRPr="00BE3B54">
        <w:rPr>
          <w:rFonts w:cs="Arial"/>
        </w:rPr>
        <w:t xml:space="preserve">Figure </w:t>
      </w:r>
      <w:r w:rsidR="00A72636" w:rsidRPr="00BE3B54">
        <w:rPr>
          <w:rFonts w:cs="Arial"/>
        </w:rPr>
        <w:t>3</w:t>
      </w:r>
      <w:r w:rsidR="006B518E" w:rsidRPr="00BE3B54">
        <w:rPr>
          <w:rFonts w:cs="Arial"/>
        </w:rPr>
        <w:t xml:space="preserve">, in the </w:t>
      </w:r>
      <w:r w:rsidR="00E007EA">
        <w:rPr>
          <w:rFonts w:cs="Arial"/>
        </w:rPr>
        <w:t>‘</w:t>
      </w:r>
      <w:r w:rsidR="006B518E" w:rsidRPr="003C5923">
        <w:rPr>
          <w:rFonts w:cs="Arial"/>
        </w:rPr>
        <w:t>Summary of options</w:t>
      </w:r>
      <w:r w:rsidR="00E007EA">
        <w:rPr>
          <w:rFonts w:cs="Arial"/>
        </w:rPr>
        <w:t>’</w:t>
      </w:r>
      <w:r w:rsidR="006B518E" w:rsidRPr="00BE3B54">
        <w:rPr>
          <w:rFonts w:cs="Arial"/>
          <w:i/>
        </w:rPr>
        <w:t xml:space="preserve"> </w:t>
      </w:r>
      <w:r w:rsidR="006B518E" w:rsidRPr="00BE3B54">
        <w:rPr>
          <w:rFonts w:cs="Arial"/>
        </w:rPr>
        <w:t xml:space="preserve">section, </w:t>
      </w:r>
      <w:r w:rsidR="00BE3B54">
        <w:rPr>
          <w:rFonts w:cs="Arial"/>
        </w:rPr>
        <w:t>illustrates</w:t>
      </w:r>
      <w:r w:rsidR="006B518E" w:rsidRPr="00BE3B54">
        <w:rPr>
          <w:rFonts w:cs="Arial"/>
        </w:rPr>
        <w:t xml:space="preserve"> the steps involved in implementing Options 2a and 2b.</w:t>
      </w:r>
    </w:p>
    <w:p w14:paraId="691C0A93" w14:textId="42DEB3CF" w:rsidR="00CD51FE" w:rsidRPr="00AC2CAC" w:rsidRDefault="00CD51FE" w:rsidP="003C1B83">
      <w:pPr>
        <w:pStyle w:val="ListParagraph"/>
        <w:numPr>
          <w:ilvl w:val="0"/>
          <w:numId w:val="64"/>
        </w:numPr>
        <w:shd w:val="clear" w:color="auto" w:fill="F2F2F2" w:themeFill="background1" w:themeFillShade="F2"/>
        <w:spacing w:before="120" w:after="120" w:line="240" w:lineRule="auto"/>
        <w:contextualSpacing w:val="0"/>
        <w:rPr>
          <w:b/>
        </w:rPr>
      </w:pPr>
      <w:bookmarkStart w:id="82" w:name="_Hlk5797298"/>
      <w:r>
        <w:rPr>
          <w:b/>
        </w:rPr>
        <w:t>If Option 2a or 2b are adopted, do stakeholders have views on how long the re-allocation period should be</w:t>
      </w:r>
      <w:r w:rsidRPr="00AC2CAC">
        <w:rPr>
          <w:b/>
        </w:rPr>
        <w:t>?</w:t>
      </w:r>
    </w:p>
    <w:bookmarkEnd w:id="82"/>
    <w:p w14:paraId="065A0CDA" w14:textId="47ABA863" w:rsidR="00BB509B" w:rsidRDefault="00BB509B">
      <w:pPr>
        <w:spacing w:after="0" w:line="240" w:lineRule="auto"/>
        <w:rPr>
          <w:rFonts w:cs="Arial"/>
        </w:rPr>
      </w:pPr>
      <w:r>
        <w:rPr>
          <w:rFonts w:cs="Arial"/>
        </w:rPr>
        <w:br w:type="page"/>
      </w:r>
    </w:p>
    <w:p w14:paraId="6BB22C99" w14:textId="401BF06C" w:rsidR="00BB509B" w:rsidRDefault="00BB509B" w:rsidP="00BB509B">
      <w:pPr>
        <w:pStyle w:val="ACMAFigureHeader"/>
        <w:spacing w:before="480" w:after="120"/>
      </w:pPr>
      <w:bookmarkStart w:id="83" w:name="_Hlk5109567"/>
      <w:r>
        <w:lastRenderedPageBreak/>
        <w:t>Arrangements in the 3400</w:t>
      </w:r>
      <w:r w:rsidR="00E007EA">
        <w:t>–</w:t>
      </w:r>
      <w:r>
        <w:t>3575 MHz band under Option 2a (to</w:t>
      </w:r>
      <w:bookmarkStart w:id="84" w:name="_GoBack"/>
      <w:bookmarkEnd w:id="84"/>
      <w:r>
        <w:t>p) and Option 2b (bottom)</w:t>
      </w:r>
    </w:p>
    <w:p w14:paraId="2D65CF7C" w14:textId="77777777" w:rsidR="00BB509B" w:rsidRPr="00FD12E6" w:rsidRDefault="00BB509B" w:rsidP="00BB509B">
      <w:pPr>
        <w:pStyle w:val="ACMAFigureHeader"/>
        <w:numPr>
          <w:ilvl w:val="0"/>
          <w:numId w:val="0"/>
        </w:numPr>
        <w:spacing w:before="120" w:after="60"/>
        <w:ind w:left="1021"/>
        <w:rPr>
          <w:rFonts w:cs="Arial"/>
          <w:i/>
          <w:sz w:val="16"/>
          <w:szCs w:val="16"/>
        </w:rPr>
      </w:pPr>
      <w:r w:rsidRPr="00FD12E6">
        <w:rPr>
          <w:i/>
          <w:sz w:val="16"/>
          <w:szCs w:val="16"/>
        </w:rPr>
        <w:t>PMP = point-to-multipoint, SL = spectrum licence</w:t>
      </w:r>
    </w:p>
    <w:p w14:paraId="35D5A316" w14:textId="6D668AF2" w:rsidR="00BB509B" w:rsidRDefault="005B5401" w:rsidP="00BB509B">
      <w:pPr>
        <w:spacing w:before="120" w:after="120"/>
        <w:jc w:val="center"/>
        <w:rPr>
          <w:rFonts w:cs="Arial"/>
        </w:rPr>
      </w:pPr>
      <w:r w:rsidRPr="005B5401">
        <w:rPr>
          <w:noProof/>
        </w:rPr>
        <w:t xml:space="preserve"> </w:t>
      </w:r>
      <w:r w:rsidR="00537793">
        <w:rPr>
          <w:noProof/>
        </w:rPr>
        <w:drawing>
          <wp:inline distT="0" distB="0" distL="0" distR="0" wp14:anchorId="1B03C60A" wp14:editId="10AC6FC2">
            <wp:extent cx="5878195" cy="3477895"/>
            <wp:effectExtent l="0" t="0" r="8255" b="8255"/>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881270" cy="3479714"/>
                    </a:xfrm>
                    <a:prstGeom prst="rect">
                      <a:avLst/>
                    </a:prstGeom>
                  </pic:spPr>
                </pic:pic>
              </a:graphicData>
            </a:graphic>
          </wp:inline>
        </w:drawing>
      </w:r>
      <w:r w:rsidR="009F0019" w:rsidRPr="009F0019">
        <w:rPr>
          <w:noProof/>
        </w:rPr>
        <w:t xml:space="preserve"> </w:t>
      </w:r>
      <w:r w:rsidR="009F0019">
        <w:rPr>
          <w:noProof/>
        </w:rPr>
        <w:drawing>
          <wp:inline distT="0" distB="0" distL="0" distR="0" wp14:anchorId="5DFE7B75" wp14:editId="267282E4">
            <wp:extent cx="5878195" cy="3524924"/>
            <wp:effectExtent l="0" t="0" r="825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888659" cy="3531199"/>
                    </a:xfrm>
                    <a:prstGeom prst="rect">
                      <a:avLst/>
                    </a:prstGeom>
                  </pic:spPr>
                </pic:pic>
              </a:graphicData>
            </a:graphic>
          </wp:inline>
        </w:drawing>
      </w:r>
    </w:p>
    <w:p w14:paraId="5FDE5111" w14:textId="4C11088E" w:rsidR="00BB509B" w:rsidRDefault="00BB509B" w:rsidP="00BB509B">
      <w:pPr>
        <w:spacing w:before="240" w:after="120"/>
        <w:jc w:val="center"/>
        <w:rPr>
          <w:rFonts w:cs="Arial"/>
        </w:rPr>
      </w:pPr>
    </w:p>
    <w:bookmarkEnd w:id="83"/>
    <w:p w14:paraId="6ED8DD5A" w14:textId="77777777" w:rsidR="00BB509B" w:rsidRDefault="00BB509B" w:rsidP="00BB509B">
      <w:pPr>
        <w:spacing w:after="0" w:line="240" w:lineRule="auto"/>
        <w:rPr>
          <w:rFonts w:cs="Arial"/>
          <w:b/>
          <w:bCs/>
          <w:iCs/>
          <w:sz w:val="28"/>
          <w:szCs w:val="28"/>
        </w:rPr>
      </w:pPr>
      <w:r>
        <w:rPr>
          <w:rFonts w:cs="Arial"/>
          <w:b/>
          <w:bCs/>
          <w:szCs w:val="26"/>
        </w:rPr>
        <w:br w:type="page"/>
      </w:r>
    </w:p>
    <w:p w14:paraId="06A266DA" w14:textId="19906ACE" w:rsidR="000330F1" w:rsidRPr="00032ECB" w:rsidRDefault="000330F1" w:rsidP="003C5923">
      <w:pPr>
        <w:pStyle w:val="Heading3"/>
      </w:pPr>
      <w:bookmarkStart w:id="85" w:name="_Toc6923116"/>
      <w:r w:rsidRPr="00032ECB">
        <w:lastRenderedPageBreak/>
        <w:t>Assessment</w:t>
      </w:r>
      <w:r w:rsidR="00032ECB" w:rsidRPr="00032ECB">
        <w:t xml:space="preserve"> of</w:t>
      </w:r>
      <w:r w:rsidRPr="00032ECB">
        <w:t xml:space="preserve"> Option 2a</w:t>
      </w:r>
      <w:r w:rsidR="00BD6A84">
        <w:t xml:space="preserve"> against the planning goals</w:t>
      </w:r>
      <w:bookmarkEnd w:id="85"/>
    </w:p>
    <w:p w14:paraId="1F50749E" w14:textId="02AA846E" w:rsidR="000330F1" w:rsidRDefault="000330F1" w:rsidP="003C5923">
      <w:pPr>
        <w:spacing w:after="80"/>
        <w:rPr>
          <w:rFonts w:cs="Arial"/>
        </w:rPr>
      </w:pPr>
      <w:r>
        <w:rPr>
          <w:rFonts w:cs="Arial"/>
        </w:rPr>
        <w:t>The advantages of Option 2a are:</w:t>
      </w:r>
    </w:p>
    <w:p w14:paraId="6E5FFCB6" w14:textId="768FA378" w:rsidR="00C52137" w:rsidRDefault="005B5114" w:rsidP="00BE3B54">
      <w:pPr>
        <w:pStyle w:val="ListBullet"/>
        <w:numPr>
          <w:ilvl w:val="0"/>
          <w:numId w:val="18"/>
        </w:numPr>
        <w:tabs>
          <w:tab w:val="num" w:pos="295"/>
        </w:tabs>
        <w:spacing w:line="240" w:lineRule="auto"/>
        <w:ind w:left="295" w:hanging="295"/>
        <w:rPr>
          <w:rFonts w:cs="Arial"/>
        </w:rPr>
      </w:pPr>
      <w:bookmarkStart w:id="86" w:name="_Hlk4659846"/>
      <w:r>
        <w:rPr>
          <w:rFonts w:cs="Arial"/>
        </w:rPr>
        <w:t>i</w:t>
      </w:r>
      <w:r w:rsidR="00C52137">
        <w:rPr>
          <w:rFonts w:cs="Arial"/>
        </w:rPr>
        <w:t xml:space="preserve">t </w:t>
      </w:r>
      <w:r w:rsidR="00C52137" w:rsidRPr="003C09B7">
        <w:rPr>
          <w:rFonts w:cs="Arial"/>
        </w:rPr>
        <w:t>remove</w:t>
      </w:r>
      <w:r w:rsidR="00C52137">
        <w:rPr>
          <w:rFonts w:cs="Arial"/>
        </w:rPr>
        <w:t>s</w:t>
      </w:r>
      <w:r w:rsidR="00C52137" w:rsidRPr="003C09B7">
        <w:rPr>
          <w:rFonts w:cs="Arial"/>
        </w:rPr>
        <w:t xml:space="preserve"> the barriers to change identified in the </w:t>
      </w:r>
      <w:r>
        <w:rPr>
          <w:rFonts w:cs="Arial"/>
        </w:rPr>
        <w:t>‘</w:t>
      </w:r>
      <w:r w:rsidR="00C52137" w:rsidRPr="00BE3B54">
        <w:t>Case for Action</w:t>
      </w:r>
      <w:r>
        <w:t>’</w:t>
      </w:r>
      <w:r w:rsidR="00C52137" w:rsidRPr="003C09B7">
        <w:rPr>
          <w:rFonts w:cs="Arial"/>
        </w:rPr>
        <w:t xml:space="preserve"> section </w:t>
      </w:r>
    </w:p>
    <w:p w14:paraId="6C968672" w14:textId="4E5F2756" w:rsidR="000330F1" w:rsidRDefault="005B5114" w:rsidP="00BE3B54">
      <w:pPr>
        <w:pStyle w:val="ListBullet"/>
        <w:numPr>
          <w:ilvl w:val="0"/>
          <w:numId w:val="18"/>
        </w:numPr>
        <w:tabs>
          <w:tab w:val="num" w:pos="295"/>
        </w:tabs>
        <w:spacing w:line="240" w:lineRule="auto"/>
        <w:ind w:left="295" w:hanging="295"/>
        <w:rPr>
          <w:rFonts w:cs="Arial"/>
        </w:rPr>
      </w:pPr>
      <w:r>
        <w:rPr>
          <w:rFonts w:cs="Arial"/>
        </w:rPr>
        <w:t>i</w:t>
      </w:r>
      <w:r w:rsidR="000330F1">
        <w:rPr>
          <w:rFonts w:cs="Arial"/>
        </w:rPr>
        <w:t xml:space="preserve">ncumbent apparatus licensees in </w:t>
      </w:r>
      <w:r w:rsidR="00BE3B54">
        <w:t>r</w:t>
      </w:r>
      <w:r w:rsidR="000330F1" w:rsidRPr="00BE3B54">
        <w:t>emote</w:t>
      </w:r>
      <w:r w:rsidR="000330F1">
        <w:rPr>
          <w:rFonts w:cs="Arial"/>
        </w:rPr>
        <w:t xml:space="preserve"> areas could continue operating in the band</w:t>
      </w:r>
    </w:p>
    <w:p w14:paraId="5BB41A15" w14:textId="26404794" w:rsidR="000330F1" w:rsidRDefault="005B5114" w:rsidP="00BE3B54">
      <w:pPr>
        <w:pStyle w:val="ListBullet"/>
        <w:numPr>
          <w:ilvl w:val="0"/>
          <w:numId w:val="18"/>
        </w:numPr>
        <w:tabs>
          <w:tab w:val="num" w:pos="295"/>
        </w:tabs>
        <w:spacing w:line="240" w:lineRule="auto"/>
        <w:ind w:left="295" w:hanging="295"/>
        <w:rPr>
          <w:rFonts w:cs="Arial"/>
        </w:rPr>
      </w:pPr>
      <w:r>
        <w:rPr>
          <w:rFonts w:cs="Arial"/>
        </w:rPr>
        <w:t>m</w:t>
      </w:r>
      <w:r w:rsidR="00350ACD">
        <w:rPr>
          <w:rFonts w:cs="Arial"/>
        </w:rPr>
        <w:t>ore spectrum would be available for</w:t>
      </w:r>
      <w:r w:rsidR="000330F1">
        <w:rPr>
          <w:rFonts w:cs="Arial"/>
        </w:rPr>
        <w:t xml:space="preserve"> </w:t>
      </w:r>
      <w:r w:rsidR="00350ACD">
        <w:rPr>
          <w:rFonts w:cs="Arial"/>
        </w:rPr>
        <w:t xml:space="preserve">new </w:t>
      </w:r>
      <w:r w:rsidR="000330F1">
        <w:rPr>
          <w:rFonts w:cs="Arial"/>
        </w:rPr>
        <w:t xml:space="preserve">PMP, FSS and </w:t>
      </w:r>
      <w:r w:rsidR="00BE3B54">
        <w:t>a</w:t>
      </w:r>
      <w:r w:rsidR="000330F1" w:rsidRPr="00BE3B54">
        <w:t>mateur</w:t>
      </w:r>
      <w:r w:rsidR="000330F1">
        <w:rPr>
          <w:rFonts w:cs="Arial"/>
        </w:rPr>
        <w:t xml:space="preserve"> services </w:t>
      </w:r>
      <w:r w:rsidR="00350ACD">
        <w:rPr>
          <w:rFonts w:cs="Arial"/>
        </w:rPr>
        <w:t xml:space="preserve">in </w:t>
      </w:r>
      <w:r w:rsidR="00BE3B54">
        <w:t>r</w:t>
      </w:r>
      <w:r w:rsidR="00350ACD" w:rsidRPr="00BE3B54">
        <w:t>emote</w:t>
      </w:r>
      <w:r w:rsidR="00350ACD">
        <w:rPr>
          <w:rFonts w:cs="Arial"/>
        </w:rPr>
        <w:t xml:space="preserve"> areas</w:t>
      </w:r>
      <w:r w:rsidR="00323D00">
        <w:rPr>
          <w:rFonts w:cs="Arial"/>
        </w:rPr>
        <w:t xml:space="preserve"> </w:t>
      </w:r>
    </w:p>
    <w:p w14:paraId="02CA968B" w14:textId="0910633B" w:rsidR="009D4B2E" w:rsidRDefault="00FE5562" w:rsidP="00BE3B54">
      <w:pPr>
        <w:pStyle w:val="ListBullet"/>
        <w:numPr>
          <w:ilvl w:val="0"/>
          <w:numId w:val="18"/>
        </w:numPr>
        <w:tabs>
          <w:tab w:val="num" w:pos="295"/>
        </w:tabs>
        <w:spacing w:line="240" w:lineRule="auto"/>
        <w:ind w:left="295" w:hanging="295"/>
        <w:rPr>
          <w:rFonts w:cs="Arial"/>
        </w:rPr>
      </w:pPr>
      <w:r>
        <w:t>c</w:t>
      </w:r>
      <w:r w:rsidR="00F104B4">
        <w:t>ontinued support for FSS operation in the band will be provided at defined</w:t>
      </w:r>
      <w:r w:rsidR="00977581">
        <w:t xml:space="preserve"> </w:t>
      </w:r>
      <w:r w:rsidR="00BE3B54">
        <w:t>ESPZs</w:t>
      </w:r>
      <w:r w:rsidR="00977581" w:rsidRPr="00475453">
        <w:t xml:space="preserve"> in regional Australi</w:t>
      </w:r>
      <w:r w:rsidR="00C936E6">
        <w:rPr>
          <w:rFonts w:cs="Arial"/>
        </w:rPr>
        <w:t>a</w:t>
      </w:r>
      <w:r w:rsidR="009D4B2E">
        <w:rPr>
          <w:rFonts w:cs="Arial"/>
        </w:rPr>
        <w:t xml:space="preserve"> </w:t>
      </w:r>
    </w:p>
    <w:p w14:paraId="76DE94CD" w14:textId="3887B869" w:rsidR="00C60E71" w:rsidRPr="00E454E3" w:rsidRDefault="00C936E6" w:rsidP="00BE3B54">
      <w:pPr>
        <w:pStyle w:val="ListBullet"/>
        <w:numPr>
          <w:ilvl w:val="0"/>
          <w:numId w:val="18"/>
        </w:numPr>
        <w:tabs>
          <w:tab w:val="num" w:pos="295"/>
        </w:tabs>
        <w:spacing w:line="240" w:lineRule="auto"/>
        <w:ind w:left="295" w:hanging="295"/>
        <w:rPr>
          <w:rFonts w:cs="Arial"/>
        </w:rPr>
      </w:pPr>
      <w:r>
        <w:rPr>
          <w:rFonts w:cs="Arial"/>
        </w:rPr>
        <w:t>o</w:t>
      </w:r>
      <w:r w:rsidR="00C60E71" w:rsidRPr="00E454E3">
        <w:rPr>
          <w:rFonts w:cs="Arial"/>
        </w:rPr>
        <w:t xml:space="preserve">nce NBN Co’s PTS licences </w:t>
      </w:r>
      <w:r w:rsidR="00F8100C">
        <w:rPr>
          <w:rFonts w:cs="Arial"/>
        </w:rPr>
        <w:t>are</w:t>
      </w:r>
      <w:r w:rsidR="00C60E71" w:rsidRPr="00E454E3">
        <w:rPr>
          <w:rFonts w:cs="Arial"/>
        </w:rPr>
        <w:t xml:space="preserve"> converted and an auction </w:t>
      </w:r>
      <w:r w:rsidR="00C60E71">
        <w:rPr>
          <w:rFonts w:cs="Arial"/>
        </w:rPr>
        <w:t xml:space="preserve">for </w:t>
      </w:r>
      <w:r w:rsidR="00C60E71" w:rsidRPr="00E454E3">
        <w:rPr>
          <w:rFonts w:cs="Arial"/>
        </w:rPr>
        <w:t>the re-allocated spectrum</w:t>
      </w:r>
      <w:r w:rsidR="00C60E71">
        <w:rPr>
          <w:rFonts w:cs="Arial"/>
        </w:rPr>
        <w:t xml:space="preserve"> complete</w:t>
      </w:r>
      <w:r w:rsidR="00C80513">
        <w:rPr>
          <w:rFonts w:cs="Arial"/>
        </w:rPr>
        <w:t>d</w:t>
      </w:r>
      <w:r w:rsidR="00C60E71" w:rsidRPr="00E454E3">
        <w:rPr>
          <w:rFonts w:cs="Arial"/>
        </w:rPr>
        <w:t>, licensees c</w:t>
      </w:r>
      <w:r w:rsidR="00C80513">
        <w:rPr>
          <w:rFonts w:cs="Arial"/>
        </w:rPr>
        <w:t>an</w:t>
      </w:r>
      <w:r w:rsidR="00C60E71" w:rsidRPr="00E454E3">
        <w:rPr>
          <w:rFonts w:cs="Arial"/>
        </w:rPr>
        <w:t xml:space="preserve"> use market mechanisms such as </w:t>
      </w:r>
      <w:r w:rsidR="00BE3B54">
        <w:t>third</w:t>
      </w:r>
      <w:r w:rsidR="00BE3B54" w:rsidRPr="00BE3B54">
        <w:t>-</w:t>
      </w:r>
      <w:r w:rsidR="00BE3B54" w:rsidRPr="00E454E3">
        <w:rPr>
          <w:rFonts w:cs="Arial"/>
        </w:rPr>
        <w:t>party</w:t>
      </w:r>
      <w:r w:rsidR="00C60E71" w:rsidRPr="00E454E3">
        <w:rPr>
          <w:rFonts w:cs="Arial"/>
        </w:rPr>
        <w:t xml:space="preserve"> authorisations and/or trading to implement a defrag within the spectrum licenced space</w:t>
      </w:r>
    </w:p>
    <w:p w14:paraId="4702F087" w14:textId="49BA770D" w:rsidR="000330F1" w:rsidRPr="000330F1" w:rsidRDefault="00C936E6" w:rsidP="00BE3B54">
      <w:pPr>
        <w:pStyle w:val="ListBullet"/>
        <w:numPr>
          <w:ilvl w:val="0"/>
          <w:numId w:val="18"/>
        </w:numPr>
        <w:tabs>
          <w:tab w:val="num" w:pos="295"/>
        </w:tabs>
        <w:spacing w:line="240" w:lineRule="auto"/>
        <w:ind w:left="295" w:hanging="295"/>
        <w:rPr>
          <w:rFonts w:cs="Arial"/>
        </w:rPr>
      </w:pPr>
      <w:r>
        <w:rPr>
          <w:rFonts w:cs="Arial"/>
        </w:rPr>
        <w:t>p</w:t>
      </w:r>
      <w:r w:rsidR="003C114E">
        <w:rPr>
          <w:rFonts w:cs="Arial"/>
        </w:rPr>
        <w:t xml:space="preserve">rovided </w:t>
      </w:r>
      <w:r w:rsidR="007D57AB">
        <w:rPr>
          <w:rFonts w:cs="Arial"/>
        </w:rPr>
        <w:t xml:space="preserve">agreement </w:t>
      </w:r>
      <w:r w:rsidR="00C80513">
        <w:rPr>
          <w:rFonts w:cs="Arial"/>
        </w:rPr>
        <w:t>is</w:t>
      </w:r>
      <w:r w:rsidR="007D57AB">
        <w:rPr>
          <w:rFonts w:cs="Arial"/>
        </w:rPr>
        <w:t xml:space="preserve"> reached between relevant spectrum licensees, a complete defrag </w:t>
      </w:r>
      <w:r w:rsidR="00DC7EC5">
        <w:rPr>
          <w:rFonts w:cs="Arial"/>
        </w:rPr>
        <w:t xml:space="preserve">(in both frequency and area) </w:t>
      </w:r>
      <w:r w:rsidR="007D57AB">
        <w:rPr>
          <w:rFonts w:cs="Arial"/>
        </w:rPr>
        <w:t>c</w:t>
      </w:r>
      <w:r w:rsidR="00C80513">
        <w:rPr>
          <w:rFonts w:cs="Arial"/>
        </w:rPr>
        <w:t>an</w:t>
      </w:r>
      <w:r w:rsidR="007D57AB">
        <w:rPr>
          <w:rFonts w:cs="Arial"/>
        </w:rPr>
        <w:t xml:space="preserve"> be implemented. </w:t>
      </w:r>
      <w:r w:rsidR="000330F1">
        <w:rPr>
          <w:rFonts w:cs="Arial"/>
        </w:rPr>
        <w:t xml:space="preserve"> </w:t>
      </w:r>
    </w:p>
    <w:bookmarkEnd w:id="86"/>
    <w:p w14:paraId="56D2481A" w14:textId="5B6604F5" w:rsidR="000330F1" w:rsidRDefault="000330F1" w:rsidP="003C5923">
      <w:pPr>
        <w:spacing w:after="80"/>
        <w:rPr>
          <w:rFonts w:cs="Arial"/>
        </w:rPr>
      </w:pPr>
      <w:r>
        <w:rPr>
          <w:rFonts w:cs="Arial"/>
        </w:rPr>
        <w:t>The disadvantage</w:t>
      </w:r>
      <w:r w:rsidR="003C114E">
        <w:rPr>
          <w:rFonts w:cs="Arial"/>
        </w:rPr>
        <w:t>s</w:t>
      </w:r>
      <w:r>
        <w:rPr>
          <w:rFonts w:cs="Arial"/>
        </w:rPr>
        <w:t xml:space="preserve"> of Option 2a</w:t>
      </w:r>
      <w:r w:rsidR="00323D00">
        <w:rPr>
          <w:rFonts w:cs="Arial"/>
        </w:rPr>
        <w:t xml:space="preserve"> </w:t>
      </w:r>
      <w:r w:rsidR="003C114E">
        <w:rPr>
          <w:rFonts w:cs="Arial"/>
        </w:rPr>
        <w:t>are</w:t>
      </w:r>
      <w:r>
        <w:rPr>
          <w:rFonts w:cs="Arial"/>
        </w:rPr>
        <w:t>:</w:t>
      </w:r>
    </w:p>
    <w:p w14:paraId="041D31EB" w14:textId="1FEBF0BA" w:rsidR="00C52137" w:rsidRDefault="00C936E6" w:rsidP="00BE3B54">
      <w:pPr>
        <w:pStyle w:val="ListBullet"/>
        <w:numPr>
          <w:ilvl w:val="0"/>
          <w:numId w:val="18"/>
        </w:numPr>
        <w:tabs>
          <w:tab w:val="num" w:pos="295"/>
        </w:tabs>
        <w:spacing w:line="240" w:lineRule="auto"/>
        <w:ind w:left="295" w:hanging="295"/>
        <w:rPr>
          <w:rFonts w:cs="Arial"/>
        </w:rPr>
      </w:pPr>
      <w:bookmarkStart w:id="87" w:name="_Hlk4659854"/>
      <w:r>
        <w:rPr>
          <w:rFonts w:cs="Arial"/>
        </w:rPr>
        <w:t>t</w:t>
      </w:r>
      <w:r w:rsidR="00C52137">
        <w:rPr>
          <w:rFonts w:cs="Arial"/>
        </w:rPr>
        <w:t>he greatest number of apparatus licensees</w:t>
      </w:r>
      <w:r w:rsidR="00D41819">
        <w:rPr>
          <w:rFonts w:cs="Arial"/>
        </w:rPr>
        <w:t xml:space="preserve"> </w:t>
      </w:r>
      <w:r w:rsidR="00C52137">
        <w:rPr>
          <w:rFonts w:cs="Arial"/>
        </w:rPr>
        <w:t>are affected</w:t>
      </w:r>
      <w:r>
        <w:rPr>
          <w:rFonts w:cs="Arial"/>
        </w:rPr>
        <w:t>—t</w:t>
      </w:r>
      <w:r w:rsidR="00D41819">
        <w:rPr>
          <w:rFonts w:cs="Arial"/>
        </w:rPr>
        <w:t>his includes 44 PMP licences and any amateur licensee using the band in re-allocated areas</w:t>
      </w:r>
    </w:p>
    <w:p w14:paraId="6BFB7151" w14:textId="397ED1BC" w:rsidR="00547472" w:rsidRDefault="00C936E6" w:rsidP="00BE3B54">
      <w:pPr>
        <w:pStyle w:val="ListBullet"/>
        <w:numPr>
          <w:ilvl w:val="0"/>
          <w:numId w:val="18"/>
        </w:numPr>
        <w:tabs>
          <w:tab w:val="num" w:pos="295"/>
        </w:tabs>
        <w:spacing w:line="240" w:lineRule="auto"/>
        <w:ind w:left="295" w:hanging="295"/>
        <w:rPr>
          <w:rFonts w:cs="Arial"/>
        </w:rPr>
      </w:pPr>
      <w:r>
        <w:rPr>
          <w:rFonts w:cs="Arial"/>
        </w:rPr>
        <w:t>i</w:t>
      </w:r>
      <w:r w:rsidR="000330F1">
        <w:rPr>
          <w:rFonts w:cs="Arial"/>
        </w:rPr>
        <w:t xml:space="preserve">ncumbent apparatus licensees in </w:t>
      </w:r>
      <w:r w:rsidR="00BE3B54">
        <w:t>r</w:t>
      </w:r>
      <w:r w:rsidR="000330F1" w:rsidRPr="00BE3B54">
        <w:t xml:space="preserve">egional </w:t>
      </w:r>
      <w:r w:rsidR="000330F1">
        <w:rPr>
          <w:rFonts w:cs="Arial"/>
        </w:rPr>
        <w:t>areas</w:t>
      </w:r>
      <w:r w:rsidR="00C52137">
        <w:rPr>
          <w:rFonts w:cs="Arial"/>
        </w:rPr>
        <w:t xml:space="preserve"> and </w:t>
      </w:r>
      <w:r w:rsidR="00BE3B54">
        <w:t>m</w:t>
      </w:r>
      <w:r w:rsidR="00C52137" w:rsidRPr="00BE3B54">
        <w:t>ajor</w:t>
      </w:r>
      <w:r w:rsidR="00C52137">
        <w:rPr>
          <w:rFonts w:cs="Arial"/>
        </w:rPr>
        <w:t xml:space="preserve"> regional centres</w:t>
      </w:r>
      <w:r w:rsidR="000330F1">
        <w:rPr>
          <w:rFonts w:cs="Arial"/>
        </w:rPr>
        <w:t xml:space="preserve"> </w:t>
      </w:r>
      <w:r w:rsidR="00323D00">
        <w:rPr>
          <w:rFonts w:cs="Arial"/>
        </w:rPr>
        <w:t>would be required to</w:t>
      </w:r>
      <w:r w:rsidR="00547472">
        <w:rPr>
          <w:rFonts w:cs="Arial"/>
        </w:rPr>
        <w:t>:</w:t>
      </w:r>
    </w:p>
    <w:p w14:paraId="57DBA007" w14:textId="5140DBAF" w:rsidR="00547472" w:rsidRPr="006E6DC7" w:rsidRDefault="00547472" w:rsidP="004978EB">
      <w:pPr>
        <w:pStyle w:val="ListBullet2"/>
        <w:numPr>
          <w:ilvl w:val="1"/>
          <w:numId w:val="22"/>
        </w:numPr>
        <w:tabs>
          <w:tab w:val="num" w:pos="845"/>
        </w:tabs>
        <w:ind w:left="845" w:hanging="544"/>
        <w:rPr>
          <w:rFonts w:cs="Arial"/>
        </w:rPr>
      </w:pPr>
      <w:r w:rsidRPr="006E6DC7">
        <w:rPr>
          <w:rFonts w:cs="Arial"/>
        </w:rPr>
        <w:t>re-locate to another frequency band</w:t>
      </w:r>
      <w:r>
        <w:rPr>
          <w:rFonts w:cs="Arial"/>
        </w:rPr>
        <w:t>,</w:t>
      </w:r>
      <w:r w:rsidRPr="006E6DC7">
        <w:rPr>
          <w:rFonts w:cs="Arial"/>
        </w:rPr>
        <w:t xml:space="preserve"> in areas </w:t>
      </w:r>
      <w:r w:rsidR="00747CC0">
        <w:rPr>
          <w:rFonts w:cs="Arial"/>
        </w:rPr>
        <w:t xml:space="preserve">where </w:t>
      </w:r>
      <w:r>
        <w:rPr>
          <w:rFonts w:cs="Arial"/>
        </w:rPr>
        <w:t>suitable alternative spectrum options exist</w:t>
      </w:r>
      <w:r w:rsidR="002F7762">
        <w:rPr>
          <w:rFonts w:cs="Arial"/>
        </w:rPr>
        <w:t xml:space="preserve"> (which may </w:t>
      </w:r>
      <w:r w:rsidR="002F7762" w:rsidRPr="00BE3B54">
        <w:t>be</w:t>
      </w:r>
      <w:r w:rsidR="00BE3B54">
        <w:t xml:space="preserve"> limited</w:t>
      </w:r>
      <w:r w:rsidR="002F7762">
        <w:rPr>
          <w:rFonts w:cs="Arial"/>
        </w:rPr>
        <w:t>)</w:t>
      </w:r>
    </w:p>
    <w:p w14:paraId="5C24FE36" w14:textId="6371DA5C" w:rsidR="00323D00" w:rsidRDefault="00323D00" w:rsidP="004978EB">
      <w:pPr>
        <w:pStyle w:val="ListBullet2"/>
        <w:numPr>
          <w:ilvl w:val="1"/>
          <w:numId w:val="22"/>
        </w:numPr>
        <w:tabs>
          <w:tab w:val="num" w:pos="845"/>
        </w:tabs>
        <w:ind w:left="845" w:hanging="544"/>
        <w:rPr>
          <w:rFonts w:cs="Arial"/>
        </w:rPr>
      </w:pPr>
      <w:r>
        <w:rPr>
          <w:rFonts w:cs="Arial"/>
        </w:rPr>
        <w:t>cease operating in the band at the end of the defined re-allocation period unless ongoing access could be negotiated.</w:t>
      </w:r>
    </w:p>
    <w:p w14:paraId="79B88DC5" w14:textId="5759D293" w:rsidR="001C1D05" w:rsidRPr="007B2ED3" w:rsidRDefault="00C936E6" w:rsidP="003C5923">
      <w:pPr>
        <w:pStyle w:val="ListBullet"/>
        <w:numPr>
          <w:ilvl w:val="0"/>
          <w:numId w:val="18"/>
        </w:numPr>
        <w:tabs>
          <w:tab w:val="num" w:pos="295"/>
        </w:tabs>
        <w:spacing w:after="240" w:line="240" w:lineRule="auto"/>
        <w:ind w:left="295" w:hanging="295"/>
        <w:rPr>
          <w:rFonts w:cs="Arial"/>
        </w:rPr>
      </w:pPr>
      <w:r>
        <w:t>a</w:t>
      </w:r>
      <w:r w:rsidR="001C1D05" w:rsidRPr="008E66EC">
        <w:t xml:space="preserve">greement from </w:t>
      </w:r>
      <w:r w:rsidR="001C1D05">
        <w:t xml:space="preserve">all affected spectrum </w:t>
      </w:r>
      <w:r w:rsidR="001C1D05" w:rsidRPr="008E66EC">
        <w:t xml:space="preserve">licensees </w:t>
      </w:r>
      <w:r w:rsidR="001C1D05">
        <w:t>is required for a defrag to occur (unless it occurs as part of licence re-issue in 2030)</w:t>
      </w:r>
      <w:r w:rsidR="001C1D05" w:rsidRPr="008E66EC">
        <w:t xml:space="preserve">. </w:t>
      </w:r>
      <w:r w:rsidR="001C1D05">
        <w:t xml:space="preserve">The auction of the re-allocated spectrum could result in new licensees in the </w:t>
      </w:r>
      <w:r w:rsidR="005619B4">
        <w:t>3400</w:t>
      </w:r>
      <w:r>
        <w:t>–</w:t>
      </w:r>
      <w:r w:rsidR="005619B4">
        <w:t>3575 MHz</w:t>
      </w:r>
      <w:r w:rsidR="001C1D05">
        <w:t xml:space="preserve"> band, further complicating defrag negotiations. One or more of these licensees could determine if or to what degree defrag could occur in the band.</w:t>
      </w:r>
    </w:p>
    <w:p w14:paraId="401C0367" w14:textId="77777777" w:rsidR="0009112D" w:rsidRPr="00D53B0E" w:rsidRDefault="0009112D" w:rsidP="003C5923">
      <w:pPr>
        <w:pStyle w:val="Heading3"/>
      </w:pPr>
      <w:bookmarkStart w:id="88" w:name="_Toc6923117"/>
      <w:r w:rsidRPr="00D53B0E">
        <w:t>Assessment</w:t>
      </w:r>
      <w:r>
        <w:t xml:space="preserve"> of</w:t>
      </w:r>
      <w:r w:rsidRPr="00D53B0E">
        <w:t xml:space="preserve"> Option 2b</w:t>
      </w:r>
      <w:r w:rsidR="00BD6A84">
        <w:t xml:space="preserve"> against the planning goals</w:t>
      </w:r>
      <w:bookmarkEnd w:id="88"/>
    </w:p>
    <w:p w14:paraId="0DBB5911" w14:textId="77777777" w:rsidR="0009112D" w:rsidRDefault="0009112D" w:rsidP="003C5923">
      <w:pPr>
        <w:spacing w:after="80"/>
        <w:rPr>
          <w:rFonts w:cs="Arial"/>
        </w:rPr>
      </w:pPr>
      <w:r>
        <w:rPr>
          <w:rFonts w:cs="Arial"/>
        </w:rPr>
        <w:t>The advantages of Option 2b are:</w:t>
      </w:r>
    </w:p>
    <w:p w14:paraId="6754A210" w14:textId="3B6690C7" w:rsidR="0009112D" w:rsidRDefault="00C936E6" w:rsidP="004978EB">
      <w:pPr>
        <w:pStyle w:val="ListBullet"/>
        <w:numPr>
          <w:ilvl w:val="0"/>
          <w:numId w:val="18"/>
        </w:numPr>
        <w:tabs>
          <w:tab w:val="num" w:pos="295"/>
        </w:tabs>
        <w:spacing w:line="240" w:lineRule="auto"/>
        <w:ind w:left="295" w:hanging="295"/>
        <w:rPr>
          <w:rFonts w:cs="Arial"/>
        </w:rPr>
      </w:pPr>
      <w:r>
        <w:rPr>
          <w:rFonts w:cs="Arial"/>
        </w:rPr>
        <w:t>i</w:t>
      </w:r>
      <w:r w:rsidR="0009112D">
        <w:rPr>
          <w:rFonts w:cs="Arial"/>
        </w:rPr>
        <w:t xml:space="preserve">t </w:t>
      </w:r>
      <w:r w:rsidR="0009112D" w:rsidRPr="003C09B7">
        <w:rPr>
          <w:rFonts w:cs="Arial"/>
        </w:rPr>
        <w:t>remove</w:t>
      </w:r>
      <w:r w:rsidR="0009112D">
        <w:rPr>
          <w:rFonts w:cs="Arial"/>
        </w:rPr>
        <w:t>s</w:t>
      </w:r>
      <w:r w:rsidR="0009112D" w:rsidRPr="003C09B7">
        <w:rPr>
          <w:rFonts w:cs="Arial"/>
        </w:rPr>
        <w:t xml:space="preserve"> the barriers to change identified in the </w:t>
      </w:r>
      <w:r>
        <w:rPr>
          <w:rFonts w:cs="Arial"/>
        </w:rPr>
        <w:t>‘</w:t>
      </w:r>
      <w:r w:rsidR="0009112D" w:rsidRPr="004978EB">
        <w:rPr>
          <w:rFonts w:cs="Arial"/>
        </w:rPr>
        <w:t>Case for Action</w:t>
      </w:r>
      <w:r>
        <w:rPr>
          <w:rFonts w:cs="Arial"/>
        </w:rPr>
        <w:t>’</w:t>
      </w:r>
      <w:r w:rsidR="0009112D" w:rsidRPr="003C09B7">
        <w:rPr>
          <w:rFonts w:cs="Arial"/>
        </w:rPr>
        <w:t xml:space="preserve"> section </w:t>
      </w:r>
    </w:p>
    <w:p w14:paraId="34DA2531" w14:textId="19874652" w:rsidR="0009112D" w:rsidRPr="003C114E" w:rsidRDefault="00C936E6" w:rsidP="004978EB">
      <w:pPr>
        <w:pStyle w:val="ListBullet"/>
        <w:numPr>
          <w:ilvl w:val="0"/>
          <w:numId w:val="18"/>
        </w:numPr>
        <w:tabs>
          <w:tab w:val="num" w:pos="295"/>
        </w:tabs>
        <w:spacing w:line="240" w:lineRule="auto"/>
        <w:ind w:left="295" w:hanging="295"/>
        <w:rPr>
          <w:rFonts w:cs="Arial"/>
        </w:rPr>
      </w:pPr>
      <w:r>
        <w:rPr>
          <w:rFonts w:cs="Arial"/>
        </w:rPr>
        <w:t>i</w:t>
      </w:r>
      <w:r w:rsidR="0009112D" w:rsidRPr="003C114E">
        <w:rPr>
          <w:rFonts w:cs="Arial"/>
        </w:rPr>
        <w:t xml:space="preserve">ncumbent apparatus licensees in </w:t>
      </w:r>
      <w:r w:rsidR="00BE3B54">
        <w:rPr>
          <w:rFonts w:cs="Arial"/>
        </w:rPr>
        <w:t>r</w:t>
      </w:r>
      <w:r w:rsidR="0009112D" w:rsidRPr="003C114E">
        <w:rPr>
          <w:rFonts w:cs="Arial"/>
        </w:rPr>
        <w:t>emote areas could continue operating in the band</w:t>
      </w:r>
    </w:p>
    <w:p w14:paraId="4869CAC7" w14:textId="7B7D832F" w:rsidR="00D01695" w:rsidRPr="00B46E84" w:rsidRDefault="00C936E6" w:rsidP="00B46E84">
      <w:pPr>
        <w:pStyle w:val="ListBullet"/>
        <w:numPr>
          <w:ilvl w:val="0"/>
          <w:numId w:val="18"/>
        </w:numPr>
        <w:tabs>
          <w:tab w:val="num" w:pos="295"/>
          <w:tab w:val="num" w:pos="845"/>
        </w:tabs>
        <w:spacing w:line="240" w:lineRule="auto"/>
        <w:ind w:left="295" w:hanging="295"/>
        <w:rPr>
          <w:rFonts w:cs="Arial"/>
        </w:rPr>
      </w:pPr>
      <w:r w:rsidRPr="00B46E84">
        <w:rPr>
          <w:rFonts w:cs="Arial"/>
        </w:rPr>
        <w:t>i</w:t>
      </w:r>
      <w:r w:rsidR="0009112D" w:rsidRPr="00B46E84">
        <w:rPr>
          <w:rFonts w:cs="Arial"/>
        </w:rPr>
        <w:t xml:space="preserve">ncumbent TDD PMP and </w:t>
      </w:r>
      <w:r w:rsidR="00BE3B54" w:rsidRPr="00B46E84">
        <w:rPr>
          <w:rFonts w:cs="Arial"/>
        </w:rPr>
        <w:t>a</w:t>
      </w:r>
      <w:r w:rsidR="0009112D" w:rsidRPr="00B46E84">
        <w:rPr>
          <w:rFonts w:cs="Arial"/>
        </w:rPr>
        <w:t>mateur services operating in the 3475</w:t>
      </w:r>
      <w:r w:rsidRPr="00B46E84">
        <w:rPr>
          <w:rFonts w:cs="Arial"/>
        </w:rPr>
        <w:t>–</w:t>
      </w:r>
      <w:r w:rsidR="0009112D" w:rsidRPr="00B46E84">
        <w:rPr>
          <w:rFonts w:cs="Arial"/>
        </w:rPr>
        <w:t xml:space="preserve">3492.5 </w:t>
      </w:r>
      <w:r w:rsidR="00EA2F84" w:rsidRPr="00B46E84">
        <w:rPr>
          <w:rFonts w:cs="Arial"/>
        </w:rPr>
        <w:t>M</w:t>
      </w:r>
      <w:r w:rsidR="0009112D" w:rsidRPr="00B46E84">
        <w:rPr>
          <w:rFonts w:cs="Arial"/>
        </w:rPr>
        <w:t>Hz band that are not in areas re-allocated for the issue of spectrum licences, can continue operating in the band</w:t>
      </w:r>
      <w:r w:rsidR="00B46E84" w:rsidRPr="00B46E84">
        <w:rPr>
          <w:rFonts w:cs="Arial"/>
        </w:rPr>
        <w:t xml:space="preserve">. </w:t>
      </w:r>
      <w:r w:rsidR="00B46E84">
        <w:rPr>
          <w:rFonts w:cs="Arial"/>
        </w:rPr>
        <w:t>I</w:t>
      </w:r>
      <w:r w:rsidR="00D01695" w:rsidRPr="00B46E84">
        <w:rPr>
          <w:rFonts w:cs="Arial"/>
        </w:rPr>
        <w:t xml:space="preserve">ncumbent apparatus licensees </w:t>
      </w:r>
      <w:r w:rsidR="00820177" w:rsidRPr="00B46E84">
        <w:rPr>
          <w:rFonts w:cs="Arial"/>
        </w:rPr>
        <w:t>not in</w:t>
      </w:r>
      <w:r w:rsidR="00D01695" w:rsidRPr="00B46E84">
        <w:rPr>
          <w:rFonts w:cs="Arial"/>
        </w:rPr>
        <w:t xml:space="preserve"> </w:t>
      </w:r>
      <w:r w:rsidR="00BE3B54" w:rsidRPr="00B46E84">
        <w:rPr>
          <w:rFonts w:cs="Arial"/>
        </w:rPr>
        <w:t>r</w:t>
      </w:r>
      <w:r w:rsidR="00D01695" w:rsidRPr="00B46E84">
        <w:rPr>
          <w:rFonts w:cs="Arial"/>
        </w:rPr>
        <w:t xml:space="preserve">egional areas covered by NBN Co’s PTS licences </w:t>
      </w:r>
      <w:r w:rsidR="00820177" w:rsidRPr="00B46E84">
        <w:rPr>
          <w:rFonts w:cs="Arial"/>
        </w:rPr>
        <w:t>that are affected by the</w:t>
      </w:r>
      <w:r w:rsidR="00D01695" w:rsidRPr="00B46E84">
        <w:rPr>
          <w:rFonts w:cs="Arial"/>
        </w:rPr>
        <w:t xml:space="preserve"> re-allocation process are provided with an option for the continued delivery of their services within the 3400</w:t>
      </w:r>
      <w:r w:rsidR="00357BE7" w:rsidRPr="00B46E84">
        <w:rPr>
          <w:rFonts w:cs="Arial"/>
        </w:rPr>
        <w:t>–</w:t>
      </w:r>
      <w:r w:rsidR="00D01695" w:rsidRPr="00B46E84">
        <w:rPr>
          <w:rFonts w:cs="Arial"/>
        </w:rPr>
        <w:t>3575 MHz band. For TDD PMP licensees the new arrangements are expected to be within the tuneable frequency range of existing equipment</w:t>
      </w:r>
    </w:p>
    <w:p w14:paraId="16F7AF29" w14:textId="48C57E36" w:rsidR="0009112D" w:rsidRDefault="00357BE7" w:rsidP="004978EB">
      <w:pPr>
        <w:pStyle w:val="ListBullet"/>
        <w:numPr>
          <w:ilvl w:val="0"/>
          <w:numId w:val="18"/>
        </w:numPr>
        <w:tabs>
          <w:tab w:val="num" w:pos="295"/>
        </w:tabs>
        <w:spacing w:line="240" w:lineRule="auto"/>
        <w:ind w:left="295" w:hanging="295"/>
        <w:rPr>
          <w:rFonts w:cs="Arial"/>
        </w:rPr>
      </w:pPr>
      <w:r>
        <w:rPr>
          <w:rFonts w:cs="Arial"/>
        </w:rPr>
        <w:t>m</w:t>
      </w:r>
      <w:r w:rsidR="0009112D">
        <w:rPr>
          <w:rFonts w:cs="Arial"/>
        </w:rPr>
        <w:t xml:space="preserve">ore spectrum </w:t>
      </w:r>
      <w:r w:rsidR="00C80513">
        <w:rPr>
          <w:rFonts w:cs="Arial"/>
        </w:rPr>
        <w:t xml:space="preserve">is made </w:t>
      </w:r>
      <w:r w:rsidR="0009112D">
        <w:rPr>
          <w:rFonts w:cs="Arial"/>
        </w:rPr>
        <w:t xml:space="preserve">available for new PMP, FSS and </w:t>
      </w:r>
      <w:r w:rsidR="00BE3B54">
        <w:rPr>
          <w:rFonts w:cs="Arial"/>
        </w:rPr>
        <w:t>a</w:t>
      </w:r>
      <w:r w:rsidR="0009112D">
        <w:rPr>
          <w:rFonts w:cs="Arial"/>
        </w:rPr>
        <w:t xml:space="preserve">mateur services in </w:t>
      </w:r>
      <w:r w:rsidR="00BE3B54">
        <w:rPr>
          <w:rFonts w:cs="Arial"/>
        </w:rPr>
        <w:t>r</w:t>
      </w:r>
      <w:r w:rsidR="0009112D">
        <w:rPr>
          <w:rFonts w:cs="Arial"/>
        </w:rPr>
        <w:t>emote areas</w:t>
      </w:r>
    </w:p>
    <w:p w14:paraId="37077317" w14:textId="7F4B440B" w:rsidR="0009112D" w:rsidRDefault="00357BE7" w:rsidP="004978EB">
      <w:pPr>
        <w:pStyle w:val="ListBullet"/>
        <w:numPr>
          <w:ilvl w:val="0"/>
          <w:numId w:val="18"/>
        </w:numPr>
        <w:tabs>
          <w:tab w:val="num" w:pos="295"/>
        </w:tabs>
        <w:spacing w:line="240" w:lineRule="auto"/>
        <w:ind w:left="295" w:hanging="295"/>
        <w:rPr>
          <w:rFonts w:cs="Arial"/>
        </w:rPr>
      </w:pPr>
      <w:r>
        <w:rPr>
          <w:rFonts w:cs="Arial"/>
        </w:rPr>
        <w:t>m</w:t>
      </w:r>
      <w:r w:rsidR="0009112D">
        <w:rPr>
          <w:rFonts w:cs="Arial"/>
        </w:rPr>
        <w:t xml:space="preserve">ore spectrum </w:t>
      </w:r>
      <w:r w:rsidR="00C80513">
        <w:rPr>
          <w:rFonts w:cs="Arial"/>
        </w:rPr>
        <w:t>is made available for new</w:t>
      </w:r>
      <w:r w:rsidR="002A0C94">
        <w:rPr>
          <w:rFonts w:cs="Arial"/>
        </w:rPr>
        <w:t xml:space="preserve"> </w:t>
      </w:r>
      <w:r w:rsidR="0009112D">
        <w:rPr>
          <w:rFonts w:cs="Arial"/>
        </w:rPr>
        <w:t xml:space="preserve">PMP, FSS and </w:t>
      </w:r>
      <w:r w:rsidR="00BE3B54">
        <w:rPr>
          <w:rFonts w:cs="Arial"/>
        </w:rPr>
        <w:t>a</w:t>
      </w:r>
      <w:r w:rsidR="0009112D">
        <w:rPr>
          <w:rFonts w:cs="Arial"/>
        </w:rPr>
        <w:t xml:space="preserve">mateur services in </w:t>
      </w:r>
      <w:r w:rsidR="00BE3B54">
        <w:rPr>
          <w:rFonts w:cs="Arial"/>
        </w:rPr>
        <w:t>r</w:t>
      </w:r>
      <w:r w:rsidR="0009112D">
        <w:rPr>
          <w:rFonts w:cs="Arial"/>
        </w:rPr>
        <w:t>egional areas not re-allocated for the issue of spectrum licences</w:t>
      </w:r>
    </w:p>
    <w:p w14:paraId="33D6FFDD" w14:textId="5D4E31B7" w:rsidR="0009112D" w:rsidRDefault="00357BE7" w:rsidP="004978EB">
      <w:pPr>
        <w:pStyle w:val="ListBullet"/>
        <w:numPr>
          <w:ilvl w:val="0"/>
          <w:numId w:val="18"/>
        </w:numPr>
        <w:tabs>
          <w:tab w:val="num" w:pos="295"/>
        </w:tabs>
        <w:spacing w:line="240" w:lineRule="auto"/>
        <w:ind w:left="295" w:hanging="295"/>
        <w:rPr>
          <w:rFonts w:cs="Arial"/>
        </w:rPr>
      </w:pPr>
      <w:r>
        <w:t>s</w:t>
      </w:r>
      <w:r w:rsidR="0009112D">
        <w:t>pectrum arrangements for PMP licensing are consolidated to facilitate the adoption of TDD wireless broadband technologies and provide access to larger channel sizes</w:t>
      </w:r>
    </w:p>
    <w:p w14:paraId="5A229833" w14:textId="01DD7DDE" w:rsidR="0009112D" w:rsidRDefault="00357BE7" w:rsidP="004978EB">
      <w:pPr>
        <w:pStyle w:val="ListBullet"/>
        <w:numPr>
          <w:ilvl w:val="0"/>
          <w:numId w:val="18"/>
        </w:numPr>
        <w:tabs>
          <w:tab w:val="num" w:pos="295"/>
        </w:tabs>
        <w:spacing w:line="240" w:lineRule="auto"/>
        <w:ind w:left="295" w:hanging="295"/>
        <w:rPr>
          <w:rFonts w:cs="Arial"/>
        </w:rPr>
      </w:pPr>
      <w:r>
        <w:t>c</w:t>
      </w:r>
      <w:r w:rsidR="0009112D">
        <w:t xml:space="preserve">ontinued support for FSS operation in the band </w:t>
      </w:r>
      <w:r w:rsidR="00553253">
        <w:t>is</w:t>
      </w:r>
      <w:r w:rsidR="002A0C94">
        <w:t xml:space="preserve"> </w:t>
      </w:r>
      <w:r w:rsidR="0009112D">
        <w:t xml:space="preserve">provided at defined </w:t>
      </w:r>
      <w:r w:rsidR="00BE3B54">
        <w:t>ESPZs</w:t>
      </w:r>
      <w:r w:rsidR="0009112D" w:rsidRPr="00475453">
        <w:t xml:space="preserve"> in regional Australia</w:t>
      </w:r>
      <w:r w:rsidR="0009112D">
        <w:rPr>
          <w:rFonts w:cs="Arial"/>
        </w:rPr>
        <w:t xml:space="preserve"> </w:t>
      </w:r>
    </w:p>
    <w:p w14:paraId="7C35D156" w14:textId="0A665597" w:rsidR="0009112D" w:rsidRPr="00E454E3" w:rsidRDefault="00357BE7" w:rsidP="004978EB">
      <w:pPr>
        <w:pStyle w:val="ListBullet"/>
        <w:numPr>
          <w:ilvl w:val="0"/>
          <w:numId w:val="18"/>
        </w:numPr>
        <w:tabs>
          <w:tab w:val="num" w:pos="295"/>
        </w:tabs>
        <w:spacing w:line="240" w:lineRule="auto"/>
        <w:ind w:left="295" w:hanging="295"/>
        <w:rPr>
          <w:rFonts w:cs="Arial"/>
        </w:rPr>
      </w:pPr>
      <w:r>
        <w:rPr>
          <w:rFonts w:cs="Arial"/>
        </w:rPr>
        <w:t>o</w:t>
      </w:r>
      <w:r w:rsidR="0009112D" w:rsidRPr="00E454E3">
        <w:rPr>
          <w:rFonts w:cs="Arial"/>
        </w:rPr>
        <w:t xml:space="preserve">nce NBN Co’s PTS licences </w:t>
      </w:r>
      <w:r w:rsidR="00553253">
        <w:rPr>
          <w:rFonts w:cs="Arial"/>
        </w:rPr>
        <w:t>are</w:t>
      </w:r>
      <w:r w:rsidR="002A0C94">
        <w:rPr>
          <w:rFonts w:cs="Arial"/>
        </w:rPr>
        <w:t xml:space="preserve"> </w:t>
      </w:r>
      <w:r w:rsidR="0009112D" w:rsidRPr="00E454E3">
        <w:rPr>
          <w:rFonts w:cs="Arial"/>
        </w:rPr>
        <w:t xml:space="preserve">converted and an auction </w:t>
      </w:r>
      <w:r w:rsidR="0009112D">
        <w:rPr>
          <w:rFonts w:cs="Arial"/>
        </w:rPr>
        <w:t xml:space="preserve">for </w:t>
      </w:r>
      <w:r w:rsidR="0009112D" w:rsidRPr="00E454E3">
        <w:rPr>
          <w:rFonts w:cs="Arial"/>
        </w:rPr>
        <w:t>the re-allocated spectrum</w:t>
      </w:r>
      <w:r w:rsidR="0009112D">
        <w:rPr>
          <w:rFonts w:cs="Arial"/>
        </w:rPr>
        <w:t xml:space="preserve"> is complete</w:t>
      </w:r>
      <w:r w:rsidR="00553253">
        <w:rPr>
          <w:rFonts w:cs="Arial"/>
        </w:rPr>
        <w:t>d</w:t>
      </w:r>
      <w:r w:rsidR="0009112D" w:rsidRPr="00E454E3">
        <w:rPr>
          <w:rFonts w:cs="Arial"/>
        </w:rPr>
        <w:t xml:space="preserve">, licensees could use market mechanisms such as </w:t>
      </w:r>
      <w:r w:rsidR="00BE3B54">
        <w:rPr>
          <w:rFonts w:cs="Arial"/>
        </w:rPr>
        <w:t>third-</w:t>
      </w:r>
      <w:r w:rsidR="0009112D" w:rsidRPr="00E454E3">
        <w:rPr>
          <w:rFonts w:cs="Arial"/>
        </w:rPr>
        <w:t xml:space="preserve">party authorisations and/or trading to implement a defrag within licenced space </w:t>
      </w:r>
    </w:p>
    <w:p w14:paraId="37ACD744" w14:textId="58F67EBD" w:rsidR="0009112D" w:rsidRPr="00BE3B54" w:rsidRDefault="00357BE7" w:rsidP="003C5923">
      <w:pPr>
        <w:pStyle w:val="ListBullet"/>
        <w:numPr>
          <w:ilvl w:val="0"/>
          <w:numId w:val="18"/>
        </w:numPr>
        <w:tabs>
          <w:tab w:val="num" w:pos="295"/>
        </w:tabs>
        <w:spacing w:after="240" w:line="240" w:lineRule="auto"/>
        <w:ind w:left="295" w:hanging="295"/>
        <w:rPr>
          <w:rFonts w:cs="Arial"/>
        </w:rPr>
      </w:pPr>
      <w:r>
        <w:rPr>
          <w:rFonts w:cs="Arial"/>
        </w:rPr>
        <w:lastRenderedPageBreak/>
        <w:t>p</w:t>
      </w:r>
      <w:r w:rsidR="0009112D" w:rsidRPr="004F61BD">
        <w:rPr>
          <w:rFonts w:cs="Arial"/>
        </w:rPr>
        <w:t xml:space="preserve">rovided agreement </w:t>
      </w:r>
      <w:r w:rsidR="00553253">
        <w:rPr>
          <w:rFonts w:cs="Arial"/>
        </w:rPr>
        <w:t>is</w:t>
      </w:r>
      <w:r w:rsidR="002A0C94">
        <w:rPr>
          <w:rFonts w:cs="Arial"/>
        </w:rPr>
        <w:t xml:space="preserve"> </w:t>
      </w:r>
      <w:r w:rsidR="0009112D" w:rsidRPr="004F61BD">
        <w:rPr>
          <w:rFonts w:cs="Arial"/>
        </w:rPr>
        <w:t xml:space="preserve">reached between relevant spectrum licensees, </w:t>
      </w:r>
      <w:r w:rsidR="00BE3B54">
        <w:rPr>
          <w:rFonts w:cs="Arial"/>
        </w:rPr>
        <w:t>an almost</w:t>
      </w:r>
      <w:r w:rsidR="0009112D" w:rsidRPr="004F61BD">
        <w:rPr>
          <w:rFonts w:cs="Arial"/>
        </w:rPr>
        <w:t xml:space="preserve"> complete defrag c</w:t>
      </w:r>
      <w:r w:rsidR="00553253">
        <w:rPr>
          <w:rFonts w:cs="Arial"/>
        </w:rPr>
        <w:t>an</w:t>
      </w:r>
      <w:r w:rsidR="0009112D" w:rsidRPr="004F61BD">
        <w:rPr>
          <w:rFonts w:cs="Arial"/>
        </w:rPr>
        <w:t xml:space="preserve"> occur in the spectrum licensed space. </w:t>
      </w:r>
      <w:r w:rsidR="0009112D">
        <w:rPr>
          <w:rFonts w:cs="Arial"/>
        </w:rPr>
        <w:t>This means i</w:t>
      </w:r>
      <w:r w:rsidR="0009112D" w:rsidRPr="004F61BD">
        <w:rPr>
          <w:rFonts w:cs="Arial"/>
        </w:rPr>
        <w:t xml:space="preserve">t </w:t>
      </w:r>
      <w:r w:rsidR="00553253">
        <w:rPr>
          <w:rFonts w:cs="Arial"/>
        </w:rPr>
        <w:t>is</w:t>
      </w:r>
      <w:r w:rsidR="0009112D" w:rsidRPr="004F61BD">
        <w:rPr>
          <w:rFonts w:cs="Arial"/>
        </w:rPr>
        <w:t xml:space="preserve"> possible for NBN Co and Optus to defrag their </w:t>
      </w:r>
      <w:r w:rsidR="0009112D" w:rsidRPr="00BE3B54">
        <w:rPr>
          <w:rFonts w:cs="Arial"/>
        </w:rPr>
        <w:t xml:space="preserve">spectrum holdings within </w:t>
      </w:r>
      <w:r w:rsidR="00BE3B54">
        <w:rPr>
          <w:rFonts w:cs="Arial"/>
        </w:rPr>
        <w:t>m</w:t>
      </w:r>
      <w:r w:rsidR="0009112D" w:rsidRPr="00BE3B54">
        <w:rPr>
          <w:rFonts w:cs="Arial"/>
        </w:rPr>
        <w:t xml:space="preserve">etropolitan areas and segments of the surrounding </w:t>
      </w:r>
      <w:r w:rsidR="00BE3B54">
        <w:rPr>
          <w:rFonts w:cs="Arial"/>
        </w:rPr>
        <w:t>r</w:t>
      </w:r>
      <w:r w:rsidR="0009112D" w:rsidRPr="00BE3B54">
        <w:rPr>
          <w:rFonts w:cs="Arial"/>
        </w:rPr>
        <w:t xml:space="preserve">egional area (refer to </w:t>
      </w:r>
      <w:r w:rsidR="0009112D" w:rsidRPr="003C5923">
        <w:rPr>
          <w:rFonts w:cs="Arial"/>
        </w:rPr>
        <w:t>Appendix C</w:t>
      </w:r>
      <w:r w:rsidR="0009112D" w:rsidRPr="00BE3B54">
        <w:rPr>
          <w:rFonts w:cs="Arial"/>
        </w:rPr>
        <w:t xml:space="preserve"> for details), noting Telstra’s spectrum licences holdings in the 3400</w:t>
      </w:r>
      <w:r>
        <w:rPr>
          <w:rFonts w:cs="Arial"/>
        </w:rPr>
        <w:t>–</w:t>
      </w:r>
      <w:r w:rsidR="0009112D" w:rsidRPr="00BE3B54">
        <w:rPr>
          <w:rFonts w:cs="Arial"/>
        </w:rPr>
        <w:t xml:space="preserve">3575 MHz band are already defragged.     </w:t>
      </w:r>
    </w:p>
    <w:p w14:paraId="7CCB0B77" w14:textId="77777777" w:rsidR="0009112D" w:rsidRPr="006E6DC7" w:rsidRDefault="0009112D" w:rsidP="003C5923">
      <w:pPr>
        <w:spacing w:after="80"/>
        <w:rPr>
          <w:rFonts w:cs="Arial"/>
        </w:rPr>
      </w:pPr>
      <w:r w:rsidRPr="006E6DC7">
        <w:rPr>
          <w:rFonts w:cs="Arial"/>
        </w:rPr>
        <w:t>The disadvantages of Option 2b are:</w:t>
      </w:r>
    </w:p>
    <w:p w14:paraId="1483C42D" w14:textId="17106A11" w:rsidR="0009112D" w:rsidRDefault="00357BE7" w:rsidP="004978EB">
      <w:pPr>
        <w:pStyle w:val="ListBullet"/>
        <w:numPr>
          <w:ilvl w:val="0"/>
          <w:numId w:val="18"/>
        </w:numPr>
        <w:tabs>
          <w:tab w:val="num" w:pos="295"/>
        </w:tabs>
        <w:spacing w:line="240" w:lineRule="auto"/>
        <w:ind w:left="295" w:hanging="295"/>
        <w:rPr>
          <w:rFonts w:cs="Arial"/>
        </w:rPr>
      </w:pPr>
      <w:r>
        <w:rPr>
          <w:rFonts w:cs="Arial"/>
        </w:rPr>
        <w:t>t</w:t>
      </w:r>
      <w:r w:rsidR="0009112D">
        <w:rPr>
          <w:rFonts w:cs="Arial"/>
        </w:rPr>
        <w:t>he second</w:t>
      </w:r>
      <w:r>
        <w:rPr>
          <w:rFonts w:cs="Arial"/>
        </w:rPr>
        <w:t>-</w:t>
      </w:r>
      <w:r w:rsidR="0009112D">
        <w:rPr>
          <w:rFonts w:cs="Arial"/>
        </w:rPr>
        <w:t>greatest number of apparatus licensees (behind Option 2a)</w:t>
      </w:r>
      <w:r w:rsidR="00D41819">
        <w:rPr>
          <w:rFonts w:cs="Arial"/>
        </w:rPr>
        <w:t xml:space="preserve"> are affected. This includes 40 PMP licences and any amateur licensee using the band in re-allocated areas</w:t>
      </w:r>
    </w:p>
    <w:p w14:paraId="1E09B436" w14:textId="6BC1BA9B" w:rsidR="0009112D" w:rsidRPr="006E6DC7" w:rsidRDefault="00357BE7" w:rsidP="004978EB">
      <w:pPr>
        <w:pStyle w:val="ListBullet"/>
        <w:numPr>
          <w:ilvl w:val="0"/>
          <w:numId w:val="18"/>
        </w:numPr>
        <w:tabs>
          <w:tab w:val="num" w:pos="295"/>
        </w:tabs>
        <w:spacing w:line="240" w:lineRule="auto"/>
        <w:ind w:left="295" w:hanging="295"/>
        <w:rPr>
          <w:rFonts w:cs="Arial"/>
        </w:rPr>
      </w:pPr>
      <w:r>
        <w:rPr>
          <w:rFonts w:cs="Arial"/>
        </w:rPr>
        <w:t>i</w:t>
      </w:r>
      <w:r w:rsidR="0009112D" w:rsidRPr="006E6DC7">
        <w:rPr>
          <w:rFonts w:cs="Arial"/>
        </w:rPr>
        <w:t xml:space="preserve">ncumbent apparatus licences operating on frequencies affected by </w:t>
      </w:r>
      <w:r w:rsidR="0009112D">
        <w:rPr>
          <w:rFonts w:cs="Arial"/>
        </w:rPr>
        <w:t>the restack or</w:t>
      </w:r>
      <w:r w:rsidR="0009112D" w:rsidRPr="006E6DC7">
        <w:rPr>
          <w:rFonts w:cs="Arial"/>
        </w:rPr>
        <w:t xml:space="preserve"> re-allocation process would be required to:</w:t>
      </w:r>
    </w:p>
    <w:p w14:paraId="7553487E" w14:textId="513364C2" w:rsidR="0009112D" w:rsidRPr="006E6DC7" w:rsidRDefault="0009112D" w:rsidP="004978EB">
      <w:pPr>
        <w:pStyle w:val="ListBullet2"/>
        <w:numPr>
          <w:ilvl w:val="1"/>
          <w:numId w:val="22"/>
        </w:numPr>
        <w:tabs>
          <w:tab w:val="num" w:pos="845"/>
        </w:tabs>
        <w:ind w:left="845" w:hanging="544"/>
        <w:rPr>
          <w:rFonts w:cs="Arial"/>
        </w:rPr>
      </w:pPr>
      <w:r w:rsidRPr="006E6DC7">
        <w:rPr>
          <w:rFonts w:cs="Arial"/>
        </w:rPr>
        <w:t xml:space="preserve">retune to the new consolidated apparatus licence segments of the </w:t>
      </w:r>
      <w:r w:rsidR="005619B4">
        <w:rPr>
          <w:rFonts w:cs="Arial"/>
        </w:rPr>
        <w:t>3400</w:t>
      </w:r>
      <w:r w:rsidR="00357BE7">
        <w:rPr>
          <w:rFonts w:cs="Arial"/>
        </w:rPr>
        <w:t>–</w:t>
      </w:r>
      <w:r w:rsidR="005619B4">
        <w:rPr>
          <w:rFonts w:cs="Arial"/>
        </w:rPr>
        <w:t>3575 MHz</w:t>
      </w:r>
      <w:r w:rsidRPr="006E6DC7">
        <w:rPr>
          <w:rFonts w:cs="Arial"/>
        </w:rPr>
        <w:t xml:space="preserve"> band identified for PMP, FSS and </w:t>
      </w:r>
      <w:r w:rsidR="004978EB" w:rsidRPr="004978EB">
        <w:t>a</w:t>
      </w:r>
      <w:r w:rsidRPr="004978EB">
        <w:t>mateur</w:t>
      </w:r>
      <w:r w:rsidRPr="006E6DC7">
        <w:rPr>
          <w:rFonts w:cs="Arial"/>
        </w:rPr>
        <w:t xml:space="preserve"> service use. </w:t>
      </w:r>
      <w:r>
        <w:rPr>
          <w:rFonts w:cs="Arial"/>
        </w:rPr>
        <w:t>This will not be possible for FDD PMP licensees unless they replace their equipment with TDD systems. I</w:t>
      </w:r>
      <w:r w:rsidRPr="006E6DC7">
        <w:rPr>
          <w:rFonts w:cs="Arial"/>
        </w:rPr>
        <w:t xml:space="preserve">t is noted that there will be some areas where there </w:t>
      </w:r>
      <w:r>
        <w:rPr>
          <w:rFonts w:cs="Arial"/>
        </w:rPr>
        <w:t>is</w:t>
      </w:r>
      <w:r w:rsidRPr="006E6DC7">
        <w:rPr>
          <w:rFonts w:cs="Arial"/>
        </w:rPr>
        <w:t xml:space="preserve"> no equivalent spectrum to retune to</w:t>
      </w:r>
      <w:r>
        <w:rPr>
          <w:rFonts w:cs="Arial"/>
        </w:rPr>
        <w:t xml:space="preserve"> as it would have been re-allocated or converted to spectrum licensing</w:t>
      </w:r>
      <w:r w:rsidRPr="006E6DC7">
        <w:rPr>
          <w:rFonts w:cs="Arial"/>
        </w:rPr>
        <w:t xml:space="preserve"> </w:t>
      </w:r>
    </w:p>
    <w:p w14:paraId="1710F18D" w14:textId="0AE008CF" w:rsidR="0009112D" w:rsidRPr="006E6DC7" w:rsidRDefault="0009112D" w:rsidP="004978EB">
      <w:pPr>
        <w:pStyle w:val="ListBullet2"/>
        <w:numPr>
          <w:ilvl w:val="1"/>
          <w:numId w:val="22"/>
        </w:numPr>
        <w:tabs>
          <w:tab w:val="num" w:pos="845"/>
        </w:tabs>
        <w:ind w:left="845" w:hanging="544"/>
        <w:rPr>
          <w:rFonts w:cs="Arial"/>
        </w:rPr>
      </w:pPr>
      <w:r w:rsidRPr="006E6DC7">
        <w:rPr>
          <w:rFonts w:cs="Arial"/>
        </w:rPr>
        <w:t>re-locate to another frequency band</w:t>
      </w:r>
      <w:r>
        <w:rPr>
          <w:rFonts w:cs="Arial"/>
        </w:rPr>
        <w:t>,</w:t>
      </w:r>
      <w:r w:rsidRPr="006E6DC7">
        <w:rPr>
          <w:rFonts w:cs="Arial"/>
        </w:rPr>
        <w:t xml:space="preserve"> in areas </w:t>
      </w:r>
      <w:r w:rsidR="00357BE7">
        <w:rPr>
          <w:rFonts w:cs="Arial"/>
        </w:rPr>
        <w:t xml:space="preserve">where </w:t>
      </w:r>
      <w:r>
        <w:rPr>
          <w:rFonts w:cs="Arial"/>
        </w:rPr>
        <w:t>suitable alternative spectrum options exist</w:t>
      </w:r>
    </w:p>
    <w:p w14:paraId="000F77BB" w14:textId="77777777" w:rsidR="0009112D" w:rsidRDefault="0009112D" w:rsidP="004978EB">
      <w:pPr>
        <w:pStyle w:val="ListBullet2"/>
        <w:numPr>
          <w:ilvl w:val="1"/>
          <w:numId w:val="22"/>
        </w:numPr>
        <w:tabs>
          <w:tab w:val="num" w:pos="845"/>
        </w:tabs>
        <w:ind w:left="845" w:hanging="544"/>
        <w:rPr>
          <w:rFonts w:cs="Arial"/>
        </w:rPr>
      </w:pPr>
      <w:r w:rsidRPr="006E6DC7">
        <w:rPr>
          <w:rFonts w:cs="Arial"/>
        </w:rPr>
        <w:t>cease operating in the band at the</w:t>
      </w:r>
      <w:r>
        <w:rPr>
          <w:rFonts w:cs="Arial"/>
        </w:rPr>
        <w:t xml:space="preserve"> end of the defined re-allocation period, unless ongoing access could be negotiated.</w:t>
      </w:r>
    </w:p>
    <w:p w14:paraId="4F734895" w14:textId="5E5AC7B3" w:rsidR="00977581" w:rsidRPr="007B2ED3" w:rsidRDefault="00357BE7" w:rsidP="004978EB">
      <w:pPr>
        <w:pStyle w:val="ListBullet"/>
        <w:numPr>
          <w:ilvl w:val="0"/>
          <w:numId w:val="18"/>
        </w:numPr>
        <w:tabs>
          <w:tab w:val="num" w:pos="295"/>
        </w:tabs>
        <w:spacing w:line="240" w:lineRule="auto"/>
        <w:ind w:left="295" w:hanging="295"/>
        <w:rPr>
          <w:rFonts w:cs="Arial"/>
        </w:rPr>
      </w:pPr>
      <w:r>
        <w:t>a</w:t>
      </w:r>
      <w:r w:rsidR="0009112D" w:rsidRPr="008E66EC">
        <w:t xml:space="preserve">greement from </w:t>
      </w:r>
      <w:r w:rsidR="0009112D">
        <w:t xml:space="preserve">all affected spectrum </w:t>
      </w:r>
      <w:r w:rsidR="0009112D" w:rsidRPr="008E66EC">
        <w:t xml:space="preserve">licensees </w:t>
      </w:r>
      <w:r w:rsidR="0009112D">
        <w:t>is required for a defrag to occur (unless it occurs as part of licence re-issue in 2030)</w:t>
      </w:r>
      <w:r w:rsidR="0009112D" w:rsidRPr="008E66EC">
        <w:t xml:space="preserve">. </w:t>
      </w:r>
      <w:r w:rsidR="0009112D">
        <w:t xml:space="preserve">The auction of the re-allocated spectrum could result in new licensees in the </w:t>
      </w:r>
      <w:r w:rsidR="005619B4">
        <w:t>3400</w:t>
      </w:r>
      <w:r>
        <w:t>–</w:t>
      </w:r>
      <w:r w:rsidR="005619B4">
        <w:t>3575 MHz</w:t>
      </w:r>
      <w:r w:rsidR="0009112D">
        <w:t xml:space="preserve"> band, further complicating defrag negotiations. One or more of these licensees </w:t>
      </w:r>
      <w:r w:rsidR="00AB0792">
        <w:t xml:space="preserve">can influence whether and to </w:t>
      </w:r>
      <w:r w:rsidR="0009112D">
        <w:t>what degree defrag c</w:t>
      </w:r>
      <w:r w:rsidR="00AB0792">
        <w:t>an</w:t>
      </w:r>
      <w:r w:rsidR="0009112D">
        <w:t xml:space="preserve"> occur in the band.</w:t>
      </w:r>
      <w:bookmarkEnd w:id="87"/>
    </w:p>
    <w:p w14:paraId="493F3677" w14:textId="11BB08FC" w:rsidR="00CF7048" w:rsidRDefault="00CF7048" w:rsidP="00F435DD">
      <w:pPr>
        <w:pStyle w:val="Heading2"/>
      </w:pPr>
      <w:bookmarkStart w:id="89" w:name="_Toc6923118"/>
      <w:r>
        <w:t xml:space="preserve">Option 3: </w:t>
      </w:r>
      <w:r w:rsidR="00AE0BD6" w:rsidRPr="00802F61">
        <w:t xml:space="preserve">Restack </w:t>
      </w:r>
      <w:r w:rsidR="00D771E1">
        <w:t xml:space="preserve">apparatus </w:t>
      </w:r>
      <w:r w:rsidR="00AE0BD6" w:rsidRPr="00802F61">
        <w:t>licences</w:t>
      </w:r>
      <w:r w:rsidR="00AE0BD6">
        <w:t xml:space="preserve">, </w:t>
      </w:r>
      <w:r w:rsidR="00BA4146">
        <w:t xml:space="preserve">then </w:t>
      </w:r>
      <w:r w:rsidR="00AE0BD6">
        <w:t xml:space="preserve">convert </w:t>
      </w:r>
      <w:r w:rsidR="00BA4146">
        <w:t xml:space="preserve">NBN </w:t>
      </w:r>
      <w:r w:rsidR="00362BC9">
        <w:t>PTS</w:t>
      </w:r>
      <w:r w:rsidR="00BA4146">
        <w:t xml:space="preserve"> licences to </w:t>
      </w:r>
      <w:r w:rsidR="00AE0BD6">
        <w:t>spectrum</w:t>
      </w:r>
      <w:r w:rsidR="00D771E1">
        <w:t xml:space="preserve"> licences</w:t>
      </w:r>
      <w:r w:rsidR="00BA4146">
        <w:t xml:space="preserve"> and re-allocate additional spectrum </w:t>
      </w:r>
      <w:r w:rsidR="00362BC9">
        <w:t>for</w:t>
      </w:r>
      <w:r w:rsidR="00BA4146">
        <w:t xml:space="preserve"> spectrum licen</w:t>
      </w:r>
      <w:r w:rsidR="00071EEA">
        <w:t>sing</w:t>
      </w:r>
      <w:bookmarkEnd w:id="89"/>
    </w:p>
    <w:p w14:paraId="3B02554C" w14:textId="77777777" w:rsidR="00BF1E58" w:rsidRPr="00844262" w:rsidRDefault="00BF1E58" w:rsidP="003C5923">
      <w:pPr>
        <w:pStyle w:val="Heading3"/>
      </w:pPr>
      <w:bookmarkStart w:id="90" w:name="_Toc6923119"/>
      <w:r w:rsidRPr="00844262">
        <w:t>Overview</w:t>
      </w:r>
      <w:bookmarkEnd w:id="90"/>
    </w:p>
    <w:p w14:paraId="309A4398" w14:textId="16017B4F" w:rsidR="005212CF" w:rsidRPr="004978EB" w:rsidRDefault="00BF1E58" w:rsidP="00E644A1">
      <w:pPr>
        <w:rPr>
          <w:rFonts w:cs="Arial"/>
        </w:rPr>
      </w:pPr>
      <w:r>
        <w:rPr>
          <w:rFonts w:cs="Arial"/>
        </w:rPr>
        <w:t>Under Option 3,</w:t>
      </w:r>
      <w:r w:rsidR="005212CF">
        <w:rPr>
          <w:rFonts w:cs="Arial"/>
        </w:rPr>
        <w:t xml:space="preserve"> </w:t>
      </w:r>
      <w:r w:rsidR="00717A29">
        <w:rPr>
          <w:rFonts w:cs="Arial"/>
        </w:rPr>
        <w:t>changes are</w:t>
      </w:r>
      <w:r w:rsidR="00421E87">
        <w:rPr>
          <w:rFonts w:cs="Arial"/>
        </w:rPr>
        <w:t xml:space="preserve"> proposed to</w:t>
      </w:r>
      <w:r w:rsidR="005212CF">
        <w:rPr>
          <w:rFonts w:cs="Arial"/>
        </w:rPr>
        <w:t xml:space="preserve"> occur over two phases. </w:t>
      </w:r>
      <w:r w:rsidR="00C54757">
        <w:rPr>
          <w:rFonts w:cs="Arial"/>
        </w:rPr>
        <w:t xml:space="preserve">Phase 1 focuses on </w:t>
      </w:r>
      <w:r w:rsidR="004978EB" w:rsidRPr="004978EB">
        <w:rPr>
          <w:rFonts w:cs="Arial"/>
        </w:rPr>
        <w:t xml:space="preserve">establishing </w:t>
      </w:r>
      <w:r w:rsidR="00C54757" w:rsidRPr="004978EB">
        <w:rPr>
          <w:rFonts w:cs="Arial"/>
        </w:rPr>
        <w:t>arrangements to facilitate defragmentation of spectrum and apparatus licen</w:t>
      </w:r>
      <w:r w:rsidR="00747CC0" w:rsidRPr="004978EB">
        <w:rPr>
          <w:rFonts w:cs="Arial"/>
        </w:rPr>
        <w:t>sing</w:t>
      </w:r>
      <w:r w:rsidR="00C54757" w:rsidRPr="004978EB">
        <w:rPr>
          <w:rFonts w:cs="Arial"/>
        </w:rPr>
        <w:t xml:space="preserve"> arrangements </w:t>
      </w:r>
      <w:r w:rsidR="00232227" w:rsidRPr="004978EB">
        <w:rPr>
          <w:rFonts w:cs="Arial"/>
        </w:rPr>
        <w:t xml:space="preserve">in </w:t>
      </w:r>
      <w:r w:rsidR="004978EB" w:rsidRPr="004978EB">
        <w:rPr>
          <w:rFonts w:cs="Arial"/>
        </w:rPr>
        <w:t>r</w:t>
      </w:r>
      <w:r w:rsidR="00C54757" w:rsidRPr="004978EB">
        <w:rPr>
          <w:rFonts w:cs="Arial"/>
        </w:rPr>
        <w:t xml:space="preserve">emote and </w:t>
      </w:r>
      <w:r w:rsidR="004978EB" w:rsidRPr="004978EB">
        <w:rPr>
          <w:rFonts w:cs="Arial"/>
        </w:rPr>
        <w:t>m</w:t>
      </w:r>
      <w:r w:rsidR="00C54757" w:rsidRPr="004978EB">
        <w:rPr>
          <w:rFonts w:cs="Arial"/>
        </w:rPr>
        <w:t xml:space="preserve">etropolitan areas as well as a large </w:t>
      </w:r>
      <w:r w:rsidR="00F25313" w:rsidRPr="004978EB">
        <w:rPr>
          <w:rFonts w:cs="Arial"/>
        </w:rPr>
        <w:t>pro</w:t>
      </w:r>
      <w:r w:rsidR="00C54757" w:rsidRPr="004978EB">
        <w:rPr>
          <w:rFonts w:cs="Arial"/>
        </w:rPr>
        <w:t xml:space="preserve">portion of </w:t>
      </w:r>
      <w:r w:rsidR="004978EB" w:rsidRPr="004978EB">
        <w:rPr>
          <w:rFonts w:cs="Arial"/>
        </w:rPr>
        <w:t>r</w:t>
      </w:r>
      <w:r w:rsidR="00C54757" w:rsidRPr="004978EB">
        <w:rPr>
          <w:rFonts w:cs="Arial"/>
        </w:rPr>
        <w:t xml:space="preserve">egional areas. </w:t>
      </w:r>
      <w:r w:rsidR="00257837" w:rsidRPr="004978EB">
        <w:rPr>
          <w:rFonts w:cs="Arial"/>
        </w:rPr>
        <w:t>Phase 2</w:t>
      </w:r>
      <w:r w:rsidR="00C54757" w:rsidRPr="004978EB">
        <w:rPr>
          <w:rFonts w:cs="Arial"/>
        </w:rPr>
        <w:t xml:space="preserve"> is an optional future phase that focuses on </w:t>
      </w:r>
      <w:r w:rsidR="00CD395F">
        <w:rPr>
          <w:rFonts w:cs="Arial"/>
        </w:rPr>
        <w:t xml:space="preserve">making more spectrum available for wireless broadband use and </w:t>
      </w:r>
      <w:r w:rsidR="00C54757" w:rsidRPr="004978EB">
        <w:rPr>
          <w:rFonts w:cs="Arial"/>
        </w:rPr>
        <w:t>the defragmentation of spectrum and apparatus licen</w:t>
      </w:r>
      <w:r w:rsidR="00747CC0" w:rsidRPr="004978EB">
        <w:rPr>
          <w:rFonts w:cs="Arial"/>
        </w:rPr>
        <w:t>sing</w:t>
      </w:r>
      <w:r w:rsidR="00C54757" w:rsidRPr="004978EB">
        <w:rPr>
          <w:rFonts w:cs="Arial"/>
        </w:rPr>
        <w:t xml:space="preserve"> arrangements in </w:t>
      </w:r>
      <w:r w:rsidR="004978EB" w:rsidRPr="004978EB">
        <w:rPr>
          <w:rFonts w:cs="Arial"/>
        </w:rPr>
        <w:t>m</w:t>
      </w:r>
      <w:r w:rsidR="00C54757" w:rsidRPr="004978EB">
        <w:rPr>
          <w:rFonts w:cs="Arial"/>
        </w:rPr>
        <w:t xml:space="preserve">ajor </w:t>
      </w:r>
      <w:r w:rsidR="00D82563" w:rsidRPr="004978EB">
        <w:rPr>
          <w:rFonts w:cs="Arial"/>
        </w:rPr>
        <w:t>r</w:t>
      </w:r>
      <w:r w:rsidR="00C54757" w:rsidRPr="004978EB">
        <w:rPr>
          <w:rFonts w:cs="Arial"/>
        </w:rPr>
        <w:t xml:space="preserve">egional </w:t>
      </w:r>
      <w:r w:rsidR="00D82563" w:rsidRPr="004978EB">
        <w:rPr>
          <w:rFonts w:cs="Arial"/>
        </w:rPr>
        <w:t>c</w:t>
      </w:r>
      <w:r w:rsidR="00C54757" w:rsidRPr="004978EB">
        <w:rPr>
          <w:rFonts w:cs="Arial"/>
        </w:rPr>
        <w:t xml:space="preserve">entres and the remaining </w:t>
      </w:r>
      <w:r w:rsidR="004978EB" w:rsidRPr="004978EB">
        <w:rPr>
          <w:rFonts w:cs="Arial"/>
        </w:rPr>
        <w:t>r</w:t>
      </w:r>
      <w:r w:rsidR="00C54757" w:rsidRPr="004978EB">
        <w:rPr>
          <w:rFonts w:cs="Arial"/>
        </w:rPr>
        <w:t xml:space="preserve">egional areas. </w:t>
      </w:r>
    </w:p>
    <w:p w14:paraId="5D6963DC" w14:textId="3DC26A61" w:rsidR="0016241E" w:rsidRPr="004978EB" w:rsidRDefault="00421E87" w:rsidP="00E644A1">
      <w:pPr>
        <w:rPr>
          <w:rFonts w:cs="Arial"/>
        </w:rPr>
      </w:pPr>
      <w:r w:rsidRPr="004978EB">
        <w:rPr>
          <w:rFonts w:cs="Arial"/>
        </w:rPr>
        <w:t xml:space="preserve">Two sub-options, referred to as Options 3a and 3b have been identified under this approach. </w:t>
      </w:r>
      <w:r w:rsidR="003A36B4" w:rsidRPr="004978EB">
        <w:rPr>
          <w:rFonts w:cs="Arial"/>
        </w:rPr>
        <w:t xml:space="preserve">Phase 1 </w:t>
      </w:r>
      <w:r w:rsidR="003050E6" w:rsidRPr="004978EB">
        <w:rPr>
          <w:rFonts w:cs="Arial"/>
        </w:rPr>
        <w:t>is the same for both sub-options. The difference in Phase 2 is the amount of spectrum that is re-allocated for spectrum licensing</w:t>
      </w:r>
      <w:r w:rsidR="003A36B4" w:rsidRPr="004978EB">
        <w:rPr>
          <w:rFonts w:cs="Arial"/>
        </w:rPr>
        <w:t xml:space="preserve">. </w:t>
      </w:r>
      <w:r w:rsidR="003050E6" w:rsidRPr="004978EB">
        <w:rPr>
          <w:rFonts w:cs="Arial"/>
        </w:rPr>
        <w:t xml:space="preserve">In </w:t>
      </w:r>
      <w:r w:rsidR="00747CC0" w:rsidRPr="004978EB">
        <w:rPr>
          <w:rFonts w:cs="Arial"/>
        </w:rPr>
        <w:t>e</w:t>
      </w:r>
      <w:r w:rsidR="003050E6" w:rsidRPr="004978EB">
        <w:rPr>
          <w:rFonts w:cs="Arial"/>
        </w:rPr>
        <w:t>ffect</w:t>
      </w:r>
      <w:r w:rsidR="004978EB" w:rsidRPr="004978EB">
        <w:rPr>
          <w:rFonts w:cs="Arial"/>
        </w:rPr>
        <w:t>,</w:t>
      </w:r>
      <w:r w:rsidR="003050E6" w:rsidRPr="004978EB">
        <w:rPr>
          <w:rFonts w:cs="Arial"/>
        </w:rPr>
        <w:t xml:space="preserve"> Options 3a and 3b are similar to Option 2b except </w:t>
      </w:r>
      <w:r w:rsidR="00D60FA1">
        <w:rPr>
          <w:rFonts w:cs="Arial"/>
        </w:rPr>
        <w:t xml:space="preserve">an equivalent amount of spectrum for </w:t>
      </w:r>
      <w:r w:rsidR="003050E6" w:rsidRPr="004978EB">
        <w:rPr>
          <w:rFonts w:cs="Arial"/>
        </w:rPr>
        <w:t>PMP licensing arrangements</w:t>
      </w:r>
      <w:r w:rsidR="006969A5">
        <w:rPr>
          <w:rFonts w:cs="Arial"/>
        </w:rPr>
        <w:t>,</w:t>
      </w:r>
      <w:r w:rsidR="006969A5" w:rsidRPr="006969A5">
        <w:rPr>
          <w:rFonts w:cs="Arial"/>
        </w:rPr>
        <w:t xml:space="preserve"> </w:t>
      </w:r>
      <w:r w:rsidR="006969A5">
        <w:rPr>
          <w:rFonts w:cs="Arial"/>
        </w:rPr>
        <w:t>as is currently available,</w:t>
      </w:r>
      <w:r w:rsidR="003050E6" w:rsidRPr="004978EB">
        <w:rPr>
          <w:rFonts w:cs="Arial"/>
        </w:rPr>
        <w:t xml:space="preserve"> </w:t>
      </w:r>
      <w:r w:rsidR="006969A5">
        <w:rPr>
          <w:rFonts w:cs="Arial"/>
        </w:rPr>
        <w:t>is</w:t>
      </w:r>
      <w:r w:rsidR="003050E6" w:rsidRPr="004978EB">
        <w:rPr>
          <w:rFonts w:cs="Arial"/>
        </w:rPr>
        <w:t xml:space="preserve"> maintained across all regional areas.</w:t>
      </w:r>
    </w:p>
    <w:p w14:paraId="62C3AAB2" w14:textId="1FCD0B40" w:rsidR="006B518E" w:rsidRDefault="0009112D" w:rsidP="00E644A1">
      <w:pPr>
        <w:rPr>
          <w:rFonts w:cs="Arial"/>
        </w:rPr>
      </w:pPr>
      <w:r w:rsidRPr="004978EB">
        <w:rPr>
          <w:rFonts w:cs="Arial"/>
        </w:rPr>
        <w:t xml:space="preserve">Table 2, in the </w:t>
      </w:r>
      <w:r w:rsidR="00357BE7">
        <w:rPr>
          <w:rFonts w:cs="Arial"/>
        </w:rPr>
        <w:t>‘</w:t>
      </w:r>
      <w:r w:rsidRPr="003C5923">
        <w:rPr>
          <w:rFonts w:cs="Arial"/>
        </w:rPr>
        <w:t>Summary of options</w:t>
      </w:r>
      <w:r w:rsidR="00357BE7">
        <w:rPr>
          <w:rFonts w:cs="Arial"/>
        </w:rPr>
        <w:t>’</w:t>
      </w:r>
      <w:r w:rsidRPr="004978EB">
        <w:rPr>
          <w:rFonts w:cs="Arial"/>
          <w:i/>
        </w:rPr>
        <w:t xml:space="preserve"> </w:t>
      </w:r>
      <w:r w:rsidRPr="004978EB">
        <w:rPr>
          <w:rFonts w:cs="Arial"/>
        </w:rPr>
        <w:t xml:space="preserve">section, provides a summary of licensees that would be affected (required to retune/relocate) under Options 3a and 3b. </w:t>
      </w:r>
      <w:r w:rsidR="006B518E" w:rsidRPr="004978EB">
        <w:rPr>
          <w:rFonts w:cs="Arial"/>
        </w:rPr>
        <w:t xml:space="preserve">Figure </w:t>
      </w:r>
      <w:r w:rsidR="00A72636" w:rsidRPr="004978EB">
        <w:rPr>
          <w:rFonts w:cs="Arial"/>
        </w:rPr>
        <w:t>3</w:t>
      </w:r>
      <w:r w:rsidR="006B518E" w:rsidRPr="004978EB">
        <w:rPr>
          <w:rFonts w:cs="Arial"/>
        </w:rPr>
        <w:t xml:space="preserve">, the </w:t>
      </w:r>
      <w:r w:rsidR="00357BE7">
        <w:rPr>
          <w:rFonts w:cs="Arial"/>
        </w:rPr>
        <w:t>‘</w:t>
      </w:r>
      <w:r w:rsidR="006B518E" w:rsidRPr="003C5923">
        <w:rPr>
          <w:rFonts w:cs="Arial"/>
        </w:rPr>
        <w:t>Summary of options</w:t>
      </w:r>
      <w:r w:rsidR="00357BE7">
        <w:rPr>
          <w:rFonts w:cs="Arial"/>
        </w:rPr>
        <w:t>’</w:t>
      </w:r>
      <w:r w:rsidR="006B518E" w:rsidRPr="004978EB">
        <w:rPr>
          <w:rFonts w:cs="Arial"/>
          <w:i/>
        </w:rPr>
        <w:t xml:space="preserve"> </w:t>
      </w:r>
      <w:r w:rsidR="006B518E" w:rsidRPr="004978EB">
        <w:rPr>
          <w:rFonts w:cs="Arial"/>
        </w:rPr>
        <w:t>section provides a pictorial summary of the steps involved in implementing Options 3a and 3b.</w:t>
      </w:r>
    </w:p>
    <w:p w14:paraId="6CD3D2D5" w14:textId="77777777" w:rsidR="004978EB" w:rsidRDefault="004978EB">
      <w:pPr>
        <w:spacing w:after="0" w:line="240" w:lineRule="auto"/>
        <w:rPr>
          <w:rFonts w:cs="Arial"/>
          <w:b/>
          <w:i/>
          <w:u w:val="single"/>
        </w:rPr>
      </w:pPr>
      <w:r>
        <w:rPr>
          <w:rFonts w:cs="Arial"/>
          <w:b/>
          <w:i/>
          <w:u w:val="single"/>
        </w:rPr>
        <w:br w:type="page"/>
      </w:r>
    </w:p>
    <w:p w14:paraId="4793AA9E" w14:textId="5381C664" w:rsidR="005212CF" w:rsidRPr="00C54757" w:rsidRDefault="005212CF" w:rsidP="003C5923">
      <w:pPr>
        <w:pStyle w:val="BodySubHeader"/>
      </w:pPr>
      <w:r w:rsidRPr="00C54757">
        <w:lastRenderedPageBreak/>
        <w:t>Option 3</w:t>
      </w:r>
      <w:r w:rsidR="00421E87">
        <w:t>a</w:t>
      </w:r>
      <w:r w:rsidR="003A36B4">
        <w:t xml:space="preserve"> </w:t>
      </w:r>
      <w:r w:rsidR="003050E6">
        <w:t>&amp; 3b</w:t>
      </w:r>
      <w:r w:rsidR="00306F36">
        <w:t>—</w:t>
      </w:r>
      <w:r w:rsidRPr="00C54757">
        <w:t>Phase 1</w:t>
      </w:r>
    </w:p>
    <w:p w14:paraId="071C1864" w14:textId="34A4CD76" w:rsidR="001A381E" w:rsidRDefault="005212CF" w:rsidP="003C5923">
      <w:pPr>
        <w:spacing w:after="80"/>
        <w:rPr>
          <w:rFonts w:cs="Arial"/>
        </w:rPr>
      </w:pPr>
      <w:r>
        <w:rPr>
          <w:rFonts w:cs="Arial"/>
        </w:rPr>
        <w:t xml:space="preserve">Phase 1 </w:t>
      </w:r>
      <w:r w:rsidR="006017EA">
        <w:rPr>
          <w:rFonts w:cs="Arial"/>
        </w:rPr>
        <w:t>is intended to commence</w:t>
      </w:r>
      <w:r>
        <w:rPr>
          <w:rFonts w:cs="Arial"/>
        </w:rPr>
        <w:t xml:space="preserve"> following a</w:t>
      </w:r>
      <w:r w:rsidR="00122289">
        <w:rPr>
          <w:rFonts w:cs="Arial"/>
        </w:rPr>
        <w:t xml:space="preserve"> final planning </w:t>
      </w:r>
      <w:r>
        <w:rPr>
          <w:rFonts w:cs="Arial"/>
        </w:rPr>
        <w:t xml:space="preserve">decision </w:t>
      </w:r>
      <w:r w:rsidR="00122289">
        <w:rPr>
          <w:rFonts w:cs="Arial"/>
        </w:rPr>
        <w:t>for</w:t>
      </w:r>
      <w:r>
        <w:rPr>
          <w:rFonts w:cs="Arial"/>
        </w:rPr>
        <w:t xml:space="preserve"> the 3400</w:t>
      </w:r>
      <w:r w:rsidR="00306F36">
        <w:rPr>
          <w:rFonts w:cs="Arial"/>
        </w:rPr>
        <w:t>–</w:t>
      </w:r>
      <w:r>
        <w:rPr>
          <w:rFonts w:cs="Arial"/>
        </w:rPr>
        <w:t>3575 MHz band. During this phase, t</w:t>
      </w:r>
      <w:r w:rsidR="001A381E">
        <w:rPr>
          <w:rFonts w:cs="Arial"/>
        </w:rPr>
        <w:t xml:space="preserve">he ACMA </w:t>
      </w:r>
      <w:r w:rsidR="006017EA">
        <w:rPr>
          <w:rFonts w:cs="Arial"/>
        </w:rPr>
        <w:t>will</w:t>
      </w:r>
      <w:r w:rsidR="001A381E">
        <w:rPr>
          <w:rFonts w:cs="Arial"/>
        </w:rPr>
        <w:t xml:space="preserve"> work with incumbent licensees to facilitate a restacking of apparatus licences in the band</w:t>
      </w:r>
      <w:r w:rsidR="00706FF1">
        <w:rPr>
          <w:rFonts w:cs="Arial"/>
        </w:rPr>
        <w:t xml:space="preserve"> (restack)</w:t>
      </w:r>
      <w:r w:rsidR="001A381E">
        <w:rPr>
          <w:rFonts w:cs="Arial"/>
        </w:rPr>
        <w:t>. This w</w:t>
      </w:r>
      <w:r w:rsidR="004D6BC0">
        <w:rPr>
          <w:rFonts w:cs="Arial"/>
        </w:rPr>
        <w:t>ill</w:t>
      </w:r>
      <w:r w:rsidR="001A381E">
        <w:rPr>
          <w:rFonts w:cs="Arial"/>
        </w:rPr>
        <w:t xml:space="preserve"> involve: </w:t>
      </w:r>
    </w:p>
    <w:p w14:paraId="00AB02E8" w14:textId="3E8E148F" w:rsidR="001A381E" w:rsidRDefault="001A381E" w:rsidP="004978EB">
      <w:pPr>
        <w:pStyle w:val="ListBullet"/>
        <w:numPr>
          <w:ilvl w:val="0"/>
          <w:numId w:val="18"/>
        </w:numPr>
        <w:tabs>
          <w:tab w:val="num" w:pos="295"/>
        </w:tabs>
        <w:spacing w:line="240" w:lineRule="auto"/>
        <w:ind w:left="295" w:hanging="295"/>
      </w:pPr>
      <w:r w:rsidRPr="001A381E">
        <w:t xml:space="preserve">restacking PMP, FSS and </w:t>
      </w:r>
      <w:r w:rsidR="006D0629">
        <w:t>a</w:t>
      </w:r>
      <w:r w:rsidRPr="001A381E">
        <w:t>mateur licences into the 3475</w:t>
      </w:r>
      <w:r w:rsidR="00AD1E3F">
        <w:t>–</w:t>
      </w:r>
      <w:r w:rsidRPr="001A381E">
        <w:t>3510 MHz frequency range</w:t>
      </w:r>
      <w:r w:rsidR="00D83EE8">
        <w:t xml:space="preserve"> in regional areas</w:t>
      </w:r>
    </w:p>
    <w:p w14:paraId="0A4B5415" w14:textId="7BB13398" w:rsidR="00BF1E58" w:rsidRPr="001A381E" w:rsidRDefault="001A381E" w:rsidP="004978EB">
      <w:pPr>
        <w:pStyle w:val="ListBullet"/>
        <w:numPr>
          <w:ilvl w:val="0"/>
          <w:numId w:val="18"/>
        </w:numPr>
        <w:tabs>
          <w:tab w:val="num" w:pos="295"/>
        </w:tabs>
        <w:spacing w:line="240" w:lineRule="auto"/>
        <w:ind w:left="295" w:hanging="295"/>
      </w:pPr>
      <w:r w:rsidRPr="001A381E">
        <w:t xml:space="preserve">restacking </w:t>
      </w:r>
      <w:r w:rsidR="00767BB0">
        <w:t xml:space="preserve">a portion of </w:t>
      </w:r>
      <w:r w:rsidRPr="001A381E">
        <w:t>NBN Co</w:t>
      </w:r>
      <w:r>
        <w:t xml:space="preserve">’s PTS licences from the </w:t>
      </w:r>
      <w:r w:rsidR="00767BB0">
        <w:t>3492.5</w:t>
      </w:r>
      <w:r w:rsidR="00AD1E3F">
        <w:t>–</w:t>
      </w:r>
      <w:r w:rsidR="00767BB0">
        <w:t>3510 MHz frequency range in regional areas into the 3425</w:t>
      </w:r>
      <w:r w:rsidR="00AD1E3F">
        <w:t>–</w:t>
      </w:r>
      <w:r w:rsidR="00767BB0">
        <w:t xml:space="preserve">3442.5 MHz frequency range. </w:t>
      </w:r>
    </w:p>
    <w:p w14:paraId="4153D49D" w14:textId="4376EA12" w:rsidR="001A381E" w:rsidRPr="004978EB" w:rsidRDefault="00706FF1" w:rsidP="004978EB">
      <w:pPr>
        <w:spacing w:before="240"/>
        <w:rPr>
          <w:rFonts w:cs="Arial"/>
        </w:rPr>
      </w:pPr>
      <w:r>
        <w:rPr>
          <w:rFonts w:cs="Arial"/>
        </w:rPr>
        <w:t>The frequencies and areas w</w:t>
      </w:r>
      <w:r w:rsidR="0007057E">
        <w:rPr>
          <w:rFonts w:cs="Arial"/>
        </w:rPr>
        <w:t xml:space="preserve">ill </w:t>
      </w:r>
      <w:r>
        <w:rPr>
          <w:rFonts w:cs="Arial"/>
        </w:rPr>
        <w:t xml:space="preserve">remain under embargo until the </w:t>
      </w:r>
      <w:r w:rsidR="00767BB0">
        <w:rPr>
          <w:rFonts w:cs="Arial"/>
        </w:rPr>
        <w:t xml:space="preserve">restack process </w:t>
      </w:r>
      <w:r>
        <w:rPr>
          <w:rFonts w:cs="Arial"/>
        </w:rPr>
        <w:t xml:space="preserve">is finalised. </w:t>
      </w:r>
      <w:r w:rsidRPr="004978EB">
        <w:rPr>
          <w:rFonts w:cs="Arial"/>
        </w:rPr>
        <w:t>The ACMA w</w:t>
      </w:r>
      <w:r w:rsidR="0007057E" w:rsidRPr="004978EB">
        <w:rPr>
          <w:rFonts w:cs="Arial"/>
        </w:rPr>
        <w:t xml:space="preserve">ill </w:t>
      </w:r>
      <w:r w:rsidRPr="004978EB">
        <w:rPr>
          <w:rFonts w:cs="Arial"/>
        </w:rPr>
        <w:t xml:space="preserve">work with affected licensees to facilitate transition. </w:t>
      </w:r>
    </w:p>
    <w:p w14:paraId="7E620FA5" w14:textId="308B9903" w:rsidR="00767BB0" w:rsidRPr="004978EB" w:rsidRDefault="00767BB0" w:rsidP="00E644A1">
      <w:r w:rsidRPr="004978EB">
        <w:rPr>
          <w:rFonts w:cs="Arial"/>
        </w:rPr>
        <w:t>To ensure restack occurs within a reasonable time</w:t>
      </w:r>
      <w:r w:rsidR="00EB39EA" w:rsidRPr="004978EB">
        <w:rPr>
          <w:rFonts w:cs="Arial"/>
        </w:rPr>
        <w:t>frame</w:t>
      </w:r>
      <w:r w:rsidRPr="004978EB">
        <w:rPr>
          <w:rFonts w:cs="Arial"/>
        </w:rPr>
        <w:t>, the ACMA would not re-issue incumbent apparatus licences beyond a defined date unless they moved into the appropriate restacked</w:t>
      </w:r>
      <w:r w:rsidR="00092ACB" w:rsidRPr="00092ACB">
        <w:rPr>
          <w:rFonts w:cs="Arial"/>
        </w:rPr>
        <w:t xml:space="preserve"> </w:t>
      </w:r>
      <w:r w:rsidR="00092ACB">
        <w:rPr>
          <w:rFonts w:cs="Arial"/>
        </w:rPr>
        <w:t xml:space="preserve">and consolidated </w:t>
      </w:r>
      <w:r w:rsidR="00092ACB" w:rsidRPr="004978EB">
        <w:rPr>
          <w:rFonts w:cs="Arial"/>
        </w:rPr>
        <w:t>spectrum</w:t>
      </w:r>
      <w:r w:rsidR="00092ACB">
        <w:rPr>
          <w:rFonts w:cs="Arial"/>
        </w:rPr>
        <w:t xml:space="preserve"> arrangements</w:t>
      </w:r>
      <w:r w:rsidR="00092ACB" w:rsidRPr="004978EB">
        <w:rPr>
          <w:rFonts w:cs="Arial"/>
        </w:rPr>
        <w:t xml:space="preserve">. </w:t>
      </w:r>
      <w:bookmarkStart w:id="91" w:name="_Hlk5615656"/>
      <w:r w:rsidR="00116A99" w:rsidRPr="004978EB">
        <w:t>The length of this period is something that the ACMA is seeking feedback on.</w:t>
      </w:r>
      <w:bookmarkEnd w:id="91"/>
    </w:p>
    <w:p w14:paraId="26BE81A9" w14:textId="376F9B62" w:rsidR="009C7D0A" w:rsidRDefault="00706FF1" w:rsidP="00E644A1">
      <w:pPr>
        <w:rPr>
          <w:rFonts w:cs="Arial"/>
        </w:rPr>
      </w:pPr>
      <w:r w:rsidRPr="004978EB">
        <w:rPr>
          <w:rFonts w:cs="Arial"/>
        </w:rPr>
        <w:t xml:space="preserve">Once restack </w:t>
      </w:r>
      <w:r w:rsidR="00BA1F58" w:rsidRPr="004978EB">
        <w:rPr>
          <w:rFonts w:cs="Arial"/>
        </w:rPr>
        <w:t xml:space="preserve">is finalised, the ACMA </w:t>
      </w:r>
      <w:r w:rsidR="00A90CDE">
        <w:rPr>
          <w:rFonts w:cs="Arial"/>
        </w:rPr>
        <w:t xml:space="preserve">would </w:t>
      </w:r>
      <w:r w:rsidR="00BA1F58" w:rsidRPr="004978EB">
        <w:rPr>
          <w:rFonts w:cs="Arial"/>
        </w:rPr>
        <w:t>then consult</w:t>
      </w:r>
      <w:r w:rsidR="00BA1F58" w:rsidRPr="00BA1F58">
        <w:rPr>
          <w:rFonts w:cs="Arial"/>
        </w:rPr>
        <w:t xml:space="preserve"> on</w:t>
      </w:r>
      <w:r w:rsidR="009C7D0A">
        <w:rPr>
          <w:rFonts w:cs="Arial"/>
        </w:rPr>
        <w:t>,</w:t>
      </w:r>
      <w:r w:rsidR="00BA1F58" w:rsidRPr="00BA1F58">
        <w:rPr>
          <w:rFonts w:cs="Arial"/>
        </w:rPr>
        <w:t xml:space="preserve"> and recommend to the </w:t>
      </w:r>
      <w:r w:rsidR="006C5CDE">
        <w:rPr>
          <w:rFonts w:cs="Arial"/>
        </w:rPr>
        <w:t>m</w:t>
      </w:r>
      <w:r w:rsidR="00BA1F58" w:rsidRPr="00BA1F58">
        <w:rPr>
          <w:rFonts w:cs="Arial"/>
        </w:rPr>
        <w:t xml:space="preserve">inister that </w:t>
      </w:r>
      <w:r w:rsidR="009C7D0A">
        <w:rPr>
          <w:rFonts w:cs="Arial"/>
        </w:rPr>
        <w:t xml:space="preserve">the areas and frequencies covered by </w:t>
      </w:r>
      <w:r w:rsidR="00BA1F58" w:rsidRPr="00BA1F58">
        <w:rPr>
          <w:rFonts w:cs="Arial"/>
        </w:rPr>
        <w:t xml:space="preserve">NBN Co’s PTS licences be </w:t>
      </w:r>
      <w:r w:rsidR="009C7D0A">
        <w:rPr>
          <w:rFonts w:cs="Arial"/>
        </w:rPr>
        <w:t>designated for</w:t>
      </w:r>
      <w:r w:rsidR="009C7D0A" w:rsidRPr="00BA1F58">
        <w:rPr>
          <w:rFonts w:cs="Arial"/>
        </w:rPr>
        <w:t xml:space="preserve"> spectrum licen</w:t>
      </w:r>
      <w:r w:rsidR="009C7D0A">
        <w:rPr>
          <w:rFonts w:cs="Arial"/>
        </w:rPr>
        <w:t>sing</w:t>
      </w:r>
      <w:r w:rsidR="00BA1F58" w:rsidRPr="00BA1F58">
        <w:rPr>
          <w:rFonts w:cs="Arial"/>
        </w:rPr>
        <w:t xml:space="preserve">. </w:t>
      </w:r>
      <w:r w:rsidR="009C7D0A">
        <w:rPr>
          <w:rFonts w:cs="Arial"/>
        </w:rPr>
        <w:t>T</w:t>
      </w:r>
      <w:r w:rsidR="009C7D0A" w:rsidRPr="00BA1F58">
        <w:rPr>
          <w:rFonts w:cs="Arial"/>
        </w:rPr>
        <w:t xml:space="preserve">he </w:t>
      </w:r>
      <w:r w:rsidR="006C5CDE">
        <w:rPr>
          <w:rFonts w:cs="Arial"/>
        </w:rPr>
        <w:t>m</w:t>
      </w:r>
      <w:r w:rsidR="009C7D0A" w:rsidRPr="00BA1F58">
        <w:rPr>
          <w:rFonts w:cs="Arial"/>
        </w:rPr>
        <w:t xml:space="preserve">inister </w:t>
      </w:r>
      <w:r w:rsidR="009C7D0A">
        <w:rPr>
          <w:rFonts w:cs="Arial"/>
        </w:rPr>
        <w:t xml:space="preserve">may then </w:t>
      </w:r>
      <w:r w:rsidR="009C7D0A" w:rsidRPr="00BA1F58">
        <w:rPr>
          <w:rFonts w:cs="Arial"/>
        </w:rPr>
        <w:t>designate</w:t>
      </w:r>
      <w:r w:rsidR="009C7D0A">
        <w:rPr>
          <w:rFonts w:cs="Arial"/>
        </w:rPr>
        <w:t xml:space="preserve"> those</w:t>
      </w:r>
      <w:r w:rsidR="009C7D0A" w:rsidRPr="00BA1F58">
        <w:rPr>
          <w:rFonts w:cs="Arial"/>
        </w:rPr>
        <w:t xml:space="preserve"> relevant areas and frequencies for the issue of spectrum licences under s</w:t>
      </w:r>
      <w:r w:rsidR="009C7D0A">
        <w:rPr>
          <w:rFonts w:cs="Arial"/>
        </w:rPr>
        <w:t xml:space="preserve">ection </w:t>
      </w:r>
      <w:r w:rsidR="009C7D0A" w:rsidRPr="00BA1F58">
        <w:rPr>
          <w:rFonts w:cs="Arial"/>
        </w:rPr>
        <w:t>36 of the Act</w:t>
      </w:r>
      <w:r w:rsidR="00BA1F58" w:rsidRPr="00BA1F58">
        <w:rPr>
          <w:rFonts w:cs="Arial"/>
        </w:rPr>
        <w:t xml:space="preserve">. </w:t>
      </w:r>
    </w:p>
    <w:p w14:paraId="6A045882" w14:textId="449583AE" w:rsidR="00BA1F58" w:rsidRPr="005212CF" w:rsidRDefault="00671572" w:rsidP="00E644A1">
      <w:pPr>
        <w:rPr>
          <w:rFonts w:cs="Arial"/>
        </w:rPr>
      </w:pPr>
      <w:r w:rsidRPr="00BA1F58">
        <w:rPr>
          <w:rFonts w:cs="Arial"/>
        </w:rPr>
        <w:t xml:space="preserve">If such a designation is made, the ACMA </w:t>
      </w:r>
      <w:r>
        <w:rPr>
          <w:rFonts w:cs="Arial"/>
        </w:rPr>
        <w:t>is</w:t>
      </w:r>
      <w:r w:rsidRPr="00BA1F58">
        <w:rPr>
          <w:rFonts w:cs="Arial"/>
        </w:rPr>
        <w:t xml:space="preserve"> required to prepare a conversion plan under s</w:t>
      </w:r>
      <w:r>
        <w:rPr>
          <w:rFonts w:cs="Arial"/>
        </w:rPr>
        <w:t xml:space="preserve">ection </w:t>
      </w:r>
      <w:r w:rsidRPr="00BA1F58">
        <w:rPr>
          <w:rFonts w:cs="Arial"/>
        </w:rPr>
        <w:t xml:space="preserve">38 of the Act and commence </w:t>
      </w:r>
      <w:r>
        <w:rPr>
          <w:rFonts w:cs="Arial"/>
        </w:rPr>
        <w:t xml:space="preserve">processes concerning the conversion of NBN Co’s PTS licences </w:t>
      </w:r>
      <w:r w:rsidRPr="00BA1F58">
        <w:rPr>
          <w:rFonts w:cs="Arial"/>
        </w:rPr>
        <w:t>to spectrum licences (</w:t>
      </w:r>
      <w:r w:rsidRPr="003C5923">
        <w:rPr>
          <w:rFonts w:cs="Arial"/>
        </w:rPr>
        <w:t>Appendix D</w:t>
      </w:r>
      <w:r w:rsidRPr="00BA1F58">
        <w:rPr>
          <w:rFonts w:cs="Arial"/>
        </w:rPr>
        <w:t xml:space="preserve"> provides an overview of the conversion process)</w:t>
      </w:r>
      <w:r>
        <w:rPr>
          <w:rFonts w:cs="Arial"/>
        </w:rPr>
        <w:t xml:space="preserve">. </w:t>
      </w:r>
      <w:r w:rsidR="005212CF">
        <w:rPr>
          <w:rFonts w:cs="Arial"/>
        </w:rPr>
        <w:t xml:space="preserve">After </w:t>
      </w:r>
      <w:r w:rsidR="00BA1F58" w:rsidRPr="005212CF">
        <w:rPr>
          <w:rFonts w:cs="Arial"/>
        </w:rPr>
        <w:t>spectrum licences have been issued, defrag c</w:t>
      </w:r>
      <w:r w:rsidR="0007057E">
        <w:rPr>
          <w:rFonts w:cs="Arial"/>
        </w:rPr>
        <w:t>an then</w:t>
      </w:r>
      <w:r w:rsidR="00BA1F58" w:rsidRPr="005212CF">
        <w:rPr>
          <w:rFonts w:cs="Arial"/>
        </w:rPr>
        <w:t xml:space="preserve"> occur via any combination of </w:t>
      </w:r>
      <w:r w:rsidR="00DE47C6">
        <w:rPr>
          <w:rFonts w:cs="Arial"/>
        </w:rPr>
        <w:t>third-</w:t>
      </w:r>
      <w:r w:rsidR="00BA1F58" w:rsidRPr="005212CF">
        <w:rPr>
          <w:rFonts w:cs="Arial"/>
        </w:rPr>
        <w:t>party authorisations and/or trading</w:t>
      </w:r>
      <w:r w:rsidR="005212CF" w:rsidRPr="005212CF">
        <w:rPr>
          <w:rFonts w:cs="Arial"/>
        </w:rPr>
        <w:t xml:space="preserve"> between NBN Co and Optus</w:t>
      </w:r>
      <w:r w:rsidR="00BA1F58" w:rsidRPr="005212CF">
        <w:rPr>
          <w:rFonts w:cs="Arial"/>
        </w:rPr>
        <w:t xml:space="preserve">. </w:t>
      </w:r>
    </w:p>
    <w:p w14:paraId="393CA890" w14:textId="1266376A" w:rsidR="001A381E" w:rsidRDefault="00BA1F58" w:rsidP="00E644A1">
      <w:pPr>
        <w:rPr>
          <w:rFonts w:cs="Arial"/>
        </w:rPr>
      </w:pPr>
      <w:r>
        <w:rPr>
          <w:rFonts w:cs="Arial"/>
        </w:rPr>
        <w:t>Optus and NBN Co could wait until this step to commence the re</w:t>
      </w:r>
      <w:r w:rsidR="00671572">
        <w:rPr>
          <w:rFonts w:cs="Arial"/>
        </w:rPr>
        <w:t>tuning</w:t>
      </w:r>
      <w:r>
        <w:rPr>
          <w:rFonts w:cs="Arial"/>
        </w:rPr>
        <w:t xml:space="preserve"> of </w:t>
      </w:r>
      <w:r w:rsidR="00671572">
        <w:rPr>
          <w:rFonts w:cs="Arial"/>
        </w:rPr>
        <w:t xml:space="preserve">radiocommunications </w:t>
      </w:r>
      <w:r>
        <w:rPr>
          <w:rFonts w:cs="Arial"/>
        </w:rPr>
        <w:t xml:space="preserve">devices in </w:t>
      </w:r>
      <w:r w:rsidR="009531CB">
        <w:rPr>
          <w:rFonts w:cs="Arial"/>
        </w:rPr>
        <w:t>m</w:t>
      </w:r>
      <w:r>
        <w:rPr>
          <w:rFonts w:cs="Arial"/>
        </w:rPr>
        <w:t>etropolitan areas</w:t>
      </w:r>
      <w:r w:rsidR="00671572">
        <w:rPr>
          <w:rFonts w:cs="Arial"/>
        </w:rPr>
        <w:t xml:space="preserve"> to their consolidated spectrum holdings. However</w:t>
      </w:r>
      <w:r>
        <w:rPr>
          <w:rFonts w:cs="Arial"/>
        </w:rPr>
        <w:t>, to help speed</w:t>
      </w:r>
      <w:r w:rsidR="00DE47C6">
        <w:rPr>
          <w:rFonts w:cs="Arial"/>
        </w:rPr>
        <w:t xml:space="preserve"> </w:t>
      </w:r>
      <w:r>
        <w:rPr>
          <w:rFonts w:cs="Arial"/>
        </w:rPr>
        <w:t xml:space="preserve">up the process, they </w:t>
      </w:r>
      <w:r w:rsidR="0007057E">
        <w:rPr>
          <w:rFonts w:cs="Arial"/>
        </w:rPr>
        <w:t xml:space="preserve">may </w:t>
      </w:r>
      <w:r w:rsidR="00671572">
        <w:rPr>
          <w:rFonts w:cs="Arial"/>
        </w:rPr>
        <w:t xml:space="preserve">also </w:t>
      </w:r>
      <w:r>
        <w:rPr>
          <w:rFonts w:cs="Arial"/>
        </w:rPr>
        <w:t>consider sta</w:t>
      </w:r>
      <w:r w:rsidR="005212CF">
        <w:rPr>
          <w:rFonts w:cs="Arial"/>
        </w:rPr>
        <w:t>r</w:t>
      </w:r>
      <w:r>
        <w:rPr>
          <w:rFonts w:cs="Arial"/>
        </w:rPr>
        <w:t xml:space="preserve">ting this in parallel to the restack of </w:t>
      </w:r>
      <w:r w:rsidR="005212CF">
        <w:rPr>
          <w:rFonts w:cs="Arial"/>
        </w:rPr>
        <w:t>a</w:t>
      </w:r>
      <w:r>
        <w:rPr>
          <w:rFonts w:cs="Arial"/>
        </w:rPr>
        <w:t>pparatus licences</w:t>
      </w:r>
      <w:r w:rsidR="0007057E">
        <w:rPr>
          <w:rFonts w:cs="Arial"/>
        </w:rPr>
        <w:t xml:space="preserve">, </w:t>
      </w:r>
      <w:r w:rsidR="00C00929">
        <w:rPr>
          <w:rFonts w:cs="Arial"/>
        </w:rPr>
        <w:t>using</w:t>
      </w:r>
      <w:r w:rsidR="00DE47C6">
        <w:rPr>
          <w:rFonts w:cs="Arial"/>
        </w:rPr>
        <w:t xml:space="preserve"> third-</w:t>
      </w:r>
      <w:r w:rsidR="00706FF1">
        <w:rPr>
          <w:rFonts w:cs="Arial"/>
        </w:rPr>
        <w:t xml:space="preserve">party agreements. </w:t>
      </w:r>
      <w:r>
        <w:rPr>
          <w:rFonts w:cs="Arial"/>
        </w:rPr>
        <w:t>If required, t</w:t>
      </w:r>
      <w:r w:rsidR="00706FF1">
        <w:rPr>
          <w:rFonts w:cs="Arial"/>
        </w:rPr>
        <w:t>he ACMA w</w:t>
      </w:r>
      <w:r w:rsidR="00C00929">
        <w:rPr>
          <w:rFonts w:cs="Arial"/>
        </w:rPr>
        <w:t>ill</w:t>
      </w:r>
      <w:r>
        <w:rPr>
          <w:rFonts w:cs="Arial"/>
        </w:rPr>
        <w:t xml:space="preserve"> </w:t>
      </w:r>
      <w:r w:rsidR="00706FF1">
        <w:rPr>
          <w:rFonts w:cs="Arial"/>
        </w:rPr>
        <w:t>work with</w:t>
      </w:r>
      <w:r w:rsidR="005212CF">
        <w:rPr>
          <w:rFonts w:cs="Arial"/>
        </w:rPr>
        <w:t xml:space="preserve"> the</w:t>
      </w:r>
      <w:r w:rsidR="00706FF1">
        <w:rPr>
          <w:rFonts w:cs="Arial"/>
        </w:rPr>
        <w:t xml:space="preserve"> licensees to facilitate the deployment of wide</w:t>
      </w:r>
      <w:r>
        <w:rPr>
          <w:rFonts w:cs="Arial"/>
        </w:rPr>
        <w:t>-</w:t>
      </w:r>
      <w:r w:rsidR="00706FF1">
        <w:rPr>
          <w:rFonts w:cs="Arial"/>
        </w:rPr>
        <w:t>bandwidth devices across apparatus and spectrum licences devices</w:t>
      </w:r>
      <w:r>
        <w:rPr>
          <w:rFonts w:cs="Arial"/>
        </w:rPr>
        <w:t xml:space="preserve"> until the conversion and trading of licences is finalised</w:t>
      </w:r>
      <w:r w:rsidR="00706FF1">
        <w:rPr>
          <w:rFonts w:cs="Arial"/>
        </w:rPr>
        <w:t xml:space="preserve">. </w:t>
      </w:r>
    </w:p>
    <w:p w14:paraId="2EB34080" w14:textId="26917993" w:rsidR="001A381E" w:rsidRDefault="001A381E" w:rsidP="00E644A1">
      <w:pPr>
        <w:rPr>
          <w:rFonts w:cs="Arial"/>
        </w:rPr>
      </w:pPr>
      <w:r w:rsidRPr="005212CF">
        <w:rPr>
          <w:rFonts w:cs="Arial"/>
        </w:rPr>
        <w:t xml:space="preserve">Under </w:t>
      </w:r>
      <w:r w:rsidR="00421E87">
        <w:rPr>
          <w:rFonts w:cs="Arial"/>
        </w:rPr>
        <w:t xml:space="preserve">both </w:t>
      </w:r>
      <w:r w:rsidRPr="005212CF">
        <w:rPr>
          <w:rFonts w:cs="Arial"/>
        </w:rPr>
        <w:t>Option</w:t>
      </w:r>
      <w:r w:rsidR="00421E87">
        <w:rPr>
          <w:rFonts w:cs="Arial"/>
        </w:rPr>
        <w:t>s</w:t>
      </w:r>
      <w:r w:rsidRPr="005212CF">
        <w:rPr>
          <w:rFonts w:cs="Arial"/>
        </w:rPr>
        <w:t xml:space="preserve"> </w:t>
      </w:r>
      <w:r w:rsidR="008E53F8">
        <w:rPr>
          <w:rFonts w:cs="Arial"/>
        </w:rPr>
        <w:t>3</w:t>
      </w:r>
      <w:r w:rsidR="00421E87">
        <w:rPr>
          <w:rFonts w:cs="Arial"/>
        </w:rPr>
        <w:t>a and 3b</w:t>
      </w:r>
      <w:r w:rsidRPr="005212CF">
        <w:rPr>
          <w:rFonts w:cs="Arial"/>
        </w:rPr>
        <w:t xml:space="preserve">, the ACMA </w:t>
      </w:r>
      <w:r w:rsidR="00C00929">
        <w:rPr>
          <w:rFonts w:cs="Arial"/>
        </w:rPr>
        <w:t xml:space="preserve">will </w:t>
      </w:r>
      <w:r w:rsidRPr="005212CF">
        <w:rPr>
          <w:rFonts w:cs="Arial"/>
        </w:rPr>
        <w:t xml:space="preserve">not seek to introduce spectrum licensing in </w:t>
      </w:r>
      <w:r w:rsidR="005450A7">
        <w:rPr>
          <w:rFonts w:cs="Arial"/>
        </w:rPr>
        <w:t>r</w:t>
      </w:r>
      <w:r w:rsidRPr="005212CF">
        <w:rPr>
          <w:rFonts w:cs="Arial"/>
        </w:rPr>
        <w:t>emote areas. This is</w:t>
      </w:r>
      <w:r w:rsidR="00266082">
        <w:rPr>
          <w:rFonts w:cs="Arial"/>
        </w:rPr>
        <w:t xml:space="preserve"> in</w:t>
      </w:r>
      <w:r w:rsidRPr="005212CF">
        <w:rPr>
          <w:rFonts w:cs="Arial"/>
        </w:rPr>
        <w:t xml:space="preserve"> line with the decisions made as part of the ACMA’s </w:t>
      </w:r>
      <w:hyperlink r:id="rId43" w:history="1">
        <w:r w:rsidRPr="005212CF">
          <w:rPr>
            <w:rStyle w:val="Hyperlink"/>
            <w:rFonts w:cs="Arial"/>
          </w:rPr>
          <w:t>review of arrangements in the adjacent 3.6 GHz band</w:t>
        </w:r>
      </w:hyperlink>
      <w:r w:rsidRPr="005212CF">
        <w:rPr>
          <w:rFonts w:cs="Arial"/>
        </w:rPr>
        <w:t xml:space="preserve">. As a </w:t>
      </w:r>
      <w:r w:rsidR="006B7EE6">
        <w:rPr>
          <w:rFonts w:cs="Arial"/>
        </w:rPr>
        <w:t>result</w:t>
      </w:r>
      <w:r w:rsidRPr="005212CF">
        <w:rPr>
          <w:rFonts w:cs="Arial"/>
        </w:rPr>
        <w:t xml:space="preserve">, the existing apparatus licensing arrangements for PMP, amateur and FSS in remote areas could be extended to cover the entire </w:t>
      </w:r>
      <w:r w:rsidR="005619B4">
        <w:rPr>
          <w:rFonts w:cs="Arial"/>
        </w:rPr>
        <w:t>3400</w:t>
      </w:r>
      <w:r w:rsidR="00DE47C6">
        <w:rPr>
          <w:rFonts w:cs="Arial"/>
        </w:rPr>
        <w:t>–</w:t>
      </w:r>
      <w:r w:rsidR="005619B4">
        <w:rPr>
          <w:rFonts w:cs="Arial"/>
        </w:rPr>
        <w:t>3575 MHz</w:t>
      </w:r>
      <w:r w:rsidRPr="005212CF">
        <w:rPr>
          <w:rFonts w:cs="Arial"/>
        </w:rPr>
        <w:t xml:space="preserve"> band. This might also include consideration of apparatus licence arrangements across the broader 3400</w:t>
      </w:r>
      <w:r w:rsidR="00DE47C6">
        <w:rPr>
          <w:rFonts w:cs="Arial"/>
        </w:rPr>
        <w:t>–</w:t>
      </w:r>
      <w:r w:rsidRPr="005212CF">
        <w:rPr>
          <w:rFonts w:cs="Arial"/>
        </w:rPr>
        <w:t xml:space="preserve">3700 MHz frequency range in </w:t>
      </w:r>
      <w:r w:rsidR="005450A7">
        <w:rPr>
          <w:rFonts w:cs="Arial"/>
        </w:rPr>
        <w:t>r</w:t>
      </w:r>
      <w:r w:rsidRPr="005212CF">
        <w:rPr>
          <w:rFonts w:cs="Arial"/>
        </w:rPr>
        <w:t>emote areas.</w:t>
      </w:r>
    </w:p>
    <w:p w14:paraId="080F627E" w14:textId="1DAA5D72" w:rsidR="008E53F8" w:rsidRDefault="008E53F8" w:rsidP="00101749">
      <w:pPr>
        <w:rPr>
          <w:rFonts w:cs="Arial"/>
        </w:rPr>
      </w:pPr>
      <w:r>
        <w:rPr>
          <w:rFonts w:cs="Arial"/>
        </w:rPr>
        <w:t xml:space="preserve">The </w:t>
      </w:r>
      <w:r w:rsidRPr="006D0629">
        <w:rPr>
          <w:rFonts w:cs="Arial"/>
        </w:rPr>
        <w:t>final proposed arrangements under Option</w:t>
      </w:r>
      <w:r w:rsidR="00421E87" w:rsidRPr="006D0629">
        <w:rPr>
          <w:rFonts w:cs="Arial"/>
        </w:rPr>
        <w:t>s</w:t>
      </w:r>
      <w:r w:rsidRPr="006D0629">
        <w:rPr>
          <w:rFonts w:cs="Arial"/>
        </w:rPr>
        <w:t xml:space="preserve"> 3</w:t>
      </w:r>
      <w:r w:rsidR="00421E87" w:rsidRPr="006D0629">
        <w:rPr>
          <w:rFonts w:cs="Arial"/>
        </w:rPr>
        <w:t>a</w:t>
      </w:r>
      <w:r w:rsidRPr="006D0629">
        <w:rPr>
          <w:rFonts w:cs="Arial"/>
        </w:rPr>
        <w:t xml:space="preserve"> </w:t>
      </w:r>
      <w:r w:rsidR="00421E87" w:rsidRPr="006D0629">
        <w:rPr>
          <w:rFonts w:cs="Arial"/>
        </w:rPr>
        <w:t>and 3b</w:t>
      </w:r>
      <w:r w:rsidR="00DE47C6">
        <w:rPr>
          <w:rFonts w:cs="Arial"/>
        </w:rPr>
        <w:t>—</w:t>
      </w:r>
      <w:r w:rsidRPr="006D0629">
        <w:rPr>
          <w:rFonts w:cs="Arial"/>
        </w:rPr>
        <w:t>Phase 1</w:t>
      </w:r>
      <w:r w:rsidR="00DE47C6">
        <w:rPr>
          <w:rFonts w:cs="Arial"/>
        </w:rPr>
        <w:t>—</w:t>
      </w:r>
      <w:r w:rsidRPr="006D0629">
        <w:rPr>
          <w:rFonts w:cs="Arial"/>
        </w:rPr>
        <w:t xml:space="preserve">are displayed in Figure </w:t>
      </w:r>
      <w:r w:rsidR="00A72636" w:rsidRPr="006D0629">
        <w:rPr>
          <w:rFonts w:cs="Arial"/>
        </w:rPr>
        <w:t>5</w:t>
      </w:r>
      <w:r w:rsidR="00101749" w:rsidRPr="006D0629">
        <w:rPr>
          <w:rFonts w:cs="Arial"/>
        </w:rPr>
        <w:t>.</w:t>
      </w:r>
      <w:r w:rsidR="00101749">
        <w:rPr>
          <w:rFonts w:cs="Arial"/>
        </w:rPr>
        <w:t xml:space="preserve"> </w:t>
      </w:r>
    </w:p>
    <w:p w14:paraId="665C6071" w14:textId="5786ADB2" w:rsidR="00CD51FE" w:rsidRPr="00AC2CAC" w:rsidRDefault="00CD51FE" w:rsidP="003C1B83">
      <w:pPr>
        <w:pStyle w:val="ListParagraph"/>
        <w:numPr>
          <w:ilvl w:val="0"/>
          <w:numId w:val="64"/>
        </w:numPr>
        <w:shd w:val="clear" w:color="auto" w:fill="F2F2F2" w:themeFill="background1" w:themeFillShade="F2"/>
        <w:spacing w:before="120" w:after="120" w:line="240" w:lineRule="auto"/>
        <w:contextualSpacing w:val="0"/>
        <w:rPr>
          <w:b/>
        </w:rPr>
      </w:pPr>
      <w:bookmarkStart w:id="92" w:name="_Hlk5797594"/>
      <w:r>
        <w:rPr>
          <w:b/>
        </w:rPr>
        <w:t>If Option 3a or 3b are adopted, do stakeholders have views on the period of time incumbent apparatus licensees should be given to implement restack</w:t>
      </w:r>
      <w:r w:rsidR="00DE47C6">
        <w:rPr>
          <w:b/>
        </w:rPr>
        <w:t>?</w:t>
      </w:r>
      <w:r>
        <w:rPr>
          <w:b/>
        </w:rPr>
        <w:t xml:space="preserve"> (</w:t>
      </w:r>
      <w:r w:rsidR="00DE47C6">
        <w:rPr>
          <w:b/>
        </w:rPr>
        <w:t>N</w:t>
      </w:r>
      <w:r>
        <w:rPr>
          <w:b/>
        </w:rPr>
        <w:t>oting effected licences would not be reissued on existing frequencies beyond this point</w:t>
      </w:r>
      <w:r w:rsidR="00DE47C6">
        <w:rPr>
          <w:b/>
        </w:rPr>
        <w:t>.</w:t>
      </w:r>
      <w:r>
        <w:rPr>
          <w:b/>
        </w:rPr>
        <w:t xml:space="preserve">) </w:t>
      </w:r>
    </w:p>
    <w:p w14:paraId="4B21DDA1" w14:textId="703D57A6" w:rsidR="00CD51FE" w:rsidRPr="00AC2CAC" w:rsidRDefault="00CD51FE" w:rsidP="003C5923">
      <w:pPr>
        <w:pStyle w:val="ListParagraph"/>
        <w:numPr>
          <w:ilvl w:val="0"/>
          <w:numId w:val="64"/>
        </w:numPr>
        <w:shd w:val="clear" w:color="auto" w:fill="F2F2F2" w:themeFill="background1" w:themeFillShade="F2"/>
        <w:spacing w:before="120" w:line="240" w:lineRule="auto"/>
        <w:ind w:left="357" w:hanging="357"/>
        <w:contextualSpacing w:val="0"/>
        <w:rPr>
          <w:b/>
        </w:rPr>
      </w:pPr>
      <w:r>
        <w:rPr>
          <w:b/>
        </w:rPr>
        <w:t xml:space="preserve">If Option 3a or 3b are adopted, do stakeholders have views on how long the re-allocation period should be? </w:t>
      </w:r>
    </w:p>
    <w:bookmarkEnd w:id="92"/>
    <w:p w14:paraId="1A1E8F65" w14:textId="50ED8A6D" w:rsidR="003A36B4" w:rsidRPr="00C54757" w:rsidRDefault="003050E6" w:rsidP="003C5923">
      <w:pPr>
        <w:pStyle w:val="BodySubHeader"/>
      </w:pPr>
      <w:r>
        <w:t>Variant</w:t>
      </w:r>
      <w:r w:rsidR="00DE47C6">
        <w:t>—</w:t>
      </w:r>
      <w:r w:rsidR="003A36B4" w:rsidRPr="00C54757">
        <w:t>Phase 1</w:t>
      </w:r>
    </w:p>
    <w:p w14:paraId="67AC7559" w14:textId="3E9F4318" w:rsidR="003A36B4" w:rsidRDefault="003050E6" w:rsidP="003C5923">
      <w:pPr>
        <w:spacing w:after="80"/>
        <w:rPr>
          <w:rFonts w:cs="Arial"/>
        </w:rPr>
      </w:pPr>
      <w:r>
        <w:rPr>
          <w:rFonts w:cs="Arial"/>
        </w:rPr>
        <w:t>The ACMA has also identified a possible variant to Phase 1</w:t>
      </w:r>
      <w:r w:rsidR="00786EA9">
        <w:rPr>
          <w:rFonts w:cs="Arial"/>
        </w:rPr>
        <w:t xml:space="preserve"> for consideration</w:t>
      </w:r>
      <w:r>
        <w:rPr>
          <w:rFonts w:cs="Arial"/>
        </w:rPr>
        <w:t>. This variant follows the same steps as described previously</w:t>
      </w:r>
      <w:r w:rsidR="00786EA9">
        <w:rPr>
          <w:rFonts w:cs="Arial"/>
        </w:rPr>
        <w:t xml:space="preserve"> for Phase 1</w:t>
      </w:r>
      <w:r w:rsidR="00DE47C6">
        <w:rPr>
          <w:rFonts w:cs="Arial"/>
        </w:rPr>
        <w:t>,</w:t>
      </w:r>
      <w:r>
        <w:rPr>
          <w:rFonts w:cs="Arial"/>
        </w:rPr>
        <w:t xml:space="preserve"> with </w:t>
      </w:r>
      <w:r w:rsidR="003A36B4">
        <w:rPr>
          <w:rFonts w:cs="Arial"/>
        </w:rPr>
        <w:t xml:space="preserve">the following </w:t>
      </w:r>
      <w:r>
        <w:rPr>
          <w:rFonts w:cs="Arial"/>
        </w:rPr>
        <w:t>changes</w:t>
      </w:r>
      <w:r w:rsidR="003A36B4">
        <w:rPr>
          <w:rFonts w:cs="Arial"/>
        </w:rPr>
        <w:t>:</w:t>
      </w:r>
    </w:p>
    <w:p w14:paraId="5E1ED6A2" w14:textId="43E461EC" w:rsidR="003A36B4" w:rsidRDefault="003A36B4" w:rsidP="004978EB">
      <w:pPr>
        <w:pStyle w:val="ListBullet"/>
        <w:numPr>
          <w:ilvl w:val="0"/>
          <w:numId w:val="18"/>
        </w:numPr>
        <w:tabs>
          <w:tab w:val="num" w:pos="295"/>
        </w:tabs>
        <w:spacing w:line="240" w:lineRule="auto"/>
        <w:ind w:left="295" w:hanging="295"/>
        <w:rPr>
          <w:rFonts w:cs="Arial"/>
        </w:rPr>
      </w:pPr>
      <w:r>
        <w:rPr>
          <w:rFonts w:cs="Arial"/>
        </w:rPr>
        <w:lastRenderedPageBreak/>
        <w:t xml:space="preserve">apparatus licence restack </w:t>
      </w:r>
      <w:r w:rsidR="002A0C94">
        <w:rPr>
          <w:rFonts w:cs="Arial"/>
        </w:rPr>
        <w:t xml:space="preserve">is </w:t>
      </w:r>
      <w:r>
        <w:rPr>
          <w:rFonts w:cs="Arial"/>
        </w:rPr>
        <w:t>limited to regional areas</w:t>
      </w:r>
    </w:p>
    <w:p w14:paraId="601CF5FE" w14:textId="2B8D6AE9" w:rsidR="003A36B4" w:rsidRDefault="003A36B4" w:rsidP="004978EB">
      <w:pPr>
        <w:pStyle w:val="ListBullet"/>
        <w:numPr>
          <w:ilvl w:val="0"/>
          <w:numId w:val="18"/>
        </w:numPr>
        <w:tabs>
          <w:tab w:val="num" w:pos="295"/>
        </w:tabs>
        <w:spacing w:line="240" w:lineRule="auto"/>
        <w:ind w:left="295" w:hanging="295"/>
        <w:rPr>
          <w:rFonts w:cs="Arial"/>
        </w:rPr>
      </w:pPr>
      <w:r w:rsidRPr="002C16AD">
        <w:rPr>
          <w:rFonts w:cs="Arial"/>
        </w:rPr>
        <w:t xml:space="preserve">the </w:t>
      </w:r>
      <w:r>
        <w:rPr>
          <w:rFonts w:cs="Arial"/>
        </w:rPr>
        <w:t>ACMA convert</w:t>
      </w:r>
      <w:r w:rsidR="00C00929">
        <w:rPr>
          <w:rFonts w:cs="Arial"/>
        </w:rPr>
        <w:t>s</w:t>
      </w:r>
      <w:r>
        <w:rPr>
          <w:rFonts w:cs="Arial"/>
        </w:rPr>
        <w:t xml:space="preserve"> </w:t>
      </w:r>
      <w:r w:rsidR="009531CB">
        <w:rPr>
          <w:rFonts w:cs="Arial"/>
        </w:rPr>
        <w:t>m</w:t>
      </w:r>
      <w:r w:rsidRPr="002C16AD">
        <w:rPr>
          <w:rFonts w:cs="Arial"/>
        </w:rPr>
        <w:t>etropolitan areas of NBN Co’s PTS licences</w:t>
      </w:r>
      <w:r w:rsidR="002A0C94">
        <w:rPr>
          <w:rFonts w:cs="Arial"/>
        </w:rPr>
        <w:t xml:space="preserve"> to spectrum licences</w:t>
      </w:r>
      <w:r w:rsidRPr="002C16AD">
        <w:rPr>
          <w:rFonts w:cs="Arial"/>
        </w:rPr>
        <w:t xml:space="preserve"> </w:t>
      </w:r>
      <w:r>
        <w:rPr>
          <w:rFonts w:cs="Arial"/>
        </w:rPr>
        <w:t>in parallel to the restack of apparatus licences in regional areas</w:t>
      </w:r>
    </w:p>
    <w:p w14:paraId="5215F5C0" w14:textId="4B085E22" w:rsidR="003A36B4" w:rsidRPr="002C16AD" w:rsidRDefault="003A36B4" w:rsidP="004978EB">
      <w:pPr>
        <w:pStyle w:val="ListBullet"/>
        <w:numPr>
          <w:ilvl w:val="0"/>
          <w:numId w:val="18"/>
        </w:numPr>
        <w:tabs>
          <w:tab w:val="num" w:pos="295"/>
        </w:tabs>
        <w:spacing w:line="240" w:lineRule="auto"/>
        <w:ind w:left="295" w:hanging="295"/>
      </w:pPr>
      <w:r>
        <w:t>the ACMA convert</w:t>
      </w:r>
      <w:r w:rsidR="00C00929">
        <w:t>s</w:t>
      </w:r>
      <w:r>
        <w:t xml:space="preserve"> the remaining regional areas of NBN Co’s PTS licences </w:t>
      </w:r>
      <w:r w:rsidR="002A0C94">
        <w:t xml:space="preserve">to spectrum licences </w:t>
      </w:r>
      <w:r>
        <w:t>once restack has been completed.</w:t>
      </w:r>
      <w:r w:rsidRPr="002C16AD">
        <w:t xml:space="preserve"> </w:t>
      </w:r>
    </w:p>
    <w:p w14:paraId="3499A965" w14:textId="6B4B2DC1" w:rsidR="006B518E" w:rsidRDefault="003A36B4" w:rsidP="004978EB">
      <w:pPr>
        <w:spacing w:before="240"/>
        <w:rPr>
          <w:rFonts w:cs="Arial"/>
        </w:rPr>
      </w:pPr>
      <w:r>
        <w:rPr>
          <w:rFonts w:cs="Arial"/>
        </w:rPr>
        <w:t xml:space="preserve">The intention of this </w:t>
      </w:r>
      <w:r w:rsidR="00EE1F80">
        <w:rPr>
          <w:rFonts w:cs="Arial"/>
        </w:rPr>
        <w:t>varia</w:t>
      </w:r>
      <w:r w:rsidR="00C00929">
        <w:rPr>
          <w:rFonts w:cs="Arial"/>
        </w:rPr>
        <w:t>tion</w:t>
      </w:r>
      <w:r>
        <w:rPr>
          <w:rFonts w:cs="Arial"/>
        </w:rPr>
        <w:t xml:space="preserve"> is to explore whether an earlier implementation of the same licence type in </w:t>
      </w:r>
      <w:r w:rsidR="0066064F">
        <w:rPr>
          <w:rFonts w:cs="Arial"/>
        </w:rPr>
        <w:t>m</w:t>
      </w:r>
      <w:r>
        <w:rPr>
          <w:rFonts w:cs="Arial"/>
        </w:rPr>
        <w:t xml:space="preserve">etropolitan areas </w:t>
      </w:r>
      <w:r w:rsidR="00C00929">
        <w:rPr>
          <w:rFonts w:cs="Arial"/>
        </w:rPr>
        <w:t xml:space="preserve">offer </w:t>
      </w:r>
      <w:r>
        <w:rPr>
          <w:rFonts w:cs="Arial"/>
        </w:rPr>
        <w:t xml:space="preserve">greater certainty for negotiations on defrag to occur. </w:t>
      </w:r>
    </w:p>
    <w:p w14:paraId="25E71384" w14:textId="02B7F052" w:rsidR="008E53F8" w:rsidRDefault="008E53F8" w:rsidP="008E53F8">
      <w:pPr>
        <w:pStyle w:val="ACMAFigureHeader"/>
        <w:spacing w:before="360"/>
      </w:pPr>
      <w:r>
        <w:t>Arrangements in the 3400</w:t>
      </w:r>
      <w:r w:rsidR="00DE47C6">
        <w:t>–</w:t>
      </w:r>
      <w:r>
        <w:t>3575 MHz band under Option 3</w:t>
      </w:r>
      <w:r w:rsidR="00421E87">
        <w:t>a and 3b</w:t>
      </w:r>
      <w:r w:rsidR="00DE47C6">
        <w:t>—</w:t>
      </w:r>
      <w:r>
        <w:t xml:space="preserve"> Phase 1</w:t>
      </w:r>
    </w:p>
    <w:p w14:paraId="2CE471B7" w14:textId="77777777" w:rsidR="008E53F8" w:rsidRPr="00B874C6" w:rsidRDefault="008E53F8" w:rsidP="008E53F8">
      <w:pPr>
        <w:pStyle w:val="ACMAFigureHeader"/>
        <w:numPr>
          <w:ilvl w:val="0"/>
          <w:numId w:val="0"/>
        </w:numPr>
        <w:spacing w:after="240"/>
        <w:ind w:left="1021"/>
        <w:rPr>
          <w:i/>
          <w:sz w:val="16"/>
          <w:szCs w:val="16"/>
        </w:rPr>
      </w:pPr>
      <w:r w:rsidRPr="00FD12E6">
        <w:rPr>
          <w:i/>
          <w:sz w:val="16"/>
          <w:szCs w:val="16"/>
        </w:rPr>
        <w:t>FSS = fixed satellite service, PMP = point-to-multipoint, SL = spectrum licence</w:t>
      </w:r>
    </w:p>
    <w:p w14:paraId="52EB4D40" w14:textId="658B191B" w:rsidR="008E53F8" w:rsidRDefault="00E34854" w:rsidP="007B2ED3">
      <w:pPr>
        <w:spacing w:after="120"/>
        <w:rPr>
          <w:rFonts w:cs="Arial"/>
        </w:rPr>
      </w:pPr>
      <w:r>
        <w:rPr>
          <w:noProof/>
        </w:rPr>
        <w:drawing>
          <wp:inline distT="0" distB="0" distL="0" distR="0" wp14:anchorId="1705C7B4" wp14:editId="1C920753">
            <wp:extent cx="6094730" cy="3625375"/>
            <wp:effectExtent l="0" t="0" r="127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6097950" cy="3627290"/>
                    </a:xfrm>
                    <a:prstGeom prst="rect">
                      <a:avLst/>
                    </a:prstGeom>
                  </pic:spPr>
                </pic:pic>
              </a:graphicData>
            </a:graphic>
          </wp:inline>
        </w:drawing>
      </w:r>
    </w:p>
    <w:p w14:paraId="35FD35C9" w14:textId="3BCBA20D" w:rsidR="00C54757" w:rsidRPr="0009112D" w:rsidRDefault="00C54757" w:rsidP="003C5923">
      <w:pPr>
        <w:pStyle w:val="BodySubHeader"/>
      </w:pPr>
      <w:r w:rsidRPr="0009112D">
        <w:t>Option</w:t>
      </w:r>
      <w:r w:rsidR="00421E87" w:rsidRPr="0009112D">
        <w:t>s</w:t>
      </w:r>
      <w:r w:rsidRPr="0009112D">
        <w:t xml:space="preserve"> 3</w:t>
      </w:r>
      <w:r w:rsidR="00421E87" w:rsidRPr="0009112D">
        <w:t>a and 3b</w:t>
      </w:r>
      <w:r w:rsidR="00672C79">
        <w:t>—</w:t>
      </w:r>
      <w:r w:rsidRPr="0009112D">
        <w:t>Phase 2</w:t>
      </w:r>
    </w:p>
    <w:p w14:paraId="4E461E11" w14:textId="0E149901" w:rsidR="004A1C68" w:rsidRDefault="00C54757" w:rsidP="006D51E8">
      <w:pPr>
        <w:spacing w:after="120"/>
        <w:rPr>
          <w:rFonts w:cs="Arial"/>
        </w:rPr>
      </w:pPr>
      <w:r>
        <w:rPr>
          <w:rFonts w:cs="Arial"/>
        </w:rPr>
        <w:t>Phase 2 is an optional process that notionally begin</w:t>
      </w:r>
      <w:r w:rsidR="003A03F1">
        <w:rPr>
          <w:rFonts w:cs="Arial"/>
        </w:rPr>
        <w:t>s</w:t>
      </w:r>
      <w:r>
        <w:rPr>
          <w:rFonts w:cs="Arial"/>
        </w:rPr>
        <w:t xml:space="preserve"> following the completion of Phase 1</w:t>
      </w:r>
      <w:r w:rsidR="00B901A7">
        <w:rPr>
          <w:rFonts w:cs="Arial"/>
        </w:rPr>
        <w:t>, though w</w:t>
      </w:r>
      <w:r w:rsidR="00F25313">
        <w:rPr>
          <w:rFonts w:cs="Arial"/>
        </w:rPr>
        <w:t>h</w:t>
      </w:r>
      <w:r w:rsidR="00B901A7">
        <w:rPr>
          <w:rFonts w:cs="Arial"/>
        </w:rPr>
        <w:t>ere possible the ACMA c</w:t>
      </w:r>
      <w:r w:rsidR="00F75386">
        <w:rPr>
          <w:rFonts w:cs="Arial"/>
        </w:rPr>
        <w:t>ould</w:t>
      </w:r>
      <w:r w:rsidR="00B901A7">
        <w:rPr>
          <w:rFonts w:cs="Arial"/>
        </w:rPr>
        <w:t xml:space="preserve"> commence some work in parallel</w:t>
      </w:r>
      <w:r>
        <w:rPr>
          <w:rFonts w:cs="Arial"/>
        </w:rPr>
        <w:t xml:space="preserve">. </w:t>
      </w:r>
      <w:r w:rsidR="004A1C68">
        <w:rPr>
          <w:rFonts w:cs="Arial"/>
        </w:rPr>
        <w:t xml:space="preserve">The aim of this phase is to focus on </w:t>
      </w:r>
      <w:r w:rsidR="00CD4808">
        <w:rPr>
          <w:rFonts w:cs="Arial"/>
        </w:rPr>
        <w:t xml:space="preserve">making more spectrum available for wireless broadband use and </w:t>
      </w:r>
      <w:r w:rsidR="004A1C68">
        <w:rPr>
          <w:rFonts w:cs="Arial"/>
        </w:rPr>
        <w:t xml:space="preserve">the defragmentation of spectrum and apparatus licence arrangements in </w:t>
      </w:r>
      <w:r w:rsidR="0066064F">
        <w:rPr>
          <w:rFonts w:cs="Arial"/>
        </w:rPr>
        <w:t>m</w:t>
      </w:r>
      <w:r w:rsidR="004A1C68">
        <w:rPr>
          <w:rFonts w:cs="Arial"/>
        </w:rPr>
        <w:t xml:space="preserve">ajor </w:t>
      </w:r>
      <w:r w:rsidR="00D82563">
        <w:rPr>
          <w:rFonts w:cs="Arial"/>
        </w:rPr>
        <w:t>r</w:t>
      </w:r>
      <w:r w:rsidR="004A1C68">
        <w:rPr>
          <w:rFonts w:cs="Arial"/>
        </w:rPr>
        <w:t xml:space="preserve">egional </w:t>
      </w:r>
      <w:r w:rsidR="00D82563">
        <w:rPr>
          <w:rFonts w:cs="Arial"/>
        </w:rPr>
        <w:t>c</w:t>
      </w:r>
      <w:r w:rsidR="004A1C68">
        <w:rPr>
          <w:rFonts w:cs="Arial"/>
        </w:rPr>
        <w:t xml:space="preserve">entres and the remaining </w:t>
      </w:r>
      <w:r w:rsidR="0066064F">
        <w:rPr>
          <w:rFonts w:cs="Arial"/>
        </w:rPr>
        <w:t>r</w:t>
      </w:r>
      <w:r w:rsidR="004A1C68">
        <w:rPr>
          <w:rFonts w:cs="Arial"/>
        </w:rPr>
        <w:t xml:space="preserve">egional areas. </w:t>
      </w:r>
    </w:p>
    <w:p w14:paraId="551B94C9" w14:textId="4AF28E46" w:rsidR="00EE1F80" w:rsidRDefault="00E5463D" w:rsidP="00E644A1">
      <w:r>
        <w:rPr>
          <w:rFonts w:cs="Arial"/>
        </w:rPr>
        <w:t xml:space="preserve">Two </w:t>
      </w:r>
      <w:r w:rsidR="006B518E">
        <w:rPr>
          <w:rFonts w:cs="Arial"/>
        </w:rPr>
        <w:t xml:space="preserve">outcomes are identified under Phase 2 and are referred to as Options 3a and 3b. </w:t>
      </w:r>
      <w:r w:rsidR="003050E6">
        <w:rPr>
          <w:rFonts w:cs="Arial"/>
        </w:rPr>
        <w:t>Th</w:t>
      </w:r>
      <w:r w:rsidR="006B518E">
        <w:rPr>
          <w:rFonts w:cs="Arial"/>
        </w:rPr>
        <w:t>e</w:t>
      </w:r>
      <w:r w:rsidR="003050E6">
        <w:rPr>
          <w:rFonts w:cs="Arial"/>
        </w:rPr>
        <w:t xml:space="preserve"> difference between Option 3a and 3b is the amount of spectrum that is re-allocated for the issue of spectrum licences. </w:t>
      </w:r>
    </w:p>
    <w:p w14:paraId="2F8E32CB" w14:textId="0718FE14" w:rsidR="003A36B4" w:rsidRDefault="00CB44E7" w:rsidP="00E644A1">
      <w:pPr>
        <w:rPr>
          <w:rFonts w:cs="Arial"/>
        </w:rPr>
      </w:pPr>
      <w:r>
        <w:t xml:space="preserve">In </w:t>
      </w:r>
      <w:r w:rsidR="003A36B4">
        <w:t>this phase</w:t>
      </w:r>
      <w:r w:rsidR="008E53F8">
        <w:t>,</w:t>
      </w:r>
      <w:r w:rsidR="00101749">
        <w:t xml:space="preserve"> the ACMA consult</w:t>
      </w:r>
      <w:r w:rsidR="003A03F1">
        <w:t>s</w:t>
      </w:r>
      <w:r w:rsidR="00101749">
        <w:t xml:space="preserve"> on re-allocating some or </w:t>
      </w:r>
      <w:r>
        <w:t>all</w:t>
      </w:r>
      <w:r w:rsidR="00101749">
        <w:t xml:space="preserve"> the remaining areas for the issue of spectrum licences</w:t>
      </w:r>
      <w:r>
        <w:t xml:space="preserve"> (depending on the option)</w:t>
      </w:r>
      <w:r w:rsidR="00101749">
        <w:t>.</w:t>
      </w:r>
      <w:r w:rsidR="00B901A7">
        <w:t xml:space="preserve"> </w:t>
      </w:r>
      <w:r w:rsidR="00101749">
        <w:t xml:space="preserve">This </w:t>
      </w:r>
      <w:r w:rsidR="0085266A">
        <w:t>consultation</w:t>
      </w:r>
      <w:r w:rsidR="003A03F1">
        <w:t xml:space="preserve"> is </w:t>
      </w:r>
      <w:r w:rsidR="00101749">
        <w:t xml:space="preserve">conducted </w:t>
      </w:r>
      <w:r w:rsidR="00B85287">
        <w:t xml:space="preserve">and released </w:t>
      </w:r>
      <w:r w:rsidR="00101749">
        <w:t>using the same mechanisms and approach discussed under Option 2a</w:t>
      </w:r>
      <w:r w:rsidR="00116A99">
        <w:t>, noting</w:t>
      </w:r>
      <w:r w:rsidR="003A03F1">
        <w:t xml:space="preserve"> a</w:t>
      </w:r>
      <w:r w:rsidR="00116A99">
        <w:t xml:space="preserve"> </w:t>
      </w:r>
      <w:r w:rsidR="00116A99" w:rsidRPr="003A36B4">
        <w:rPr>
          <w:rFonts w:cs="Arial"/>
        </w:rPr>
        <w:t>suitable re-allocation period need</w:t>
      </w:r>
      <w:r w:rsidR="003A03F1">
        <w:rPr>
          <w:rFonts w:cs="Arial"/>
        </w:rPr>
        <w:t>s</w:t>
      </w:r>
      <w:r w:rsidR="00116A99" w:rsidRPr="003A36B4">
        <w:rPr>
          <w:rFonts w:cs="Arial"/>
        </w:rPr>
        <w:t xml:space="preserve"> to be determined. </w:t>
      </w:r>
      <w:r w:rsidR="00B85287" w:rsidRPr="003A36B4">
        <w:rPr>
          <w:rFonts w:cs="Arial"/>
        </w:rPr>
        <w:t xml:space="preserve">The Earth station protection zones defined in </w:t>
      </w:r>
      <w:hyperlink r:id="rId45" w:history="1">
        <w:r w:rsidR="00B85287" w:rsidRPr="003A36B4">
          <w:rPr>
            <w:rStyle w:val="Hyperlink"/>
            <w:rFonts w:cs="Arial"/>
          </w:rPr>
          <w:t>RALI MS44</w:t>
        </w:r>
      </w:hyperlink>
      <w:r w:rsidR="00B85287" w:rsidRPr="003A36B4">
        <w:rPr>
          <w:rFonts w:cs="Arial"/>
        </w:rPr>
        <w:t xml:space="preserve"> </w:t>
      </w:r>
      <w:r w:rsidR="003A03F1">
        <w:rPr>
          <w:rFonts w:cs="Arial"/>
        </w:rPr>
        <w:t>are</w:t>
      </w:r>
      <w:r w:rsidR="0085266A">
        <w:rPr>
          <w:rFonts w:cs="Arial"/>
        </w:rPr>
        <w:t xml:space="preserve"> </w:t>
      </w:r>
      <w:r w:rsidR="003A36B4">
        <w:rPr>
          <w:rFonts w:cs="Arial"/>
        </w:rPr>
        <w:t xml:space="preserve">also </w:t>
      </w:r>
      <w:r w:rsidR="00B85287" w:rsidRPr="003A36B4">
        <w:rPr>
          <w:rFonts w:cs="Arial"/>
        </w:rPr>
        <w:t>be</w:t>
      </w:r>
      <w:r w:rsidR="0085266A">
        <w:rPr>
          <w:rFonts w:cs="Arial"/>
        </w:rPr>
        <w:t xml:space="preserve"> </w:t>
      </w:r>
      <w:r w:rsidR="00B85287" w:rsidRPr="003A36B4">
        <w:rPr>
          <w:rFonts w:cs="Arial"/>
        </w:rPr>
        <w:t xml:space="preserve">excised from any re-allocation process to support current and future FSS use at those locations. </w:t>
      </w:r>
    </w:p>
    <w:p w14:paraId="181276DC" w14:textId="3C352F1E" w:rsidR="007B125B" w:rsidRPr="003A36B4" w:rsidRDefault="00B85287" w:rsidP="00E644A1">
      <w:r w:rsidRPr="003A36B4">
        <w:rPr>
          <w:rFonts w:cs="Arial"/>
        </w:rPr>
        <w:t xml:space="preserve">Once spectrum licences </w:t>
      </w:r>
      <w:r w:rsidR="003A03F1">
        <w:rPr>
          <w:rFonts w:cs="Arial"/>
        </w:rPr>
        <w:t>are</w:t>
      </w:r>
      <w:r w:rsidRPr="003A36B4">
        <w:rPr>
          <w:rFonts w:cs="Arial"/>
        </w:rPr>
        <w:t xml:space="preserve"> issued, defrag c</w:t>
      </w:r>
      <w:r w:rsidR="003A03F1">
        <w:rPr>
          <w:rFonts w:cs="Arial"/>
        </w:rPr>
        <w:t>an</w:t>
      </w:r>
      <w:r w:rsidRPr="003A36B4">
        <w:rPr>
          <w:rFonts w:cs="Arial"/>
        </w:rPr>
        <w:t xml:space="preserve"> occur via any combination of </w:t>
      </w:r>
      <w:r w:rsidR="0066064F">
        <w:rPr>
          <w:rFonts w:cs="Arial"/>
        </w:rPr>
        <w:t>third-</w:t>
      </w:r>
      <w:r w:rsidRPr="003A36B4">
        <w:rPr>
          <w:rFonts w:cs="Arial"/>
        </w:rPr>
        <w:t>party authorisations and/or trading.</w:t>
      </w:r>
      <w:r>
        <w:t xml:space="preserve"> </w:t>
      </w:r>
      <w:r w:rsidR="00713847" w:rsidRPr="005450A7">
        <w:t>Those frequencies and areas not re-</w:t>
      </w:r>
      <w:r w:rsidR="00713847" w:rsidRPr="005450A7">
        <w:rPr>
          <w:rFonts w:cs="Arial"/>
        </w:rPr>
        <w:t xml:space="preserve">allocated for </w:t>
      </w:r>
      <w:r w:rsidR="00713847" w:rsidRPr="005450A7">
        <w:rPr>
          <w:rFonts w:cs="Arial"/>
        </w:rPr>
        <w:lastRenderedPageBreak/>
        <w:t>the issue of spectrum licences c</w:t>
      </w:r>
      <w:r w:rsidR="003A03F1" w:rsidRPr="005450A7">
        <w:rPr>
          <w:rFonts w:cs="Arial"/>
        </w:rPr>
        <w:t>an</w:t>
      </w:r>
      <w:r w:rsidR="00713847" w:rsidRPr="005450A7">
        <w:rPr>
          <w:rFonts w:cs="Arial"/>
        </w:rPr>
        <w:t xml:space="preserve"> be made available for PMP licensing. </w:t>
      </w:r>
      <w:r w:rsidRPr="005450A7">
        <w:rPr>
          <w:rFonts w:cs="Arial"/>
        </w:rPr>
        <w:t xml:space="preserve">The final proposed arrangements are displayed in Figure </w:t>
      </w:r>
      <w:r w:rsidR="00ED39AB" w:rsidRPr="005450A7">
        <w:rPr>
          <w:rFonts w:cs="Arial"/>
        </w:rPr>
        <w:t>6</w:t>
      </w:r>
      <w:r w:rsidRPr="005450A7">
        <w:rPr>
          <w:rFonts w:cs="Arial"/>
        </w:rPr>
        <w:t>.</w:t>
      </w:r>
      <w:r w:rsidR="00C14F5C" w:rsidRPr="003A36B4">
        <w:rPr>
          <w:rFonts w:cs="Arial"/>
        </w:rPr>
        <w:t xml:space="preserve"> </w:t>
      </w:r>
    </w:p>
    <w:p w14:paraId="74F04B43" w14:textId="473E6B64" w:rsidR="00876906" w:rsidRDefault="00C87DAB" w:rsidP="00876906">
      <w:pPr>
        <w:rPr>
          <w:rFonts w:cs="Arial"/>
          <w:highlight w:val="yellow"/>
        </w:rPr>
      </w:pPr>
      <w:r>
        <w:rPr>
          <w:rFonts w:cs="Arial"/>
        </w:rPr>
        <w:t xml:space="preserve">Under both sub-options, to avoid the need to cancel </w:t>
      </w:r>
      <w:r w:rsidR="0066064F">
        <w:rPr>
          <w:rFonts w:cs="Arial"/>
        </w:rPr>
        <w:t>a</w:t>
      </w:r>
      <w:r>
        <w:rPr>
          <w:rFonts w:cs="Arial"/>
        </w:rPr>
        <w:t xml:space="preserve">mateur licences, the ACMA would need to varying the </w:t>
      </w:r>
      <w:hyperlink r:id="rId46" w:history="1">
        <w:r w:rsidRPr="001C2F3E">
          <w:rPr>
            <w:rStyle w:val="Hyperlink"/>
            <w:i/>
          </w:rPr>
          <w:t>Radiocommunications Licence Conditions (Amateur Licence) Determination 2015</w:t>
        </w:r>
      </w:hyperlink>
      <w:r>
        <w:rPr>
          <w:rFonts w:cs="Arial"/>
        </w:rPr>
        <w:t xml:space="preserve"> before the end of the re-allocation period. This variation would remove arrangements for amateur use in those frequencies and areas that are re-allocated.</w:t>
      </w:r>
    </w:p>
    <w:p w14:paraId="35E280B4" w14:textId="77777777" w:rsidR="004B39D9" w:rsidRDefault="004B39D9">
      <w:pPr>
        <w:spacing w:after="0" w:line="240" w:lineRule="auto"/>
        <w:rPr>
          <w:b/>
          <w:bCs/>
          <w:color w:val="323232"/>
          <w:szCs w:val="20"/>
        </w:rPr>
      </w:pPr>
      <w:bookmarkStart w:id="93" w:name="_Hlk5109584"/>
      <w:r>
        <w:br w:type="page"/>
      </w:r>
    </w:p>
    <w:p w14:paraId="562605E5" w14:textId="40AAC5BA" w:rsidR="00BB509B" w:rsidRDefault="00BB509B" w:rsidP="00BB509B">
      <w:pPr>
        <w:pStyle w:val="ACMAFigureHeader"/>
        <w:spacing w:before="360"/>
      </w:pPr>
      <w:r>
        <w:lastRenderedPageBreak/>
        <w:t>Arrangements in the 3400</w:t>
      </w:r>
      <w:r w:rsidR="00672C79">
        <w:t>–</w:t>
      </w:r>
      <w:r>
        <w:t>3575 MHz band under Phase 2 of Option 3a (top) and Option 3b (bottom)</w:t>
      </w:r>
    </w:p>
    <w:p w14:paraId="0BBD0DF1" w14:textId="77777777" w:rsidR="00BB509B" w:rsidRPr="00B874C6" w:rsidRDefault="00BB509B" w:rsidP="00BB509B">
      <w:pPr>
        <w:pStyle w:val="ACMAFigureHeader"/>
        <w:numPr>
          <w:ilvl w:val="0"/>
          <w:numId w:val="0"/>
        </w:numPr>
        <w:spacing w:after="120"/>
        <w:ind w:left="1021"/>
        <w:rPr>
          <w:i/>
          <w:sz w:val="16"/>
          <w:szCs w:val="16"/>
        </w:rPr>
      </w:pPr>
      <w:r w:rsidRPr="00FD12E6">
        <w:rPr>
          <w:i/>
          <w:sz w:val="16"/>
          <w:szCs w:val="16"/>
        </w:rPr>
        <w:t>FSS = fixed satellite service, PMP = point-to-multipoint, SL = spectrum licence</w:t>
      </w:r>
    </w:p>
    <w:p w14:paraId="6ECC91AB" w14:textId="727047B6" w:rsidR="00BB509B" w:rsidRDefault="006C56B8" w:rsidP="00BB509B">
      <w:pPr>
        <w:spacing w:after="0"/>
        <w:rPr>
          <w:rFonts w:cs="Arial"/>
          <w:b/>
          <w:u w:val="single"/>
        </w:rPr>
      </w:pPr>
      <w:r>
        <w:rPr>
          <w:noProof/>
        </w:rPr>
        <w:drawing>
          <wp:inline distT="0" distB="0" distL="0" distR="0" wp14:anchorId="23234C35" wp14:editId="31DF2626">
            <wp:extent cx="6094730" cy="3639676"/>
            <wp:effectExtent l="0" t="0" r="127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6101972" cy="3644001"/>
                    </a:xfrm>
                    <a:prstGeom prst="rect">
                      <a:avLst/>
                    </a:prstGeom>
                  </pic:spPr>
                </pic:pic>
              </a:graphicData>
            </a:graphic>
          </wp:inline>
        </w:drawing>
      </w:r>
    </w:p>
    <w:p w14:paraId="38FD3306" w14:textId="77777777" w:rsidR="00BB509B" w:rsidRDefault="00BB509B" w:rsidP="00BB509B">
      <w:pPr>
        <w:spacing w:after="0"/>
        <w:rPr>
          <w:rFonts w:cs="Arial"/>
          <w:b/>
          <w:u w:val="single"/>
        </w:rPr>
      </w:pPr>
    </w:p>
    <w:p w14:paraId="649B4837" w14:textId="587BF479" w:rsidR="00BB509B" w:rsidRDefault="00833853" w:rsidP="00BB509B">
      <w:pPr>
        <w:spacing w:after="0"/>
        <w:rPr>
          <w:rFonts w:cs="Arial"/>
          <w:b/>
          <w:u w:val="single"/>
        </w:rPr>
      </w:pPr>
      <w:r>
        <w:rPr>
          <w:noProof/>
        </w:rPr>
        <w:drawing>
          <wp:inline distT="0" distB="0" distL="0" distR="0" wp14:anchorId="78BBBF78" wp14:editId="22E67183">
            <wp:extent cx="6094730" cy="3626964"/>
            <wp:effectExtent l="0" t="0" r="1270" b="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6097441" cy="3628577"/>
                    </a:xfrm>
                    <a:prstGeom prst="rect">
                      <a:avLst/>
                    </a:prstGeom>
                  </pic:spPr>
                </pic:pic>
              </a:graphicData>
            </a:graphic>
          </wp:inline>
        </w:drawing>
      </w:r>
    </w:p>
    <w:bookmarkEnd w:id="93"/>
    <w:p w14:paraId="3683B142" w14:textId="0519F82F" w:rsidR="00BB509B" w:rsidRDefault="00BB509B">
      <w:pPr>
        <w:spacing w:after="0" w:line="240" w:lineRule="auto"/>
        <w:rPr>
          <w:rFonts w:cs="Arial"/>
          <w:b/>
          <w:bCs/>
          <w:szCs w:val="26"/>
        </w:rPr>
      </w:pPr>
      <w:r>
        <w:rPr>
          <w:rFonts w:cs="Arial"/>
          <w:b/>
          <w:bCs/>
          <w:szCs w:val="26"/>
        </w:rPr>
        <w:br w:type="page"/>
      </w:r>
    </w:p>
    <w:p w14:paraId="58BE6DAA" w14:textId="412095CF" w:rsidR="007B125B" w:rsidRPr="00B76636" w:rsidRDefault="007B125B" w:rsidP="003C5923">
      <w:pPr>
        <w:pStyle w:val="Heading3"/>
      </w:pPr>
      <w:bookmarkStart w:id="94" w:name="_Toc6923120"/>
      <w:r w:rsidRPr="00B76636">
        <w:lastRenderedPageBreak/>
        <w:t>Assessment</w:t>
      </w:r>
      <w:r>
        <w:t xml:space="preserve"> of Option 3</w:t>
      </w:r>
      <w:r w:rsidR="0016241E">
        <w:t>a</w:t>
      </w:r>
      <w:r w:rsidR="00BD6A84">
        <w:t xml:space="preserve"> against the planning goals</w:t>
      </w:r>
      <w:bookmarkEnd w:id="94"/>
    </w:p>
    <w:p w14:paraId="38807A9A" w14:textId="4CFB85AF" w:rsidR="00305503" w:rsidRDefault="00305503" w:rsidP="003C5923">
      <w:pPr>
        <w:spacing w:after="80"/>
        <w:rPr>
          <w:rFonts w:cs="Arial"/>
        </w:rPr>
      </w:pPr>
      <w:r>
        <w:rPr>
          <w:rFonts w:cs="Arial"/>
        </w:rPr>
        <w:t>The advantages of Option 3</w:t>
      </w:r>
      <w:r w:rsidR="0016241E">
        <w:rPr>
          <w:rFonts w:cs="Arial"/>
        </w:rPr>
        <w:t>a</w:t>
      </w:r>
      <w:r>
        <w:rPr>
          <w:rFonts w:cs="Arial"/>
        </w:rPr>
        <w:t xml:space="preserve"> are:</w:t>
      </w:r>
    </w:p>
    <w:p w14:paraId="0591FF26" w14:textId="55722D4E" w:rsidR="00305503" w:rsidRDefault="00672C79" w:rsidP="004978EB">
      <w:pPr>
        <w:pStyle w:val="ListBullet"/>
        <w:numPr>
          <w:ilvl w:val="0"/>
          <w:numId w:val="18"/>
        </w:numPr>
        <w:tabs>
          <w:tab w:val="num" w:pos="295"/>
        </w:tabs>
        <w:spacing w:line="240" w:lineRule="auto"/>
        <w:ind w:left="295" w:hanging="295"/>
        <w:rPr>
          <w:rFonts w:cs="Arial"/>
        </w:rPr>
      </w:pPr>
      <w:r>
        <w:rPr>
          <w:rFonts w:cs="Arial"/>
        </w:rPr>
        <w:t>i</w:t>
      </w:r>
      <w:r w:rsidR="00305503">
        <w:rPr>
          <w:rFonts w:cs="Arial"/>
        </w:rPr>
        <w:t xml:space="preserve">t </w:t>
      </w:r>
      <w:r w:rsidR="00305503" w:rsidRPr="003C09B7">
        <w:rPr>
          <w:rFonts w:cs="Arial"/>
        </w:rPr>
        <w:t>remove</w:t>
      </w:r>
      <w:r w:rsidR="00305503">
        <w:rPr>
          <w:rFonts w:cs="Arial"/>
        </w:rPr>
        <w:t>s</w:t>
      </w:r>
      <w:r w:rsidR="00305503" w:rsidRPr="003C09B7">
        <w:rPr>
          <w:rFonts w:cs="Arial"/>
        </w:rPr>
        <w:t xml:space="preserve"> the barriers to change identified in the </w:t>
      </w:r>
      <w:r w:rsidR="00305503" w:rsidRPr="004978EB">
        <w:rPr>
          <w:rFonts w:cs="Arial"/>
        </w:rPr>
        <w:t>Case for Action</w:t>
      </w:r>
      <w:r w:rsidR="00305503" w:rsidRPr="003C09B7">
        <w:rPr>
          <w:rFonts w:cs="Arial"/>
        </w:rPr>
        <w:t xml:space="preserve"> section</w:t>
      </w:r>
    </w:p>
    <w:p w14:paraId="4CF60B6D" w14:textId="105A38DA" w:rsidR="00305503" w:rsidRDefault="00672C79" w:rsidP="004978EB">
      <w:pPr>
        <w:pStyle w:val="ListBullet"/>
        <w:numPr>
          <w:ilvl w:val="0"/>
          <w:numId w:val="18"/>
        </w:numPr>
        <w:tabs>
          <w:tab w:val="num" w:pos="295"/>
        </w:tabs>
        <w:spacing w:line="240" w:lineRule="auto"/>
        <w:ind w:left="295" w:hanging="295"/>
        <w:rPr>
          <w:rFonts w:cs="Arial"/>
        </w:rPr>
      </w:pPr>
      <w:r>
        <w:rPr>
          <w:rFonts w:cs="Arial"/>
        </w:rPr>
        <w:t>a</w:t>
      </w:r>
      <w:r w:rsidR="00305503">
        <w:rPr>
          <w:rFonts w:cs="Arial"/>
        </w:rPr>
        <w:t xml:space="preserve"> two-phase approach ensures the focus on implementing defrag is initially in the largest capital cities (and surrounding regional areas) where the greatest benefits are expected to be realised. </w:t>
      </w:r>
      <w:r w:rsidR="003A03F1">
        <w:rPr>
          <w:rFonts w:cs="Arial"/>
        </w:rPr>
        <w:t>I</w:t>
      </w:r>
      <w:r w:rsidR="00305503">
        <w:rPr>
          <w:rFonts w:cs="Arial"/>
        </w:rPr>
        <w:t>mplementation of defrag in these areas is not affected by the timing of other processes such as the re-allocation of spectrum</w:t>
      </w:r>
    </w:p>
    <w:p w14:paraId="16213E66" w14:textId="746FABDD" w:rsidR="00305503" w:rsidRDefault="00672C79" w:rsidP="004978EB">
      <w:pPr>
        <w:pStyle w:val="ListBullet"/>
        <w:numPr>
          <w:ilvl w:val="0"/>
          <w:numId w:val="18"/>
        </w:numPr>
        <w:tabs>
          <w:tab w:val="num" w:pos="295"/>
        </w:tabs>
        <w:spacing w:line="240" w:lineRule="auto"/>
        <w:ind w:left="295" w:hanging="295"/>
        <w:rPr>
          <w:rFonts w:cs="Arial"/>
        </w:rPr>
      </w:pPr>
      <w:r>
        <w:rPr>
          <w:rFonts w:cs="Arial"/>
        </w:rPr>
        <w:t>i</w:t>
      </w:r>
      <w:r w:rsidR="00305503" w:rsidRPr="003C114E">
        <w:rPr>
          <w:rFonts w:cs="Arial"/>
        </w:rPr>
        <w:t xml:space="preserve">ncumbent apparatus licensees in </w:t>
      </w:r>
      <w:r w:rsidR="0066064F" w:rsidRPr="004978EB">
        <w:rPr>
          <w:rFonts w:cs="Arial"/>
        </w:rPr>
        <w:t>r</w:t>
      </w:r>
      <w:r w:rsidR="00305503" w:rsidRPr="004978EB">
        <w:rPr>
          <w:rFonts w:cs="Arial"/>
        </w:rPr>
        <w:t>emote</w:t>
      </w:r>
      <w:r w:rsidR="00305503" w:rsidRPr="003C114E">
        <w:rPr>
          <w:rFonts w:cs="Arial"/>
        </w:rPr>
        <w:t xml:space="preserve"> areas </w:t>
      </w:r>
      <w:r w:rsidR="003A03F1">
        <w:rPr>
          <w:rFonts w:cs="Arial"/>
        </w:rPr>
        <w:t xml:space="preserve">may </w:t>
      </w:r>
      <w:r w:rsidR="00305503" w:rsidRPr="003C114E">
        <w:rPr>
          <w:rFonts w:cs="Arial"/>
        </w:rPr>
        <w:t>continue operating in the band</w:t>
      </w:r>
    </w:p>
    <w:p w14:paraId="146394D1" w14:textId="44777F36" w:rsidR="00305503" w:rsidRDefault="00672C79" w:rsidP="004978EB">
      <w:pPr>
        <w:pStyle w:val="ListBullet"/>
        <w:numPr>
          <w:ilvl w:val="0"/>
          <w:numId w:val="18"/>
        </w:numPr>
        <w:tabs>
          <w:tab w:val="num" w:pos="295"/>
        </w:tabs>
        <w:spacing w:line="240" w:lineRule="auto"/>
        <w:ind w:left="295" w:hanging="295"/>
        <w:rPr>
          <w:rFonts w:cs="Arial"/>
        </w:rPr>
      </w:pPr>
      <w:r>
        <w:rPr>
          <w:rFonts w:cs="Arial"/>
        </w:rPr>
        <w:t>m</w:t>
      </w:r>
      <w:r w:rsidR="00305503">
        <w:rPr>
          <w:rFonts w:cs="Arial"/>
        </w:rPr>
        <w:t xml:space="preserve">ore spectrum </w:t>
      </w:r>
      <w:r w:rsidR="003A03F1">
        <w:rPr>
          <w:rFonts w:cs="Arial"/>
        </w:rPr>
        <w:t>is made</w:t>
      </w:r>
      <w:r w:rsidR="00305503">
        <w:rPr>
          <w:rFonts w:cs="Arial"/>
        </w:rPr>
        <w:t xml:space="preserve"> available for new PMP, FSS and </w:t>
      </w:r>
      <w:r w:rsidR="0066064F" w:rsidRPr="004978EB">
        <w:rPr>
          <w:rFonts w:cs="Arial"/>
        </w:rPr>
        <w:t>a</w:t>
      </w:r>
      <w:r w:rsidR="00305503" w:rsidRPr="004978EB">
        <w:rPr>
          <w:rFonts w:cs="Arial"/>
        </w:rPr>
        <w:t>mateur</w:t>
      </w:r>
      <w:r w:rsidR="00305503">
        <w:rPr>
          <w:rFonts w:cs="Arial"/>
        </w:rPr>
        <w:t xml:space="preserve"> services in </w:t>
      </w:r>
      <w:r w:rsidR="0066064F" w:rsidRPr="004978EB">
        <w:rPr>
          <w:rFonts w:cs="Arial"/>
        </w:rPr>
        <w:t>r</w:t>
      </w:r>
      <w:r w:rsidR="00305503" w:rsidRPr="004978EB">
        <w:rPr>
          <w:rFonts w:cs="Arial"/>
        </w:rPr>
        <w:t>emote</w:t>
      </w:r>
      <w:r w:rsidR="00305503">
        <w:rPr>
          <w:rFonts w:cs="Arial"/>
        </w:rPr>
        <w:t xml:space="preserve"> areas</w:t>
      </w:r>
    </w:p>
    <w:p w14:paraId="4B50CD86" w14:textId="474F729C" w:rsidR="00305503" w:rsidRPr="004E7708" w:rsidRDefault="00672C79" w:rsidP="004978EB">
      <w:pPr>
        <w:pStyle w:val="ListBullet"/>
        <w:numPr>
          <w:ilvl w:val="0"/>
          <w:numId w:val="18"/>
        </w:numPr>
        <w:tabs>
          <w:tab w:val="num" w:pos="295"/>
        </w:tabs>
        <w:spacing w:line="240" w:lineRule="auto"/>
        <w:ind w:left="295" w:hanging="295"/>
        <w:rPr>
          <w:rFonts w:cs="Arial"/>
        </w:rPr>
      </w:pPr>
      <w:r>
        <w:rPr>
          <w:rFonts w:cs="Arial"/>
        </w:rPr>
        <w:t>s</w:t>
      </w:r>
      <w:r w:rsidR="00305503" w:rsidRPr="004E7708">
        <w:rPr>
          <w:rFonts w:cs="Arial"/>
        </w:rPr>
        <w:t xml:space="preserve">pectrum arrangements for PMP licensing are consolidated to facilitate the adoption of TDD wireless broadband technologies and provide access to larger channel sizes </w:t>
      </w:r>
    </w:p>
    <w:p w14:paraId="7505FEC7" w14:textId="0A3689DA" w:rsidR="008754FE" w:rsidRPr="004E7708" w:rsidRDefault="00672C79" w:rsidP="004978EB">
      <w:pPr>
        <w:pStyle w:val="ListBullet"/>
        <w:numPr>
          <w:ilvl w:val="0"/>
          <w:numId w:val="18"/>
        </w:numPr>
        <w:tabs>
          <w:tab w:val="num" w:pos="295"/>
        </w:tabs>
        <w:spacing w:line="240" w:lineRule="auto"/>
        <w:ind w:left="295" w:hanging="295"/>
        <w:rPr>
          <w:rFonts w:cs="Arial"/>
        </w:rPr>
      </w:pPr>
      <w:r>
        <w:rPr>
          <w:rFonts w:cs="Arial"/>
        </w:rPr>
        <w:t>t</w:t>
      </w:r>
      <w:r w:rsidR="00305503" w:rsidRPr="004E7708">
        <w:rPr>
          <w:rFonts w:cs="Arial"/>
        </w:rPr>
        <w:t>he amount of spectrum available for PMP licensing remains the same</w:t>
      </w:r>
      <w:r w:rsidR="00305503">
        <w:rPr>
          <w:rFonts w:cs="Arial"/>
        </w:rPr>
        <w:t xml:space="preserve"> in </w:t>
      </w:r>
      <w:r w:rsidR="0066064F" w:rsidRPr="004978EB">
        <w:rPr>
          <w:rFonts w:cs="Arial"/>
        </w:rPr>
        <w:t>r</w:t>
      </w:r>
      <w:r w:rsidR="00305503" w:rsidRPr="004978EB">
        <w:rPr>
          <w:rFonts w:cs="Arial"/>
        </w:rPr>
        <w:t>egional</w:t>
      </w:r>
      <w:r w:rsidR="00305503">
        <w:rPr>
          <w:rFonts w:cs="Arial"/>
        </w:rPr>
        <w:t xml:space="preserve"> areas</w:t>
      </w:r>
      <w:r w:rsidR="008754FE" w:rsidRPr="004E7708">
        <w:rPr>
          <w:rFonts w:cs="Arial"/>
        </w:rPr>
        <w:t xml:space="preserve"> </w:t>
      </w:r>
    </w:p>
    <w:p w14:paraId="14ED79BC" w14:textId="364D3C27" w:rsidR="00305503" w:rsidRDefault="00672C79" w:rsidP="004978EB">
      <w:pPr>
        <w:pStyle w:val="ListBullet"/>
        <w:numPr>
          <w:ilvl w:val="0"/>
          <w:numId w:val="18"/>
        </w:numPr>
        <w:tabs>
          <w:tab w:val="num" w:pos="295"/>
        </w:tabs>
        <w:spacing w:line="240" w:lineRule="auto"/>
        <w:ind w:left="295" w:hanging="295"/>
        <w:rPr>
          <w:rFonts w:cs="Arial"/>
        </w:rPr>
      </w:pPr>
      <w:r>
        <w:rPr>
          <w:rFonts w:cs="Arial"/>
        </w:rPr>
        <w:t>i</w:t>
      </w:r>
      <w:r w:rsidR="00305503" w:rsidRPr="003C114E">
        <w:rPr>
          <w:rFonts w:cs="Arial"/>
        </w:rPr>
        <w:t xml:space="preserve">ncumbent TDD PMP and </w:t>
      </w:r>
      <w:r w:rsidR="0066064F" w:rsidRPr="004978EB">
        <w:rPr>
          <w:rFonts w:cs="Arial"/>
        </w:rPr>
        <w:t>a</w:t>
      </w:r>
      <w:r w:rsidR="00305503" w:rsidRPr="004978EB">
        <w:rPr>
          <w:rFonts w:cs="Arial"/>
        </w:rPr>
        <w:t>mateur</w:t>
      </w:r>
      <w:r w:rsidR="00305503" w:rsidRPr="003C114E">
        <w:rPr>
          <w:rFonts w:cs="Arial"/>
        </w:rPr>
        <w:t xml:space="preserve"> services operating in the 3475</w:t>
      </w:r>
      <w:r>
        <w:rPr>
          <w:rFonts w:cs="Arial"/>
        </w:rPr>
        <w:softHyphen/>
        <w:t>–</w:t>
      </w:r>
      <w:r w:rsidR="00305503" w:rsidRPr="003C114E">
        <w:rPr>
          <w:rFonts w:cs="Arial"/>
        </w:rPr>
        <w:t xml:space="preserve">3492.5 </w:t>
      </w:r>
      <w:r w:rsidR="006B7EE6">
        <w:rPr>
          <w:rFonts w:cs="Arial"/>
        </w:rPr>
        <w:t>M</w:t>
      </w:r>
      <w:r w:rsidR="00305503" w:rsidRPr="003C114E">
        <w:rPr>
          <w:rFonts w:cs="Arial"/>
        </w:rPr>
        <w:t>Hz band</w:t>
      </w:r>
      <w:r w:rsidR="00305503">
        <w:rPr>
          <w:rFonts w:cs="Arial"/>
        </w:rPr>
        <w:t xml:space="preserve"> are not required to retune or relocate from the band </w:t>
      </w:r>
    </w:p>
    <w:p w14:paraId="7563DDC3" w14:textId="4FA8D9F0" w:rsidR="00305503" w:rsidRDefault="00471085" w:rsidP="004978EB">
      <w:pPr>
        <w:pStyle w:val="ListBullet"/>
        <w:numPr>
          <w:ilvl w:val="0"/>
          <w:numId w:val="18"/>
        </w:numPr>
        <w:tabs>
          <w:tab w:val="num" w:pos="295"/>
        </w:tabs>
        <w:spacing w:line="240" w:lineRule="auto"/>
        <w:ind w:left="295" w:hanging="295"/>
        <w:rPr>
          <w:rFonts w:cs="Arial"/>
        </w:rPr>
      </w:pPr>
      <w:r>
        <w:rPr>
          <w:rFonts w:cs="Arial"/>
        </w:rPr>
        <w:t>i</w:t>
      </w:r>
      <w:r w:rsidR="00305503" w:rsidRPr="004E7708">
        <w:rPr>
          <w:rFonts w:cs="Arial"/>
        </w:rPr>
        <w:t xml:space="preserve">ncumbent apparatus licensees affected by </w:t>
      </w:r>
      <w:r w:rsidR="00820177">
        <w:rPr>
          <w:rFonts w:cs="Arial"/>
        </w:rPr>
        <w:t>the</w:t>
      </w:r>
      <w:r w:rsidR="00362BC9">
        <w:rPr>
          <w:rFonts w:cs="Arial"/>
        </w:rPr>
        <w:t xml:space="preserve"> re-allocation process</w:t>
      </w:r>
      <w:r w:rsidR="00362BC9" w:rsidRPr="004E7708">
        <w:rPr>
          <w:rFonts w:cs="Arial"/>
        </w:rPr>
        <w:t xml:space="preserve"> </w:t>
      </w:r>
      <w:r w:rsidR="00305503" w:rsidRPr="004E7708">
        <w:rPr>
          <w:rFonts w:cs="Arial"/>
        </w:rPr>
        <w:t>are provided with an option for the continued delivery of their services</w:t>
      </w:r>
      <w:r w:rsidR="001C2F3E">
        <w:rPr>
          <w:rFonts w:cs="Arial"/>
        </w:rPr>
        <w:t xml:space="preserve"> within the </w:t>
      </w:r>
      <w:r w:rsidR="005619B4">
        <w:rPr>
          <w:rFonts w:cs="Arial"/>
        </w:rPr>
        <w:t>3400</w:t>
      </w:r>
      <w:r>
        <w:rPr>
          <w:rFonts w:cs="Arial"/>
        </w:rPr>
        <w:t>–</w:t>
      </w:r>
      <w:r w:rsidR="005619B4">
        <w:rPr>
          <w:rFonts w:cs="Arial"/>
        </w:rPr>
        <w:t>3575 MHz</w:t>
      </w:r>
      <w:r w:rsidR="001C2F3E">
        <w:rPr>
          <w:rFonts w:cs="Arial"/>
        </w:rPr>
        <w:t xml:space="preserve"> band</w:t>
      </w:r>
      <w:r w:rsidR="00D01695">
        <w:rPr>
          <w:rFonts w:cs="Arial"/>
        </w:rPr>
        <w:t>. For TDD PMP licensees the new arrangements are expected to be within the tuneable frequency range of existing equipment</w:t>
      </w:r>
    </w:p>
    <w:p w14:paraId="2107A4EE" w14:textId="7B734D54" w:rsidR="00F104B4" w:rsidRDefault="00471085" w:rsidP="004978EB">
      <w:pPr>
        <w:pStyle w:val="ListBullet"/>
        <w:numPr>
          <w:ilvl w:val="0"/>
          <w:numId w:val="18"/>
        </w:numPr>
        <w:tabs>
          <w:tab w:val="num" w:pos="295"/>
        </w:tabs>
        <w:spacing w:line="240" w:lineRule="auto"/>
        <w:ind w:left="295" w:hanging="295"/>
        <w:rPr>
          <w:rFonts w:cs="Arial"/>
        </w:rPr>
      </w:pPr>
      <w:r>
        <w:t>c</w:t>
      </w:r>
      <w:r w:rsidR="00F104B4">
        <w:t xml:space="preserve">ontinued support for FSS operation in the band will be provided at defined </w:t>
      </w:r>
      <w:r w:rsidR="003641CC">
        <w:rPr>
          <w:rFonts w:cs="Arial"/>
        </w:rPr>
        <w:t>ESPZ</w:t>
      </w:r>
      <w:r w:rsidR="00F104B4" w:rsidRPr="00475453">
        <w:t xml:space="preserve"> in regional Australia</w:t>
      </w:r>
      <w:r w:rsidR="00F104B4">
        <w:rPr>
          <w:rFonts w:cs="Arial"/>
        </w:rPr>
        <w:t xml:space="preserve"> </w:t>
      </w:r>
    </w:p>
    <w:p w14:paraId="133F7216" w14:textId="54C386D0" w:rsidR="00305503" w:rsidRPr="00E454E3" w:rsidRDefault="00471085" w:rsidP="004978EB">
      <w:pPr>
        <w:pStyle w:val="ListBullet"/>
        <w:numPr>
          <w:ilvl w:val="0"/>
          <w:numId w:val="18"/>
        </w:numPr>
        <w:tabs>
          <w:tab w:val="num" w:pos="295"/>
        </w:tabs>
        <w:spacing w:line="240" w:lineRule="auto"/>
        <w:ind w:left="295" w:hanging="295"/>
        <w:rPr>
          <w:rFonts w:cs="Arial"/>
        </w:rPr>
      </w:pPr>
      <w:r>
        <w:rPr>
          <w:rFonts w:cs="Arial"/>
        </w:rPr>
        <w:t>o</w:t>
      </w:r>
      <w:r w:rsidR="00305503" w:rsidRPr="00E454E3">
        <w:rPr>
          <w:rFonts w:cs="Arial"/>
        </w:rPr>
        <w:t>nce NBN Co’s PTS licences have been converted</w:t>
      </w:r>
      <w:r w:rsidR="00305503">
        <w:rPr>
          <w:rFonts w:cs="Arial"/>
        </w:rPr>
        <w:t xml:space="preserve">, Optus and NBN Co </w:t>
      </w:r>
      <w:r w:rsidR="003A03F1">
        <w:rPr>
          <w:rFonts w:cs="Arial"/>
        </w:rPr>
        <w:t>may</w:t>
      </w:r>
      <w:r w:rsidR="0085266A">
        <w:rPr>
          <w:rFonts w:cs="Arial"/>
        </w:rPr>
        <w:t xml:space="preserve"> </w:t>
      </w:r>
      <w:r w:rsidR="00305503" w:rsidRPr="00E454E3">
        <w:rPr>
          <w:rFonts w:cs="Arial"/>
        </w:rPr>
        <w:t xml:space="preserve">use market mechanisms such as </w:t>
      </w:r>
      <w:r w:rsidR="0066064F">
        <w:t>third-</w:t>
      </w:r>
      <w:r w:rsidR="00305503" w:rsidRPr="00E454E3">
        <w:rPr>
          <w:rFonts w:cs="Arial"/>
        </w:rPr>
        <w:t>party authorisations and/or trading to implement a defrag within</w:t>
      </w:r>
      <w:r w:rsidR="00305503">
        <w:rPr>
          <w:rFonts w:cs="Arial"/>
        </w:rPr>
        <w:t xml:space="preserve"> </w:t>
      </w:r>
      <w:r w:rsidR="009531CB">
        <w:rPr>
          <w:rFonts w:cs="Arial"/>
        </w:rPr>
        <w:t>m</w:t>
      </w:r>
      <w:r w:rsidR="00305503">
        <w:rPr>
          <w:rFonts w:cs="Arial"/>
        </w:rPr>
        <w:t xml:space="preserve">etropolitan and the surrounding </w:t>
      </w:r>
      <w:r w:rsidR="009531CB">
        <w:rPr>
          <w:rFonts w:cs="Arial"/>
        </w:rPr>
        <w:t>r</w:t>
      </w:r>
      <w:r w:rsidR="00305503">
        <w:rPr>
          <w:rFonts w:cs="Arial"/>
        </w:rPr>
        <w:t>egional areas</w:t>
      </w:r>
      <w:r w:rsidR="00305503" w:rsidRPr="00E454E3">
        <w:rPr>
          <w:rFonts w:cs="Arial"/>
        </w:rPr>
        <w:t xml:space="preserve"> </w:t>
      </w:r>
    </w:p>
    <w:p w14:paraId="04086D5E" w14:textId="657DDA40" w:rsidR="00305503" w:rsidRPr="004F61BD" w:rsidRDefault="00471085" w:rsidP="004978EB">
      <w:pPr>
        <w:pStyle w:val="ListBullet"/>
        <w:numPr>
          <w:ilvl w:val="0"/>
          <w:numId w:val="18"/>
        </w:numPr>
        <w:tabs>
          <w:tab w:val="num" w:pos="295"/>
        </w:tabs>
        <w:spacing w:line="240" w:lineRule="auto"/>
        <w:ind w:left="295" w:hanging="295"/>
      </w:pPr>
      <w:r>
        <w:t>o</w:t>
      </w:r>
      <w:r w:rsidR="00305503">
        <w:t xml:space="preserve">nce the remaining segments of the </w:t>
      </w:r>
      <w:r w:rsidR="005619B4">
        <w:t>3400</w:t>
      </w:r>
      <w:r>
        <w:t>–</w:t>
      </w:r>
      <w:r w:rsidR="005619B4">
        <w:t>3575 MHz</w:t>
      </w:r>
      <w:r w:rsidR="00305503">
        <w:t xml:space="preserve"> band have been re-allocated and sold, p</w:t>
      </w:r>
      <w:r w:rsidR="00305503" w:rsidRPr="004F61BD">
        <w:t xml:space="preserve">rovided </w:t>
      </w:r>
      <w:r w:rsidR="00305503">
        <w:t>there is agreement from all relevant licensees, defrag c</w:t>
      </w:r>
      <w:r w:rsidR="00A83CE4">
        <w:t>an</w:t>
      </w:r>
      <w:r w:rsidR="00305503">
        <w:t xml:space="preserve"> </w:t>
      </w:r>
      <w:r w:rsidR="00AA52F7">
        <w:t>be</w:t>
      </w:r>
      <w:r w:rsidR="00305503" w:rsidRPr="004F61BD">
        <w:t xml:space="preserve"> </w:t>
      </w:r>
      <w:r w:rsidR="00AA52F7">
        <w:t xml:space="preserve">implemented in the remaining </w:t>
      </w:r>
      <w:r w:rsidR="0066064F" w:rsidRPr="004978EB">
        <w:rPr>
          <w:rFonts w:cs="Arial"/>
        </w:rPr>
        <w:t>r</w:t>
      </w:r>
      <w:r w:rsidR="00AA52F7" w:rsidRPr="004978EB">
        <w:rPr>
          <w:rFonts w:cs="Arial"/>
        </w:rPr>
        <w:t>egional</w:t>
      </w:r>
      <w:r w:rsidR="00AA52F7">
        <w:t xml:space="preserve"> areas and </w:t>
      </w:r>
      <w:r w:rsidR="0066064F" w:rsidRPr="004978EB">
        <w:rPr>
          <w:rFonts w:cs="Arial"/>
        </w:rPr>
        <w:t>m</w:t>
      </w:r>
      <w:r w:rsidR="00AA52F7" w:rsidRPr="004978EB">
        <w:rPr>
          <w:rFonts w:cs="Arial"/>
        </w:rPr>
        <w:t>ajor</w:t>
      </w:r>
      <w:r w:rsidR="00AA52F7">
        <w:t xml:space="preserve"> regional centres.</w:t>
      </w:r>
    </w:p>
    <w:p w14:paraId="3454BA01" w14:textId="77777777" w:rsidR="00696044" w:rsidRDefault="00696044" w:rsidP="003C5923">
      <w:pPr>
        <w:spacing w:before="240" w:after="80"/>
        <w:rPr>
          <w:rFonts w:cs="Arial"/>
        </w:rPr>
      </w:pPr>
      <w:r>
        <w:rPr>
          <w:rFonts w:cs="Arial"/>
        </w:rPr>
        <w:t>The additional advantages of the proposed variant to Phase 1 are:</w:t>
      </w:r>
    </w:p>
    <w:p w14:paraId="317088C3" w14:textId="09999A2F" w:rsidR="00696044" w:rsidRDefault="00696044" w:rsidP="004978EB">
      <w:pPr>
        <w:pStyle w:val="ListBullet"/>
        <w:numPr>
          <w:ilvl w:val="0"/>
          <w:numId w:val="18"/>
        </w:numPr>
        <w:tabs>
          <w:tab w:val="num" w:pos="295"/>
        </w:tabs>
        <w:spacing w:line="240" w:lineRule="auto"/>
        <w:ind w:left="295" w:hanging="295"/>
        <w:rPr>
          <w:rFonts w:cs="Arial"/>
        </w:rPr>
      </w:pPr>
      <w:r>
        <w:rPr>
          <w:rFonts w:cs="Arial"/>
        </w:rPr>
        <w:t xml:space="preserve">they result in the fastest path to implementing a single licence type across all </w:t>
      </w:r>
      <w:r w:rsidR="0066064F" w:rsidRPr="004978EB">
        <w:rPr>
          <w:rFonts w:cs="Arial"/>
        </w:rPr>
        <w:t>m</w:t>
      </w:r>
      <w:r w:rsidRPr="004978EB">
        <w:rPr>
          <w:rFonts w:cs="Arial"/>
        </w:rPr>
        <w:t>etropolitan</w:t>
      </w:r>
      <w:r>
        <w:rPr>
          <w:rFonts w:cs="Arial"/>
        </w:rPr>
        <w:t xml:space="preserve"> areas in the 3400</w:t>
      </w:r>
      <w:r w:rsidR="00471085">
        <w:rPr>
          <w:rFonts w:cs="Arial"/>
        </w:rPr>
        <w:t>–</w:t>
      </w:r>
      <w:r>
        <w:rPr>
          <w:rFonts w:cs="Arial"/>
        </w:rPr>
        <w:t>3575 MHz, which could enable defrag to occur in these areas in the shortest timeframe</w:t>
      </w:r>
    </w:p>
    <w:p w14:paraId="0B6ECA54" w14:textId="6B8789FE" w:rsidR="00696044" w:rsidRPr="00696044" w:rsidRDefault="00696044" w:rsidP="004978EB">
      <w:pPr>
        <w:pStyle w:val="ListBullet"/>
        <w:numPr>
          <w:ilvl w:val="0"/>
          <w:numId w:val="18"/>
        </w:numPr>
        <w:tabs>
          <w:tab w:val="num" w:pos="295"/>
        </w:tabs>
        <w:spacing w:line="240" w:lineRule="auto"/>
        <w:ind w:left="295" w:hanging="295"/>
      </w:pPr>
      <w:r>
        <w:t xml:space="preserve">a single licence type in </w:t>
      </w:r>
      <w:r w:rsidR="0066064F" w:rsidRPr="004978EB">
        <w:rPr>
          <w:rFonts w:cs="Arial"/>
        </w:rPr>
        <w:t>m</w:t>
      </w:r>
      <w:r w:rsidRPr="004978EB">
        <w:rPr>
          <w:rFonts w:cs="Arial"/>
        </w:rPr>
        <w:t>etropolitan</w:t>
      </w:r>
      <w:r>
        <w:t xml:space="preserve"> areas simplifies the process of registering </w:t>
      </w:r>
      <w:r w:rsidR="00671572">
        <w:t xml:space="preserve">radiocommunications </w:t>
      </w:r>
      <w:r>
        <w:t>devices with large bandwidths that occupy spectrum held by more than one licensee. Such arrangements are already supported in bands subject to spectrum licensing.</w:t>
      </w:r>
    </w:p>
    <w:p w14:paraId="52586B8A" w14:textId="53D0C6FD" w:rsidR="00305503" w:rsidRPr="006E6DC7" w:rsidRDefault="00305503" w:rsidP="003C5923">
      <w:pPr>
        <w:spacing w:before="240" w:after="80"/>
        <w:rPr>
          <w:rFonts w:cs="Arial"/>
        </w:rPr>
      </w:pPr>
      <w:r w:rsidRPr="006E6DC7">
        <w:rPr>
          <w:rFonts w:cs="Arial"/>
        </w:rPr>
        <w:t xml:space="preserve">The disadvantages of Option </w:t>
      </w:r>
      <w:r w:rsidR="003A36B4">
        <w:rPr>
          <w:rFonts w:cs="Arial"/>
        </w:rPr>
        <w:t xml:space="preserve">3a </w:t>
      </w:r>
      <w:r w:rsidRPr="006E6DC7">
        <w:rPr>
          <w:rFonts w:cs="Arial"/>
        </w:rPr>
        <w:t>are:</w:t>
      </w:r>
    </w:p>
    <w:p w14:paraId="3625557D" w14:textId="64BCA529" w:rsidR="00305503" w:rsidRPr="006E6DC7" w:rsidRDefault="00471085" w:rsidP="004978EB">
      <w:pPr>
        <w:pStyle w:val="ListBullet"/>
        <w:numPr>
          <w:ilvl w:val="0"/>
          <w:numId w:val="18"/>
        </w:numPr>
        <w:tabs>
          <w:tab w:val="num" w:pos="295"/>
        </w:tabs>
        <w:spacing w:line="240" w:lineRule="auto"/>
        <w:ind w:left="295" w:hanging="295"/>
        <w:rPr>
          <w:rFonts w:cs="Arial"/>
        </w:rPr>
      </w:pPr>
      <w:r>
        <w:rPr>
          <w:rFonts w:cs="Arial"/>
        </w:rPr>
        <w:t>i</w:t>
      </w:r>
      <w:r w:rsidR="00305503" w:rsidRPr="006E6DC7">
        <w:rPr>
          <w:rFonts w:cs="Arial"/>
        </w:rPr>
        <w:t xml:space="preserve">ncumbent apparatus licences operating on frequencies affected by </w:t>
      </w:r>
      <w:r w:rsidR="004202D1">
        <w:rPr>
          <w:rFonts w:cs="Arial"/>
        </w:rPr>
        <w:t xml:space="preserve">the restack or </w:t>
      </w:r>
      <w:r w:rsidR="00305503" w:rsidRPr="006E6DC7">
        <w:rPr>
          <w:rFonts w:cs="Arial"/>
        </w:rPr>
        <w:t xml:space="preserve">re-allocation process </w:t>
      </w:r>
      <w:r w:rsidR="00A83CE4">
        <w:rPr>
          <w:rFonts w:cs="Arial"/>
        </w:rPr>
        <w:t>are</w:t>
      </w:r>
      <w:r w:rsidR="00305503" w:rsidRPr="006E6DC7">
        <w:rPr>
          <w:rFonts w:cs="Arial"/>
        </w:rPr>
        <w:t xml:space="preserve"> required to:</w:t>
      </w:r>
    </w:p>
    <w:p w14:paraId="514D70DB" w14:textId="3CB76533" w:rsidR="00305503" w:rsidRPr="006E6DC7" w:rsidRDefault="00305503" w:rsidP="004978EB">
      <w:pPr>
        <w:pStyle w:val="ListBullet2"/>
        <w:numPr>
          <w:ilvl w:val="1"/>
          <w:numId w:val="22"/>
        </w:numPr>
        <w:tabs>
          <w:tab w:val="num" w:pos="845"/>
        </w:tabs>
        <w:ind w:left="845" w:hanging="544"/>
        <w:rPr>
          <w:rFonts w:cs="Arial"/>
        </w:rPr>
      </w:pPr>
      <w:r w:rsidRPr="006E6DC7">
        <w:rPr>
          <w:rFonts w:cs="Arial"/>
        </w:rPr>
        <w:t xml:space="preserve">retune to the new consolidated apparatus licence segments of the </w:t>
      </w:r>
      <w:r w:rsidR="005619B4">
        <w:rPr>
          <w:rFonts w:cs="Arial"/>
        </w:rPr>
        <w:t>3400</w:t>
      </w:r>
      <w:r w:rsidR="00471085">
        <w:rPr>
          <w:rFonts w:cs="Arial"/>
        </w:rPr>
        <w:t>–</w:t>
      </w:r>
      <w:r w:rsidR="005619B4">
        <w:rPr>
          <w:rFonts w:cs="Arial"/>
        </w:rPr>
        <w:t>3575 MHz</w:t>
      </w:r>
      <w:r w:rsidRPr="006E6DC7">
        <w:rPr>
          <w:rFonts w:cs="Arial"/>
        </w:rPr>
        <w:t xml:space="preserve"> band identified for PMP, FSS and </w:t>
      </w:r>
      <w:r w:rsidR="0066064F" w:rsidRPr="004978EB">
        <w:t>a</w:t>
      </w:r>
      <w:r w:rsidRPr="004978EB">
        <w:t>mateur</w:t>
      </w:r>
      <w:r w:rsidRPr="006E6DC7">
        <w:rPr>
          <w:rFonts w:cs="Arial"/>
        </w:rPr>
        <w:t xml:space="preserve"> service use. </w:t>
      </w:r>
      <w:bookmarkStart w:id="95" w:name="_Hlk5616491"/>
      <w:r>
        <w:rPr>
          <w:rFonts w:cs="Arial"/>
        </w:rPr>
        <w:t xml:space="preserve">This </w:t>
      </w:r>
      <w:r w:rsidR="00A83CE4">
        <w:rPr>
          <w:rFonts w:cs="Arial"/>
        </w:rPr>
        <w:t xml:space="preserve">is not </w:t>
      </w:r>
      <w:r>
        <w:rPr>
          <w:rFonts w:cs="Arial"/>
        </w:rPr>
        <w:t>possible for FDD PMP licensees unless they replace their equipment with TDD systems</w:t>
      </w:r>
      <w:bookmarkEnd w:id="95"/>
      <w:r w:rsidRPr="006E6DC7">
        <w:rPr>
          <w:rFonts w:cs="Arial"/>
        </w:rPr>
        <w:t xml:space="preserve"> </w:t>
      </w:r>
    </w:p>
    <w:p w14:paraId="22EF503C" w14:textId="6A094CB9" w:rsidR="00305503" w:rsidRPr="006E6DC7" w:rsidRDefault="00305503" w:rsidP="004978EB">
      <w:pPr>
        <w:pStyle w:val="ListBullet2"/>
        <w:numPr>
          <w:ilvl w:val="1"/>
          <w:numId w:val="22"/>
        </w:numPr>
        <w:tabs>
          <w:tab w:val="num" w:pos="845"/>
        </w:tabs>
        <w:ind w:left="845" w:hanging="544"/>
        <w:rPr>
          <w:rFonts w:cs="Arial"/>
        </w:rPr>
      </w:pPr>
      <w:r w:rsidRPr="004978EB">
        <w:t>relocate</w:t>
      </w:r>
      <w:r w:rsidRPr="006E6DC7">
        <w:rPr>
          <w:rFonts w:cs="Arial"/>
        </w:rPr>
        <w:t xml:space="preserve"> to another frequency band in areas </w:t>
      </w:r>
      <w:r>
        <w:rPr>
          <w:rFonts w:cs="Arial"/>
        </w:rPr>
        <w:t>suitable alternative spectrum options exist</w:t>
      </w:r>
    </w:p>
    <w:p w14:paraId="51E5DCFF" w14:textId="77777777" w:rsidR="00305503" w:rsidRDefault="00305503" w:rsidP="004978EB">
      <w:pPr>
        <w:pStyle w:val="ListBullet2"/>
        <w:numPr>
          <w:ilvl w:val="1"/>
          <w:numId w:val="22"/>
        </w:numPr>
        <w:tabs>
          <w:tab w:val="num" w:pos="845"/>
        </w:tabs>
        <w:ind w:left="845" w:hanging="544"/>
        <w:rPr>
          <w:rFonts w:cs="Arial"/>
        </w:rPr>
      </w:pPr>
      <w:r w:rsidRPr="006E6DC7">
        <w:rPr>
          <w:rFonts w:cs="Arial"/>
        </w:rPr>
        <w:t>cease operating in the band at the</w:t>
      </w:r>
      <w:r>
        <w:rPr>
          <w:rFonts w:cs="Arial"/>
        </w:rPr>
        <w:t xml:space="preserve"> end of the defined re-allocation period, unless ongoing access could be negotiated.</w:t>
      </w:r>
    </w:p>
    <w:p w14:paraId="50F153B0" w14:textId="01D139C4" w:rsidR="00350E9B" w:rsidRPr="000F7FC0" w:rsidRDefault="00350E9B" w:rsidP="004978EB">
      <w:pPr>
        <w:pStyle w:val="ListBullet"/>
        <w:numPr>
          <w:ilvl w:val="0"/>
          <w:numId w:val="18"/>
        </w:numPr>
        <w:tabs>
          <w:tab w:val="num" w:pos="295"/>
        </w:tabs>
        <w:spacing w:line="240" w:lineRule="auto"/>
        <w:ind w:left="295" w:hanging="295"/>
        <w:rPr>
          <w:rFonts w:cs="Arial"/>
        </w:rPr>
      </w:pPr>
      <w:r>
        <w:rPr>
          <w:rFonts w:cs="Arial"/>
        </w:rPr>
        <w:t xml:space="preserve">Optus and NBN Co licences </w:t>
      </w:r>
      <w:r w:rsidR="00A83CE4">
        <w:rPr>
          <w:rFonts w:cs="Arial"/>
        </w:rPr>
        <w:t>are</w:t>
      </w:r>
      <w:r>
        <w:rPr>
          <w:rFonts w:cs="Arial"/>
        </w:rPr>
        <w:t xml:space="preserve"> not able to completely defrag their licences in some </w:t>
      </w:r>
      <w:r w:rsidR="005450A7">
        <w:rPr>
          <w:rFonts w:cs="Arial"/>
        </w:rPr>
        <w:t>r</w:t>
      </w:r>
      <w:r>
        <w:rPr>
          <w:rFonts w:cs="Arial"/>
        </w:rPr>
        <w:t>egional areas</w:t>
      </w:r>
    </w:p>
    <w:p w14:paraId="1619F3A4" w14:textId="22177FAA" w:rsidR="003A36B4" w:rsidRPr="00696044" w:rsidRDefault="00471085" w:rsidP="004978EB">
      <w:pPr>
        <w:pStyle w:val="ListBullet"/>
        <w:numPr>
          <w:ilvl w:val="0"/>
          <w:numId w:val="18"/>
        </w:numPr>
        <w:tabs>
          <w:tab w:val="num" w:pos="295"/>
        </w:tabs>
        <w:spacing w:line="240" w:lineRule="auto"/>
        <w:ind w:left="295" w:hanging="295"/>
      </w:pPr>
      <w:r>
        <w:t>a</w:t>
      </w:r>
      <w:r w:rsidR="004202D1" w:rsidRPr="008E66EC">
        <w:t xml:space="preserve">greement from </w:t>
      </w:r>
      <w:r w:rsidR="004202D1">
        <w:t xml:space="preserve">all affected spectrum </w:t>
      </w:r>
      <w:r w:rsidR="004202D1" w:rsidRPr="008E66EC">
        <w:t xml:space="preserve">licensees </w:t>
      </w:r>
      <w:r w:rsidR="004202D1">
        <w:t>is required for a defrag to occur (unless it occurs as part of licence re-issue in 2030)</w:t>
      </w:r>
      <w:r w:rsidR="004202D1" w:rsidRPr="008E66EC">
        <w:t xml:space="preserve">. </w:t>
      </w:r>
      <w:r w:rsidR="004202D1">
        <w:t xml:space="preserve">The auction of the re-allocated </w:t>
      </w:r>
      <w:r w:rsidR="004202D1">
        <w:lastRenderedPageBreak/>
        <w:t xml:space="preserve">spectrum could result in new licensees in the </w:t>
      </w:r>
      <w:r w:rsidR="005619B4">
        <w:t>3400</w:t>
      </w:r>
      <w:r>
        <w:t>–</w:t>
      </w:r>
      <w:r w:rsidR="005619B4">
        <w:t>3575 MHz</w:t>
      </w:r>
      <w:r w:rsidR="004202D1">
        <w:t xml:space="preserve"> band, further complicating defrag negotiations. One or more of these licensees </w:t>
      </w:r>
      <w:r w:rsidR="00A83CE4">
        <w:t xml:space="preserve">may influence whether and to </w:t>
      </w:r>
      <w:r w:rsidR="004202D1">
        <w:t xml:space="preserve">what degree defrag </w:t>
      </w:r>
      <w:r w:rsidR="00A83CE4">
        <w:t>is achieved</w:t>
      </w:r>
      <w:r w:rsidR="004202D1">
        <w:t xml:space="preserve"> in the band.</w:t>
      </w:r>
    </w:p>
    <w:p w14:paraId="0C20F501" w14:textId="2633F855" w:rsidR="00696044" w:rsidRDefault="00696044" w:rsidP="003C5923">
      <w:pPr>
        <w:spacing w:after="80"/>
        <w:rPr>
          <w:rFonts w:cs="Arial"/>
        </w:rPr>
      </w:pPr>
      <w:r>
        <w:rPr>
          <w:rFonts w:cs="Arial"/>
        </w:rPr>
        <w:t>The additional disadvantages of the proposed variant to Phase 1 are:</w:t>
      </w:r>
    </w:p>
    <w:p w14:paraId="6763DF1C" w14:textId="7A896AD4" w:rsidR="00696044" w:rsidRDefault="00696044" w:rsidP="004978EB">
      <w:pPr>
        <w:pStyle w:val="ListBullet"/>
        <w:numPr>
          <w:ilvl w:val="0"/>
          <w:numId w:val="18"/>
        </w:numPr>
        <w:tabs>
          <w:tab w:val="num" w:pos="295"/>
        </w:tabs>
        <w:spacing w:line="240" w:lineRule="auto"/>
        <w:ind w:left="295" w:hanging="295"/>
        <w:rPr>
          <w:rFonts w:cs="Arial"/>
        </w:rPr>
      </w:pPr>
      <w:r>
        <w:rPr>
          <w:rFonts w:cs="Arial"/>
        </w:rPr>
        <w:t xml:space="preserve">splitting the timing of conversion for different areas of NBN Co’s PTS licences adds another layer of complexity for NBN Co when registering </w:t>
      </w:r>
      <w:r w:rsidR="00671572">
        <w:rPr>
          <w:rFonts w:cs="Arial"/>
        </w:rPr>
        <w:t xml:space="preserve">radiocommunications </w:t>
      </w:r>
      <w:r>
        <w:rPr>
          <w:rFonts w:cs="Arial"/>
        </w:rPr>
        <w:t>devices close to the geographical boundaries of their spectrum and apparatus licences</w:t>
      </w:r>
    </w:p>
    <w:p w14:paraId="7D731467" w14:textId="116A8BC0" w:rsidR="00696044" w:rsidRDefault="00696044" w:rsidP="004978EB">
      <w:pPr>
        <w:pStyle w:val="ListBullet"/>
        <w:numPr>
          <w:ilvl w:val="0"/>
          <w:numId w:val="18"/>
        </w:numPr>
        <w:tabs>
          <w:tab w:val="num" w:pos="295"/>
        </w:tabs>
        <w:spacing w:line="240" w:lineRule="auto"/>
        <w:ind w:left="295" w:hanging="295"/>
      </w:pPr>
      <w:r>
        <w:t>twice as many consultation process</w:t>
      </w:r>
      <w:r w:rsidR="003641CC">
        <w:t>es</w:t>
      </w:r>
      <w:r>
        <w:t xml:space="preserve"> are required to convert all NBN Co’s PTS licence areas.</w:t>
      </w:r>
    </w:p>
    <w:p w14:paraId="7CA48F53" w14:textId="5760E04E" w:rsidR="003A36B4" w:rsidRPr="004978EB" w:rsidRDefault="003A36B4" w:rsidP="003C5923">
      <w:pPr>
        <w:pStyle w:val="Heading3"/>
      </w:pPr>
      <w:bookmarkStart w:id="96" w:name="_Toc6923121"/>
      <w:r w:rsidRPr="00B76636">
        <w:t>Assessment</w:t>
      </w:r>
      <w:r>
        <w:t xml:space="preserve"> </w:t>
      </w:r>
      <w:r w:rsidRPr="004978EB">
        <w:t>of Option 3b</w:t>
      </w:r>
      <w:r w:rsidR="00BD6A84" w:rsidRPr="004978EB">
        <w:t xml:space="preserve"> against the planning goals</w:t>
      </w:r>
      <w:bookmarkEnd w:id="96"/>
    </w:p>
    <w:p w14:paraId="19F26E23" w14:textId="4414B885" w:rsidR="00350E9B" w:rsidRPr="004978EB" w:rsidRDefault="00350E9B" w:rsidP="003C5923">
      <w:pPr>
        <w:spacing w:after="80"/>
        <w:rPr>
          <w:rFonts w:cs="Arial"/>
        </w:rPr>
      </w:pPr>
      <w:r w:rsidRPr="004978EB">
        <w:rPr>
          <w:rFonts w:cs="Arial"/>
        </w:rPr>
        <w:t>The same advantages as defined for Option 3a apply to Option 3b with the following addition:</w:t>
      </w:r>
    </w:p>
    <w:p w14:paraId="7C65D42A" w14:textId="04D45190" w:rsidR="00350E9B" w:rsidRPr="004978EB" w:rsidRDefault="00471085" w:rsidP="00350E9B">
      <w:pPr>
        <w:pStyle w:val="ListParagraph"/>
        <w:numPr>
          <w:ilvl w:val="0"/>
          <w:numId w:val="22"/>
        </w:numPr>
        <w:rPr>
          <w:rFonts w:cs="Arial"/>
        </w:rPr>
      </w:pPr>
      <w:r>
        <w:rPr>
          <w:rFonts w:cs="Arial"/>
        </w:rPr>
        <w:t>m</w:t>
      </w:r>
      <w:r w:rsidR="00350E9B" w:rsidRPr="004978EB">
        <w:rPr>
          <w:rFonts w:cs="Arial"/>
        </w:rPr>
        <w:t xml:space="preserve">ore spectrum is available for PMP licensing in </w:t>
      </w:r>
      <w:r w:rsidR="0066064F" w:rsidRPr="004978EB">
        <w:rPr>
          <w:rFonts w:cs="Arial"/>
        </w:rPr>
        <w:t>r</w:t>
      </w:r>
      <w:r w:rsidR="00350E9B" w:rsidRPr="004978EB">
        <w:rPr>
          <w:rFonts w:cs="Arial"/>
        </w:rPr>
        <w:t xml:space="preserve">egional areas and </w:t>
      </w:r>
      <w:r w:rsidR="0066064F" w:rsidRPr="004978EB">
        <w:rPr>
          <w:rFonts w:cs="Arial"/>
        </w:rPr>
        <w:t>m</w:t>
      </w:r>
      <w:r w:rsidR="00350E9B" w:rsidRPr="004978EB">
        <w:rPr>
          <w:rFonts w:cs="Arial"/>
        </w:rPr>
        <w:t>ajor regional centres.</w:t>
      </w:r>
    </w:p>
    <w:p w14:paraId="072398FF" w14:textId="6DB3CA91" w:rsidR="00781114" w:rsidRPr="004978EB" w:rsidRDefault="00350E9B" w:rsidP="003C5923">
      <w:pPr>
        <w:spacing w:after="80"/>
        <w:rPr>
          <w:rFonts w:cs="Arial"/>
        </w:rPr>
      </w:pPr>
      <w:r w:rsidRPr="004978EB">
        <w:rPr>
          <w:rFonts w:cs="Arial"/>
        </w:rPr>
        <w:t>The same disadvantages as defined for Option 3a apply to Option 3b</w:t>
      </w:r>
      <w:r w:rsidR="00781114" w:rsidRPr="004978EB">
        <w:rPr>
          <w:rFonts w:cs="Arial"/>
        </w:rPr>
        <w:t xml:space="preserve"> with the following possible addition:</w:t>
      </w:r>
    </w:p>
    <w:p w14:paraId="2BAD8734" w14:textId="6049AF3E" w:rsidR="00350E9B" w:rsidRPr="004978EB" w:rsidRDefault="00471085" w:rsidP="009A38B3">
      <w:pPr>
        <w:pStyle w:val="ListParagraph"/>
        <w:numPr>
          <w:ilvl w:val="0"/>
          <w:numId w:val="22"/>
        </w:numPr>
        <w:rPr>
          <w:rFonts w:cs="Arial"/>
        </w:rPr>
      </w:pPr>
      <w:r>
        <w:rPr>
          <w:rFonts w:cs="Arial"/>
        </w:rPr>
        <w:t>l</w:t>
      </w:r>
      <w:r w:rsidR="00781114" w:rsidRPr="004978EB">
        <w:rPr>
          <w:rFonts w:cs="Arial"/>
        </w:rPr>
        <w:t xml:space="preserve">ess spectrum is made available for spectrum licensing in </w:t>
      </w:r>
      <w:r w:rsidR="0066064F" w:rsidRPr="004978EB">
        <w:rPr>
          <w:rFonts w:cs="Arial"/>
        </w:rPr>
        <w:t>r</w:t>
      </w:r>
      <w:r w:rsidR="00781114" w:rsidRPr="004978EB">
        <w:rPr>
          <w:rFonts w:cs="Arial"/>
        </w:rPr>
        <w:t xml:space="preserve">egional areas and </w:t>
      </w:r>
      <w:r w:rsidR="0066064F" w:rsidRPr="004978EB">
        <w:rPr>
          <w:rFonts w:cs="Arial"/>
        </w:rPr>
        <w:t>m</w:t>
      </w:r>
      <w:r w:rsidR="00781114" w:rsidRPr="004978EB">
        <w:rPr>
          <w:rFonts w:cs="Arial"/>
        </w:rPr>
        <w:t>ajor regional centres when compared with other options.</w:t>
      </w:r>
    </w:p>
    <w:p w14:paraId="6C910C5C" w14:textId="05D4C4A1" w:rsidR="00065BE1" w:rsidRPr="004978EB" w:rsidRDefault="00065BE1" w:rsidP="00065BE1">
      <w:pPr>
        <w:pStyle w:val="Heading2"/>
        <w:spacing w:after="120"/>
      </w:pPr>
      <w:bookmarkStart w:id="97" w:name="_Toc6923122"/>
      <w:r w:rsidRPr="004978EB">
        <w:t xml:space="preserve">Assessment of planning options against the </w:t>
      </w:r>
      <w:r w:rsidR="00471085">
        <w:t>p</w:t>
      </w:r>
      <w:r w:rsidRPr="004978EB">
        <w:t>rinciples</w:t>
      </w:r>
      <w:bookmarkEnd w:id="97"/>
    </w:p>
    <w:p w14:paraId="774EAC36" w14:textId="16B51FB5" w:rsidR="0032288D" w:rsidRDefault="0032288D" w:rsidP="0032288D">
      <w:pPr>
        <w:pStyle w:val="ListNumber"/>
        <w:numPr>
          <w:ilvl w:val="0"/>
          <w:numId w:val="0"/>
        </w:numPr>
        <w:spacing w:before="240" w:after="240" w:line="240" w:lineRule="auto"/>
      </w:pPr>
      <w:r w:rsidRPr="004978EB">
        <w:t xml:space="preserve">An assessment of each of the </w:t>
      </w:r>
      <w:r w:rsidR="00065BE1" w:rsidRPr="004978EB">
        <w:t>planning</w:t>
      </w:r>
      <w:r w:rsidRPr="004978EB">
        <w:t xml:space="preserve"> option</w:t>
      </w:r>
      <w:r w:rsidR="00065BE1" w:rsidRPr="004978EB">
        <w:t>s</w:t>
      </w:r>
      <w:r w:rsidRPr="004978EB">
        <w:t xml:space="preserve"> against the Principles for Spectrum Management is </w:t>
      </w:r>
      <w:r w:rsidR="00065BE1" w:rsidRPr="004978EB">
        <w:t xml:space="preserve">provided at </w:t>
      </w:r>
      <w:r w:rsidR="00065BE1" w:rsidRPr="003C5923">
        <w:t>Appendix E</w:t>
      </w:r>
      <w:r w:rsidRPr="004978EB">
        <w:t>.</w:t>
      </w:r>
      <w:r>
        <w:t xml:space="preserve"> </w:t>
      </w:r>
    </w:p>
    <w:p w14:paraId="4B4E86AB" w14:textId="70BCE62C" w:rsidR="00CD51FE" w:rsidRDefault="00CD51FE" w:rsidP="003C1B83">
      <w:pPr>
        <w:pStyle w:val="ListParagraph"/>
        <w:numPr>
          <w:ilvl w:val="0"/>
          <w:numId w:val="64"/>
        </w:numPr>
        <w:shd w:val="clear" w:color="auto" w:fill="F2F2F2" w:themeFill="background1" w:themeFillShade="F2"/>
        <w:spacing w:before="120" w:after="120" w:line="240" w:lineRule="auto"/>
        <w:contextualSpacing w:val="0"/>
        <w:rPr>
          <w:b/>
        </w:rPr>
      </w:pPr>
      <w:bookmarkStart w:id="98" w:name="_Hlk5797123"/>
      <w:r>
        <w:rPr>
          <w:b/>
        </w:rPr>
        <w:t xml:space="preserve">Do stakeholders have any comments on the assessment of planning options against the </w:t>
      </w:r>
      <w:r w:rsidR="00471085">
        <w:rPr>
          <w:b/>
        </w:rPr>
        <w:t>p</w:t>
      </w:r>
      <w:r>
        <w:rPr>
          <w:b/>
        </w:rPr>
        <w:t>rinciples</w:t>
      </w:r>
      <w:r w:rsidRPr="00A05EC9">
        <w:rPr>
          <w:b/>
        </w:rPr>
        <w:t>?</w:t>
      </w:r>
      <w:bookmarkEnd w:id="98"/>
    </w:p>
    <w:p w14:paraId="537DDB9D" w14:textId="70285314" w:rsidR="00017FDB" w:rsidRPr="00266082" w:rsidRDefault="00017FDB" w:rsidP="003C1B83">
      <w:pPr>
        <w:pStyle w:val="ListParagraph"/>
        <w:numPr>
          <w:ilvl w:val="0"/>
          <w:numId w:val="64"/>
        </w:numPr>
        <w:shd w:val="clear" w:color="auto" w:fill="F2F2F2" w:themeFill="background1" w:themeFillShade="F2"/>
        <w:spacing w:before="120" w:after="120" w:line="240" w:lineRule="auto"/>
        <w:contextualSpacing w:val="0"/>
        <w:rPr>
          <w:b/>
        </w:rPr>
      </w:pPr>
      <w:bookmarkStart w:id="99" w:name="_Hlk5803060"/>
      <w:r>
        <w:rPr>
          <w:b/>
          <w:bCs/>
        </w:rPr>
        <w:t>Is there any relevant evidence that provides an indication of the value wireless broadband operators place on how additional spectrum is made available (i.e. under spectrum or apparatus licensing arrangements)</w:t>
      </w:r>
      <w:r w:rsidRPr="00A05EC9">
        <w:rPr>
          <w:b/>
        </w:rPr>
        <w:t>?</w:t>
      </w:r>
    </w:p>
    <w:bookmarkEnd w:id="99"/>
    <w:p w14:paraId="335D6007" w14:textId="77777777" w:rsidR="0032288D" w:rsidRPr="00E956F7" w:rsidRDefault="0032288D" w:rsidP="00350E9B">
      <w:pPr>
        <w:rPr>
          <w:rFonts w:cs="Arial"/>
        </w:rPr>
      </w:pPr>
    </w:p>
    <w:p w14:paraId="568D2EF3" w14:textId="77777777" w:rsidR="00FF449E" w:rsidRPr="00AA6243" w:rsidRDefault="00FF449E" w:rsidP="00FF449E">
      <w:pPr>
        <w:pStyle w:val="Heading1"/>
      </w:pPr>
      <w:bookmarkStart w:id="100" w:name="_Toc6923123"/>
      <w:r w:rsidRPr="00AA6243">
        <w:lastRenderedPageBreak/>
        <w:t>ACMA preferred planning option</w:t>
      </w:r>
      <w:bookmarkEnd w:id="100"/>
    </w:p>
    <w:p w14:paraId="014EF507" w14:textId="0C09F69E" w:rsidR="00FF449E" w:rsidRPr="009C1871" w:rsidRDefault="00FF449E" w:rsidP="00FF449E">
      <w:pPr>
        <w:spacing w:before="240"/>
        <w:rPr>
          <w:rFonts w:cs="Arial"/>
        </w:rPr>
      </w:pPr>
      <w:r w:rsidRPr="00577686">
        <w:rPr>
          <w:rFonts w:cs="Arial"/>
          <w:bCs/>
        </w:rPr>
        <w:t>In determining a preferred planning option for the 3400</w:t>
      </w:r>
      <w:r>
        <w:rPr>
          <w:rFonts w:cs="Arial"/>
          <w:bCs/>
        </w:rPr>
        <w:t>–</w:t>
      </w:r>
      <w:r w:rsidRPr="00577686">
        <w:rPr>
          <w:rFonts w:cs="Arial"/>
          <w:bCs/>
        </w:rPr>
        <w:t>3575 MHz band, the ACMA has considered the assessment of each planning option against its planning goals</w:t>
      </w:r>
      <w:r w:rsidR="000361C6">
        <w:rPr>
          <w:rFonts w:cs="Arial"/>
          <w:bCs/>
        </w:rPr>
        <w:t xml:space="preserve"> (refer to the </w:t>
      </w:r>
      <w:r w:rsidR="00240162">
        <w:rPr>
          <w:rFonts w:cs="Arial"/>
          <w:bCs/>
        </w:rPr>
        <w:t>‘</w:t>
      </w:r>
      <w:r w:rsidR="000361C6" w:rsidRPr="003C5923">
        <w:rPr>
          <w:rFonts w:cs="Arial"/>
          <w:bCs/>
        </w:rPr>
        <w:t>Planning goals</w:t>
      </w:r>
      <w:r w:rsidR="00240162">
        <w:rPr>
          <w:rFonts w:cs="Arial"/>
          <w:bCs/>
        </w:rPr>
        <w:t>’</w:t>
      </w:r>
      <w:r w:rsidR="000361C6">
        <w:rPr>
          <w:rFonts w:cs="Arial"/>
          <w:bCs/>
        </w:rPr>
        <w:t xml:space="preserve"> section)</w:t>
      </w:r>
      <w:r w:rsidRPr="00577686">
        <w:rPr>
          <w:rFonts w:cs="Arial"/>
          <w:bCs/>
        </w:rPr>
        <w:t xml:space="preserve"> and the Principles </w:t>
      </w:r>
      <w:r>
        <w:rPr>
          <w:rFonts w:cs="Arial"/>
          <w:bCs/>
        </w:rPr>
        <w:t>for</w:t>
      </w:r>
      <w:r w:rsidRPr="00577686">
        <w:rPr>
          <w:rFonts w:cs="Arial"/>
          <w:bCs/>
        </w:rPr>
        <w:t xml:space="preserve"> </w:t>
      </w:r>
      <w:r>
        <w:rPr>
          <w:rFonts w:cs="Arial"/>
          <w:bCs/>
        </w:rPr>
        <w:t>s</w:t>
      </w:r>
      <w:r w:rsidRPr="00577686">
        <w:rPr>
          <w:rFonts w:cs="Arial"/>
          <w:bCs/>
        </w:rPr>
        <w:t xml:space="preserve">pectrum </w:t>
      </w:r>
      <w:r>
        <w:rPr>
          <w:rFonts w:cs="Arial"/>
          <w:bCs/>
        </w:rPr>
        <w:t>m</w:t>
      </w:r>
      <w:r w:rsidRPr="00577686">
        <w:rPr>
          <w:rFonts w:cs="Arial"/>
          <w:bCs/>
        </w:rPr>
        <w:t>anagement</w:t>
      </w:r>
      <w:r>
        <w:rPr>
          <w:rFonts w:cs="Arial"/>
          <w:bCs/>
        </w:rPr>
        <w:t xml:space="preserve"> (refer to </w:t>
      </w:r>
      <w:r>
        <w:rPr>
          <w:rFonts w:cs="Arial"/>
          <w:bCs/>
          <w:i/>
        </w:rPr>
        <w:t>Appendix E</w:t>
      </w:r>
      <w:r>
        <w:rPr>
          <w:rFonts w:cs="Arial"/>
          <w:bCs/>
        </w:rPr>
        <w:t>)</w:t>
      </w:r>
      <w:r w:rsidRPr="00577686">
        <w:rPr>
          <w:rFonts w:cs="Arial"/>
          <w:bCs/>
        </w:rPr>
        <w:t xml:space="preserve">. </w:t>
      </w:r>
      <w:r>
        <w:rPr>
          <w:rFonts w:cs="Arial"/>
          <w:bCs/>
        </w:rPr>
        <w:t>This is divided into a preferred option for remote areas as well as metropolitan areas, regional areas and major regional centres.</w:t>
      </w:r>
      <w:r>
        <w:rPr>
          <w:rFonts w:cs="Arial"/>
        </w:rPr>
        <w:t xml:space="preserve"> </w:t>
      </w:r>
      <w:r w:rsidRPr="009C1871">
        <w:rPr>
          <w:rFonts w:cs="Arial"/>
        </w:rPr>
        <w:t xml:space="preserve"> </w:t>
      </w:r>
    </w:p>
    <w:p w14:paraId="4D1AAB5D" w14:textId="77777777" w:rsidR="00FF449E" w:rsidRPr="00AA6243" w:rsidRDefault="00FF449E" w:rsidP="003C5923">
      <w:pPr>
        <w:pStyle w:val="Heading2"/>
      </w:pPr>
      <w:bookmarkStart w:id="101" w:name="_Toc6923124"/>
      <w:r w:rsidRPr="00AA6243">
        <w:t>Remote areas</w:t>
      </w:r>
      <w:bookmarkEnd w:id="101"/>
    </w:p>
    <w:p w14:paraId="132CF3DE" w14:textId="38FB07AE" w:rsidR="00FF449E" w:rsidRDefault="00FF449E" w:rsidP="003C5923">
      <w:r>
        <w:t xml:space="preserve">Except for Option 1, all options identified in this paper can meet the ACMA’s planning goals for the 3400–3575 MHz band in remote areas. This is because the same licensing arrangements (apparatus licensing) apply across the band. In addition, there is currently no intention to extend spectrum licensing into remote areas beyond the areas that were identified for re-allocation under the </w:t>
      </w:r>
      <w:hyperlink r:id="rId49" w:history="1">
        <w:r w:rsidRPr="00E33208">
          <w:rPr>
            <w:rStyle w:val="Hyperlink"/>
            <w:rFonts w:cs="Arial"/>
          </w:rPr>
          <w:t>3.6 GHz band review process</w:t>
        </w:r>
      </w:hyperlink>
      <w:r>
        <w:t xml:space="preserve">. This makes the consideration and implementation of arrangements in remote areas a far simpler task as Options 2a, 2b, 3a and 3b all propose the same approach in remote areas. </w:t>
      </w:r>
    </w:p>
    <w:p w14:paraId="3E944BDD" w14:textId="0B36CA4B" w:rsidR="00FF449E" w:rsidRDefault="00FF449E" w:rsidP="00FF449E">
      <w:pPr>
        <w:spacing w:before="120"/>
        <w:rPr>
          <w:rFonts w:cs="Arial"/>
        </w:rPr>
      </w:pPr>
      <w:r>
        <w:rPr>
          <w:rFonts w:cs="Arial"/>
        </w:rPr>
        <w:t xml:space="preserve">The ACMA therefore proposes to progress development and consultation of arrangements for TDD PMP in remote areas. </w:t>
      </w:r>
      <w:bookmarkStart w:id="102" w:name="_Hlk5608385"/>
      <w:r>
        <w:rPr>
          <w:rFonts w:cs="Arial"/>
        </w:rPr>
        <w:t>It is further proposed that such a process also incorporate the TDD PMP arrangements in the adjacent 3575–3700 MHz band. This is because international standards for wireless broadband extend from 3300–3800 MHz and currently available equipment is typically tuneable across this entire frequency range.</w:t>
      </w:r>
    </w:p>
    <w:bookmarkEnd w:id="102"/>
    <w:p w14:paraId="5A2F2A4F" w14:textId="77777777" w:rsidR="00FF449E" w:rsidRDefault="00FF449E" w:rsidP="003C5923">
      <w:pPr>
        <w:spacing w:after="80"/>
      </w:pPr>
      <w:r>
        <w:rPr>
          <w:rFonts w:cs="Arial"/>
        </w:rPr>
        <w:t xml:space="preserve">In summary, for remote areas the ACMA proposes to: </w:t>
      </w:r>
    </w:p>
    <w:p w14:paraId="5E770E69" w14:textId="7EF32EBA" w:rsidR="00FF449E" w:rsidRPr="00AA6243" w:rsidRDefault="00FF449E" w:rsidP="00FF449E">
      <w:pPr>
        <w:pStyle w:val="ListBullet"/>
        <w:numPr>
          <w:ilvl w:val="0"/>
          <w:numId w:val="18"/>
        </w:numPr>
        <w:tabs>
          <w:tab w:val="num" w:pos="295"/>
        </w:tabs>
        <w:spacing w:line="240" w:lineRule="auto"/>
        <w:ind w:left="295" w:hanging="295"/>
      </w:pPr>
      <w:r w:rsidRPr="00AA6243">
        <w:t>develop arrangements for TDD PMP across the broader 3400–3700 MHz band</w:t>
      </w:r>
    </w:p>
    <w:p w14:paraId="1870B9B3" w14:textId="11E5DFF9" w:rsidR="00FF449E" w:rsidRPr="00C161CD" w:rsidRDefault="00FF449E" w:rsidP="00FF449E">
      <w:pPr>
        <w:pStyle w:val="ListBullet"/>
        <w:numPr>
          <w:ilvl w:val="0"/>
          <w:numId w:val="18"/>
        </w:numPr>
        <w:tabs>
          <w:tab w:val="num" w:pos="295"/>
        </w:tabs>
        <w:spacing w:line="240" w:lineRule="auto"/>
        <w:ind w:left="295" w:hanging="295"/>
      </w:pPr>
      <w:r w:rsidRPr="00C161CD">
        <w:t>investigate making larger TDD PMP channel sizes (e.g. 40–100 MHz) available</w:t>
      </w:r>
    </w:p>
    <w:p w14:paraId="3790BC8E" w14:textId="0E542055" w:rsidR="00FF449E" w:rsidRPr="007130E5" w:rsidRDefault="00FF449E" w:rsidP="00FF449E">
      <w:pPr>
        <w:pStyle w:val="ListBullet"/>
        <w:numPr>
          <w:ilvl w:val="0"/>
          <w:numId w:val="18"/>
        </w:numPr>
        <w:tabs>
          <w:tab w:val="num" w:pos="295"/>
        </w:tabs>
        <w:spacing w:line="240" w:lineRule="auto"/>
        <w:ind w:left="295" w:hanging="295"/>
      </w:pPr>
      <w:r w:rsidRPr="000A4CA1">
        <w:t xml:space="preserve">grandfather existing FDD PMP licences for an indefinite </w:t>
      </w:r>
      <w:r w:rsidRPr="00F54B2B">
        <w:t xml:space="preserve">period. Due to the amount of spectrum being considered and the </w:t>
      </w:r>
      <w:r w:rsidRPr="00B440F0">
        <w:t>limited nu</w:t>
      </w:r>
      <w:r w:rsidRPr="00345B56">
        <w:t>mber of FDD PMP licences in remote areas</w:t>
      </w:r>
      <w:r w:rsidRPr="00B91F23">
        <w:t xml:space="preserve"> (there are two licences with operating bandwidths less than 10 MHz each</w:t>
      </w:r>
      <w:r w:rsidRPr="008C0FC5">
        <w:t>), this is expected to have a negligible impact on access to the band by new TDD PMP services</w:t>
      </w:r>
    </w:p>
    <w:p w14:paraId="469E53B9" w14:textId="78DE3F9C" w:rsidR="00FF449E" w:rsidRPr="00C161CD" w:rsidRDefault="00FF449E" w:rsidP="00FF449E">
      <w:pPr>
        <w:pStyle w:val="ListBullet"/>
        <w:numPr>
          <w:ilvl w:val="0"/>
          <w:numId w:val="18"/>
        </w:numPr>
        <w:tabs>
          <w:tab w:val="num" w:pos="295"/>
        </w:tabs>
        <w:spacing w:after="240" w:line="240" w:lineRule="auto"/>
        <w:ind w:left="295" w:hanging="295"/>
      </w:pPr>
      <w:r w:rsidRPr="007130E5">
        <w:t>maintain existing arrangements for amateur and FSS access to the band on a secondary basi</w:t>
      </w:r>
      <w:r w:rsidRPr="001707B9">
        <w:t>s</w:t>
      </w:r>
      <w:r w:rsidRPr="00474486">
        <w:rPr>
          <w:rFonts w:cs="Arial"/>
        </w:rPr>
        <w:t xml:space="preserve">. </w:t>
      </w:r>
    </w:p>
    <w:p w14:paraId="42FECCA1" w14:textId="77777777" w:rsidR="00FF449E" w:rsidRDefault="00FF449E" w:rsidP="003C5923">
      <w:pPr>
        <w:pStyle w:val="ListParagraph"/>
        <w:numPr>
          <w:ilvl w:val="0"/>
          <w:numId w:val="64"/>
        </w:numPr>
        <w:shd w:val="clear" w:color="auto" w:fill="F2F2F2" w:themeFill="background1" w:themeFillShade="F2"/>
        <w:spacing w:before="120" w:after="120"/>
        <w:contextualSpacing w:val="0"/>
        <w:rPr>
          <w:b/>
        </w:rPr>
      </w:pPr>
      <w:bookmarkStart w:id="103" w:name="_Hlk5797186"/>
      <w:r>
        <w:rPr>
          <w:b/>
        </w:rPr>
        <w:t>Do stakeholders have any comments on the preferred planning option for remote areas?</w:t>
      </w:r>
    </w:p>
    <w:p w14:paraId="43FD0FF5" w14:textId="013B49F3" w:rsidR="00FF449E" w:rsidRDefault="00FF449E" w:rsidP="00FF449E">
      <w:pPr>
        <w:pStyle w:val="ListParagraph"/>
        <w:numPr>
          <w:ilvl w:val="0"/>
          <w:numId w:val="64"/>
        </w:numPr>
        <w:shd w:val="clear" w:color="auto" w:fill="F2F2F2" w:themeFill="background1" w:themeFillShade="F2"/>
        <w:spacing w:before="120" w:after="120" w:line="240" w:lineRule="auto"/>
        <w:contextualSpacing w:val="0"/>
        <w:rPr>
          <w:b/>
        </w:rPr>
      </w:pPr>
      <w:r>
        <w:rPr>
          <w:b/>
        </w:rPr>
        <w:t>Should the broader 3400–3700 MHz band be considered when expanding arrangements for PMP in remote areas?</w:t>
      </w:r>
      <w:bookmarkEnd w:id="103"/>
    </w:p>
    <w:p w14:paraId="5E5A112E" w14:textId="77777777" w:rsidR="00FF449E" w:rsidRPr="000A4CA1" w:rsidRDefault="00FF449E" w:rsidP="003C5923">
      <w:pPr>
        <w:pStyle w:val="Heading2"/>
      </w:pPr>
      <w:bookmarkStart w:id="104" w:name="_Toc6923125"/>
      <w:r w:rsidRPr="00C161CD">
        <w:t>Metropolitan areas, regional areas and major regional centres</w:t>
      </w:r>
      <w:bookmarkEnd w:id="104"/>
    </w:p>
    <w:p w14:paraId="4051F01F" w14:textId="153D7E25" w:rsidR="00FF449E" w:rsidRDefault="00FF449E" w:rsidP="00FF449E">
      <w:pPr>
        <w:rPr>
          <w:rFonts w:cs="Arial"/>
        </w:rPr>
      </w:pPr>
      <w:r w:rsidRPr="00615272">
        <w:rPr>
          <w:rFonts w:cs="Arial"/>
        </w:rPr>
        <w:t xml:space="preserve">It is clear Option 1 does not meet all </w:t>
      </w:r>
      <w:r>
        <w:rPr>
          <w:rFonts w:cs="Arial"/>
        </w:rPr>
        <w:t>of</w:t>
      </w:r>
      <w:r w:rsidRPr="00615272">
        <w:rPr>
          <w:rFonts w:cs="Arial"/>
        </w:rPr>
        <w:t xml:space="preserve"> the </w:t>
      </w:r>
      <w:r>
        <w:rPr>
          <w:rFonts w:cs="Arial"/>
        </w:rPr>
        <w:t>ACMA’s planning goals (refer to ‘</w:t>
      </w:r>
      <w:r w:rsidRPr="003C5923">
        <w:rPr>
          <w:rFonts w:cs="Arial"/>
        </w:rPr>
        <w:t>Planning goals</w:t>
      </w:r>
      <w:r>
        <w:rPr>
          <w:rFonts w:cs="Arial"/>
        </w:rPr>
        <w:t>’ in this document).</w:t>
      </w:r>
      <w:r w:rsidRPr="00615272">
        <w:rPr>
          <w:rFonts w:cs="Arial"/>
        </w:rPr>
        <w:t xml:space="preserve"> </w:t>
      </w:r>
      <w:r>
        <w:rPr>
          <w:rFonts w:cs="Arial"/>
        </w:rPr>
        <w:t>S</w:t>
      </w:r>
      <w:r w:rsidRPr="00615272">
        <w:rPr>
          <w:rFonts w:cs="Arial"/>
        </w:rPr>
        <w:t>pecifically</w:t>
      </w:r>
      <w:r>
        <w:rPr>
          <w:rFonts w:cs="Arial"/>
        </w:rPr>
        <w:t xml:space="preserve">, </w:t>
      </w:r>
      <w:r w:rsidRPr="00615272">
        <w:rPr>
          <w:rFonts w:cs="Arial"/>
        </w:rPr>
        <w:t>it does not remove barriers for change</w:t>
      </w:r>
      <w:r>
        <w:rPr>
          <w:rFonts w:cs="Arial"/>
        </w:rPr>
        <w:t xml:space="preserve"> or establish a</w:t>
      </w:r>
      <w:r>
        <w:t>rrangements for wireless broadband use across the entire 3400–3575 MHz band</w:t>
      </w:r>
      <w:r w:rsidRPr="00615272">
        <w:rPr>
          <w:rFonts w:cs="Arial"/>
        </w:rPr>
        <w:t xml:space="preserve">. Options 2a and 2b also do not meet </w:t>
      </w:r>
      <w:r>
        <w:rPr>
          <w:rFonts w:cs="Arial"/>
        </w:rPr>
        <w:t>all these goals</w:t>
      </w:r>
      <w:r w:rsidRPr="00615272">
        <w:rPr>
          <w:rFonts w:cs="Arial"/>
        </w:rPr>
        <w:t>. The main failing is</w:t>
      </w:r>
      <w:r>
        <w:rPr>
          <w:rFonts w:cs="Arial"/>
        </w:rPr>
        <w:t xml:space="preserve"> that</w:t>
      </w:r>
      <w:r w:rsidRPr="00615272">
        <w:rPr>
          <w:rFonts w:cs="Arial"/>
        </w:rPr>
        <w:t xml:space="preserve"> they do not provide the same amount of spectrum for</w:t>
      </w:r>
      <w:r w:rsidRPr="00615272">
        <w:t xml:space="preserve"> PMP licensing</w:t>
      </w:r>
      <w:r w:rsidRPr="000E7DB2">
        <w:t xml:space="preserve"> </w:t>
      </w:r>
      <w:r>
        <w:t>in all regional areas. This means some incumbent PMP licensees are not provided with an option continue operating in the band.</w:t>
      </w:r>
    </w:p>
    <w:p w14:paraId="2275AA02" w14:textId="67FBB1D3" w:rsidR="00FF449E" w:rsidRDefault="00FF449E" w:rsidP="00FF449E">
      <w:pPr>
        <w:rPr>
          <w:rFonts w:cs="Arial"/>
        </w:rPr>
      </w:pPr>
      <w:bookmarkStart w:id="105" w:name="_Hlk5633392"/>
      <w:r>
        <w:rPr>
          <w:rFonts w:cs="Arial"/>
        </w:rPr>
        <w:t xml:space="preserve">Options 3a and 3b </w:t>
      </w:r>
      <w:r w:rsidR="007528B1">
        <w:rPr>
          <w:rFonts w:cs="Arial"/>
        </w:rPr>
        <w:t>come the closest to</w:t>
      </w:r>
      <w:r>
        <w:rPr>
          <w:rFonts w:cs="Arial"/>
        </w:rPr>
        <w:t xml:space="preserve"> meet</w:t>
      </w:r>
      <w:r w:rsidR="007528B1">
        <w:rPr>
          <w:rFonts w:cs="Arial"/>
        </w:rPr>
        <w:t>ing</w:t>
      </w:r>
      <w:r>
        <w:rPr>
          <w:rFonts w:cs="Arial"/>
        </w:rPr>
        <w:t xml:space="preserve"> all the ACMA’s planning goals for the 3400–3575 MHz band. </w:t>
      </w:r>
      <w:r w:rsidR="007528B1">
        <w:rPr>
          <w:rFonts w:cs="Arial"/>
        </w:rPr>
        <w:t>The only goal they are not able to fully meet is facilitating</w:t>
      </w:r>
      <w:r w:rsidR="007528B1">
        <w:t xml:space="preserve"> area-</w:t>
      </w:r>
      <w:r w:rsidR="007528B1" w:rsidRPr="00274368">
        <w:t xml:space="preserve">based PTS and spectrum licensees </w:t>
      </w:r>
      <w:r w:rsidR="007528B1">
        <w:t xml:space="preserve">to obtain </w:t>
      </w:r>
      <w:r w:rsidR="007528B1" w:rsidRPr="00274368">
        <w:t>contiguous spectrum holdings in all areas in which they hold licences</w:t>
      </w:r>
      <w:r w:rsidR="007528B1">
        <w:t xml:space="preserve">. While a full defrag can be achieved in metropolitan </w:t>
      </w:r>
      <w:r w:rsidR="007528B1">
        <w:lastRenderedPageBreak/>
        <w:t>areas and major regional centres, only partial defrag is achievable in regional areas. However, this outcome is considered sufficient for licensees to realise benefits such as greater utilisation of their spectrum holdings and decreased network costs.</w:t>
      </w:r>
    </w:p>
    <w:p w14:paraId="1707D2EA" w14:textId="76BA57F4" w:rsidR="00FF449E" w:rsidRDefault="00FF449E" w:rsidP="00FF449E">
      <w:pPr>
        <w:rPr>
          <w:rFonts w:cs="Arial"/>
        </w:rPr>
      </w:pPr>
      <w:r>
        <w:rPr>
          <w:rFonts w:cs="Arial"/>
        </w:rPr>
        <w:t xml:space="preserve">On the current assessment, making more of the band available for both spectrum licensing and PMP apparatus licensing in regional areas and major regional centres, represents the HVU for the band and best meets policy objectives. </w:t>
      </w:r>
      <w:r>
        <w:rPr>
          <w:rFonts w:cs="Arial"/>
          <w:szCs w:val="20"/>
        </w:rPr>
        <w:t>The ACMA considers wireless broadband to be the highest value use of the 3400</w:t>
      </w:r>
      <w:r>
        <w:rPr>
          <w:rFonts w:cs="Arial"/>
          <w:szCs w:val="20"/>
        </w:rPr>
        <w:softHyphen/>
        <w:t xml:space="preserve">–3575 MHz band. This was made evident in the 3.6 GHz band auction, which concluded in December 2018 and was for equivalent spectrum between 3575–3700 MHz. </w:t>
      </w:r>
      <w:r>
        <w:rPr>
          <w:rFonts w:cs="Arial"/>
        </w:rPr>
        <w:t xml:space="preserve">Such an approach </w:t>
      </w:r>
      <w:r w:rsidR="00665A91">
        <w:rPr>
          <w:rFonts w:cs="Arial"/>
        </w:rPr>
        <w:t xml:space="preserve">can </w:t>
      </w:r>
      <w:r>
        <w:rPr>
          <w:rFonts w:cs="Arial"/>
        </w:rPr>
        <w:t xml:space="preserve">also </w:t>
      </w:r>
      <w:bookmarkStart w:id="106" w:name="_Hlk5608555"/>
      <w:r>
        <w:rPr>
          <w:rFonts w:cs="Arial"/>
        </w:rPr>
        <w:t>provide more spectrum for large wireless broadband operators as well as WISPs and other localised wireless broadband operators.</w:t>
      </w:r>
      <w:bookmarkEnd w:id="106"/>
      <w:r>
        <w:rPr>
          <w:rFonts w:cs="Arial"/>
        </w:rPr>
        <w:t xml:space="preserve"> This leads to the identification of Option 3b as being the preliminary preferred option for the 3400–3575 MHz band.</w:t>
      </w:r>
    </w:p>
    <w:p w14:paraId="223319BA" w14:textId="77777777" w:rsidR="00FF449E" w:rsidRDefault="00FF449E" w:rsidP="00FF449E">
      <w:r>
        <w:rPr>
          <w:rFonts w:cs="Arial"/>
        </w:rPr>
        <w:t>The ACMA is still considering whether</w:t>
      </w:r>
      <w:r>
        <w:t xml:space="preserve"> </w:t>
      </w:r>
      <w:r w:rsidRPr="002C1DA3">
        <w:t>an earlier</w:t>
      </w:r>
      <w:r>
        <w:t xml:space="preserve"> conversion of NBN Co’s PTS licences</w:t>
      </w:r>
      <w:r w:rsidRPr="002C1DA3">
        <w:t xml:space="preserve"> in </w:t>
      </w:r>
      <w:r>
        <w:t>m</w:t>
      </w:r>
      <w:r w:rsidRPr="002C1DA3">
        <w:t xml:space="preserve">etropolitan areas </w:t>
      </w:r>
      <w:r>
        <w:t xml:space="preserve">offers </w:t>
      </w:r>
      <w:bookmarkStart w:id="107" w:name="_Hlk5610115"/>
      <w:r w:rsidRPr="002C1DA3">
        <w:t>greater certainty for negotiations on defrag to occur</w:t>
      </w:r>
      <w:bookmarkEnd w:id="107"/>
      <w:r>
        <w:t>, before it could be applied to Option 3b.</w:t>
      </w:r>
    </w:p>
    <w:p w14:paraId="1D6EA953" w14:textId="77777777" w:rsidR="00FF449E" w:rsidRDefault="00FF449E" w:rsidP="00FF449E">
      <w:pPr>
        <w:rPr>
          <w:rFonts w:cs="Arial"/>
        </w:rPr>
      </w:pPr>
      <w:r>
        <w:t>F</w:t>
      </w:r>
      <w:r>
        <w:rPr>
          <w:rFonts w:cs="Arial"/>
        </w:rPr>
        <w:t xml:space="preserve">eedback is sought on the assessment of options and other the issues raised in this paper. Any information provided will assist the ACMA in determining a way forward in the band. </w:t>
      </w:r>
    </w:p>
    <w:bookmarkEnd w:id="105"/>
    <w:p w14:paraId="396283D5" w14:textId="77777777" w:rsidR="00FF449E" w:rsidRPr="00AB702D" w:rsidRDefault="00FF449E" w:rsidP="00FF449E">
      <w:r>
        <w:rPr>
          <w:rFonts w:cs="Arial"/>
        </w:rPr>
        <w:t xml:space="preserve">Once a way forward has been identified, a detailed plan and timeframe for implementation will be developed.  </w:t>
      </w:r>
    </w:p>
    <w:p w14:paraId="13686271" w14:textId="77777777" w:rsidR="00FF449E" w:rsidRDefault="00FF449E" w:rsidP="00FF449E">
      <w:pPr>
        <w:pStyle w:val="ListParagraph"/>
        <w:numPr>
          <w:ilvl w:val="0"/>
          <w:numId w:val="64"/>
        </w:numPr>
        <w:shd w:val="clear" w:color="auto" w:fill="F2F2F2" w:themeFill="background1" w:themeFillShade="F2"/>
        <w:spacing w:before="120" w:after="120" w:line="240" w:lineRule="auto"/>
        <w:contextualSpacing w:val="0"/>
        <w:rPr>
          <w:b/>
        </w:rPr>
      </w:pPr>
      <w:bookmarkStart w:id="108" w:name="_Hlk5797051"/>
      <w:r>
        <w:rPr>
          <w:b/>
        </w:rPr>
        <w:t>Do stakeholders have any comments on the preferred planning option for metropolitan areas, regional areas and major regional centres?</w:t>
      </w:r>
    </w:p>
    <w:p w14:paraId="26953749" w14:textId="77777777" w:rsidR="00FF449E" w:rsidRDefault="00FF449E" w:rsidP="00FF449E">
      <w:pPr>
        <w:pStyle w:val="ListParagraph"/>
        <w:numPr>
          <w:ilvl w:val="0"/>
          <w:numId w:val="64"/>
        </w:numPr>
        <w:shd w:val="clear" w:color="auto" w:fill="F2F2F2" w:themeFill="background1" w:themeFillShade="F2"/>
        <w:spacing w:before="120" w:after="120" w:line="240" w:lineRule="auto"/>
        <w:contextualSpacing w:val="0"/>
        <w:rPr>
          <w:b/>
        </w:rPr>
      </w:pPr>
      <w:r>
        <w:rPr>
          <w:b/>
        </w:rPr>
        <w:t xml:space="preserve">Would an earlier conversion of NBN Co’s </w:t>
      </w:r>
      <w:r w:rsidRPr="00F4620C">
        <w:rPr>
          <w:b/>
        </w:rPr>
        <w:t xml:space="preserve">PTS licences in </w:t>
      </w:r>
      <w:r>
        <w:rPr>
          <w:b/>
        </w:rPr>
        <w:t>m</w:t>
      </w:r>
      <w:r w:rsidRPr="00F4620C">
        <w:rPr>
          <w:b/>
        </w:rPr>
        <w:t>etropolitan areas</w:t>
      </w:r>
      <w:r>
        <w:rPr>
          <w:b/>
        </w:rPr>
        <w:t xml:space="preserve"> provide greater certainty for negotiations on defrag to occur?</w:t>
      </w:r>
    </w:p>
    <w:bookmarkEnd w:id="108"/>
    <w:p w14:paraId="4576A1C5" w14:textId="77777777" w:rsidR="00FF449E" w:rsidRDefault="00FF449E" w:rsidP="00FF449E">
      <w:pPr>
        <w:rPr>
          <w:rFonts w:cs="Arial"/>
          <w:highlight w:val="yellow"/>
        </w:rPr>
      </w:pPr>
    </w:p>
    <w:p w14:paraId="7328C985" w14:textId="0B1FE857" w:rsidR="00FF449E" w:rsidRPr="00F54B2B" w:rsidRDefault="00FF449E" w:rsidP="00FF449E">
      <w:pPr>
        <w:pStyle w:val="Heading1"/>
      </w:pPr>
      <w:bookmarkStart w:id="109" w:name="_Toc6923126"/>
      <w:r w:rsidRPr="00F54B2B">
        <w:lastRenderedPageBreak/>
        <w:t>Use of urban areas of NBN</w:t>
      </w:r>
      <w:r>
        <w:t xml:space="preserve"> </w:t>
      </w:r>
      <w:r w:rsidRPr="00F54B2B">
        <w:t>Co</w:t>
      </w:r>
      <w:r w:rsidR="00943CB4">
        <w:t>’s</w:t>
      </w:r>
      <w:r>
        <w:t xml:space="preserve"> </w:t>
      </w:r>
      <w:r w:rsidRPr="00F54B2B">
        <w:t>PTS licences</w:t>
      </w:r>
      <w:bookmarkEnd w:id="109"/>
    </w:p>
    <w:p w14:paraId="7EC7F40A" w14:textId="56B63CD1" w:rsidR="00FF449E" w:rsidRDefault="00FF449E" w:rsidP="00FF449E">
      <w:bookmarkStart w:id="110" w:name="_Hlk5605768"/>
      <w:bookmarkStart w:id="111" w:name="_Hlk5202194"/>
      <w:r>
        <w:t xml:space="preserve">In October 2014, the Minister for Communications and the Arts made the </w:t>
      </w:r>
      <w:hyperlink r:id="rId50" w:history="1">
        <w:r w:rsidRPr="00AA1589">
          <w:rPr>
            <w:rStyle w:val="Hyperlink"/>
            <w:rFonts w:cs="Arial"/>
            <w:i/>
          </w:rPr>
          <w:t xml:space="preserve">Australian Communications and Media Authority (3.5 GHz frequency band) </w:t>
        </w:r>
        <w:r w:rsidR="006C4214">
          <w:rPr>
            <w:rStyle w:val="Hyperlink"/>
            <w:rFonts w:cs="Arial"/>
            <w:i/>
          </w:rPr>
          <w:t>D</w:t>
        </w:r>
        <w:r w:rsidRPr="00AA1589">
          <w:rPr>
            <w:rStyle w:val="Hyperlink"/>
            <w:rFonts w:cs="Arial"/>
            <w:i/>
          </w:rPr>
          <w:t>irection 2014</w:t>
        </w:r>
      </w:hyperlink>
      <w:r>
        <w:t xml:space="preserve"> (2014 </w:t>
      </w:r>
      <w:r w:rsidR="006C5CDE">
        <w:t>M</w:t>
      </w:r>
      <w:r>
        <w:t xml:space="preserve">inisterial direction). The 2014 </w:t>
      </w:r>
      <w:r w:rsidR="006C5CDE">
        <w:t>M</w:t>
      </w:r>
      <w:r>
        <w:t>inisterial direction required the ACMA to make 75 MHz of spectrum in the 3400–3425 MHz and 3492.5–3542.5 MHz frequency ranges</w:t>
      </w:r>
      <w:bookmarkEnd w:id="110"/>
      <w:r>
        <w:t xml:space="preserve"> (3.5 GHz band) available </w:t>
      </w:r>
      <w:r w:rsidRPr="00AA1589">
        <w:t xml:space="preserve">for the </w:t>
      </w:r>
      <w:r>
        <w:t xml:space="preserve">NBN </w:t>
      </w:r>
      <w:r w:rsidRPr="00AA1589">
        <w:t>via apparatus licence arrangements.</w:t>
      </w:r>
      <w:r>
        <w:t xml:space="preserve"> </w:t>
      </w:r>
      <w:r w:rsidRPr="00DA551E">
        <w:t xml:space="preserve">The intent of the </w:t>
      </w:r>
      <w:r>
        <w:t xml:space="preserve">2014 </w:t>
      </w:r>
      <w:r w:rsidR="006C5CDE">
        <w:t>M</w:t>
      </w:r>
      <w:r>
        <w:t xml:space="preserve">inisterial direction </w:t>
      </w:r>
      <w:r w:rsidRPr="00DA551E">
        <w:t xml:space="preserve">was to </w:t>
      </w:r>
      <w:r>
        <w:t xml:space="preserve">make spectrum available for use by NBN Co </w:t>
      </w:r>
      <w:r w:rsidRPr="00DA551E">
        <w:t xml:space="preserve">in areas where </w:t>
      </w:r>
      <w:r>
        <w:t>it</w:t>
      </w:r>
      <w:r w:rsidRPr="00DA551E">
        <w:t xml:space="preserve"> </w:t>
      </w:r>
      <w:r>
        <w:t xml:space="preserve">either </w:t>
      </w:r>
      <w:r w:rsidRPr="00DA551E">
        <w:t>did not have spectrum or were limited in using existing holdings (</w:t>
      </w:r>
      <w:r>
        <w:t>for example,</w:t>
      </w:r>
      <w:r w:rsidRPr="00DA551E">
        <w:t xml:space="preserve"> due to technical restrictions that limit the levels of emissions leaving </w:t>
      </w:r>
      <w:r>
        <w:t>the</w:t>
      </w:r>
      <w:r w:rsidRPr="00DA551E">
        <w:t xml:space="preserve"> licence area).</w:t>
      </w:r>
    </w:p>
    <w:p w14:paraId="57EA263B" w14:textId="2847F4FF" w:rsidR="00FF449E" w:rsidRPr="00C135DF" w:rsidRDefault="00FF449E" w:rsidP="00FF449E">
      <w:bookmarkStart w:id="112" w:name="_Hlk5605864"/>
      <w:r>
        <w:t xml:space="preserve">As a result of the </w:t>
      </w:r>
      <w:r w:rsidRPr="00C135DF">
        <w:t xml:space="preserve">2014 Ministerial </w:t>
      </w:r>
      <w:r>
        <w:t>d</w:t>
      </w:r>
      <w:r w:rsidRPr="00C135DF">
        <w:t xml:space="preserve">irection, NBN Co was issued with PTS licences covering Adelaide, Brisbane, Canberra, Melbourne, Perth and Sydney as well as the some of the surrounding regional areas. </w:t>
      </w:r>
      <w:bookmarkEnd w:id="112"/>
      <w:r w:rsidRPr="00C135DF">
        <w:t xml:space="preserve">The areas covered by NBN Co’s PTS licences are defined in Appendix B and displayed in Figure 7.   </w:t>
      </w:r>
    </w:p>
    <w:p w14:paraId="4CC9965A" w14:textId="57507BCF" w:rsidR="00FF449E" w:rsidRPr="00C135DF" w:rsidRDefault="00FF449E" w:rsidP="00FF449E">
      <w:r w:rsidRPr="00C135DF">
        <w:t xml:space="preserve">NBN Co has made substantial use of its PTS licences and deployed services at 872 sites as of 1 April 2019. However, to date, while </w:t>
      </w:r>
      <w:r w:rsidR="005861FF">
        <w:t>services</w:t>
      </w:r>
      <w:r w:rsidRPr="00C135DF">
        <w:t xml:space="preserve"> have been deployed very close in some cases, they have not deployed within the urban and surrounding suburban areas of Adelaide, Brisbane, Canberra, Melbourne, Perth and Sydney. This is unsurprising given these are areas NBN Co deploys fibre and other landline solutions for the delivery of broadband services. </w:t>
      </w:r>
    </w:p>
    <w:p w14:paraId="6C99CA44" w14:textId="77777777" w:rsidR="00FF449E" w:rsidRPr="00C135DF" w:rsidRDefault="00FF449E" w:rsidP="00FF449E">
      <w:pPr>
        <w:rPr>
          <w:rFonts w:cs="Arial"/>
        </w:rPr>
      </w:pPr>
      <w:r w:rsidRPr="00C135DF">
        <w:rPr>
          <w:rFonts w:cs="Arial"/>
        </w:rPr>
        <w:t xml:space="preserve">Consequently, there is interest from other wireless broadband operators in using these areas to deploy 5G services. This section of the paper investigates what areas might be available and potential options to facilitate access. </w:t>
      </w:r>
    </w:p>
    <w:p w14:paraId="62F18F28" w14:textId="77777777" w:rsidR="00FF449E" w:rsidRPr="00E230A7" w:rsidRDefault="00FF449E" w:rsidP="003C5923">
      <w:pPr>
        <w:pStyle w:val="Heading2"/>
      </w:pPr>
      <w:bookmarkStart w:id="113" w:name="_Toc6923127"/>
      <w:r w:rsidRPr="00E230A7">
        <w:t>Current use</w:t>
      </w:r>
      <w:bookmarkEnd w:id="113"/>
      <w:r w:rsidRPr="00E230A7">
        <w:t xml:space="preserve"> </w:t>
      </w:r>
    </w:p>
    <w:p w14:paraId="680DE67E" w14:textId="3F7FFE85" w:rsidR="00FF449E" w:rsidRPr="00983272" w:rsidRDefault="00FF449E" w:rsidP="00FF449E">
      <w:pPr>
        <w:rPr>
          <w:rFonts w:cs="Arial"/>
        </w:rPr>
      </w:pPr>
      <w:r w:rsidRPr="0054612B">
        <w:rPr>
          <w:rFonts w:cs="Arial"/>
        </w:rPr>
        <w:t xml:space="preserve">NBN </w:t>
      </w:r>
      <w:r w:rsidRPr="00C135DF">
        <w:rPr>
          <w:rFonts w:cs="Arial"/>
        </w:rPr>
        <w:t>Co’s use of its PTS licences continues to grow as new services are rolled out. Table 3 summarises the change in the number of sites registered under NBN Co’s PTS licences from 2017 to 2019.</w:t>
      </w:r>
      <w:r w:rsidRPr="00C135DF">
        <w:t xml:space="preserve"> </w:t>
      </w:r>
      <w:r w:rsidRPr="00C135DF">
        <w:rPr>
          <w:rFonts w:cs="Arial"/>
        </w:rPr>
        <w:t>Figures 8 and 9 also show the location and increase in the number of registered sites under NBN Co’s PTS</w:t>
      </w:r>
      <w:r>
        <w:rPr>
          <w:rFonts w:cs="Arial"/>
        </w:rPr>
        <w:t xml:space="preserve"> licences from 1 January 2017 – 1 April 2019. </w:t>
      </w:r>
    </w:p>
    <w:p w14:paraId="78505E5D" w14:textId="366099EC" w:rsidR="00FF449E" w:rsidRPr="00E230A7" w:rsidRDefault="00FF449E" w:rsidP="003C5923">
      <w:pPr>
        <w:pStyle w:val="ACMATableHeader"/>
        <w:numPr>
          <w:ilvl w:val="0"/>
          <w:numId w:val="26"/>
        </w:numPr>
      </w:pPr>
      <w:r w:rsidRPr="00E230A7">
        <w:t>Change in the number of sites services are deployed under NBN Co’s PTS licences from 2017</w:t>
      </w:r>
      <w:r>
        <w:t>–</w:t>
      </w:r>
      <w:r w:rsidRPr="00E230A7">
        <w:t>2019</w:t>
      </w:r>
    </w:p>
    <w:tbl>
      <w:tblPr>
        <w:tblStyle w:val="TableGrid"/>
        <w:tblW w:w="0" w:type="auto"/>
        <w:jc w:val="center"/>
        <w:tblLook w:val="04A0" w:firstRow="1" w:lastRow="0" w:firstColumn="1" w:lastColumn="0" w:noHBand="0" w:noVBand="1"/>
      </w:tblPr>
      <w:tblGrid>
        <w:gridCol w:w="1053"/>
        <w:gridCol w:w="2344"/>
      </w:tblGrid>
      <w:tr w:rsidR="00FF449E" w:rsidRPr="00943C65" w14:paraId="033DFBB5" w14:textId="77777777" w:rsidTr="003C5923">
        <w:trPr>
          <w:trHeight w:hRule="exact" w:val="417"/>
          <w:jc w:val="center"/>
        </w:trPr>
        <w:tc>
          <w:tcPr>
            <w:tcW w:w="1053" w:type="dxa"/>
            <w:shd w:val="clear" w:color="auto" w:fill="595959" w:themeFill="text1" w:themeFillTint="A6"/>
            <w:vAlign w:val="center"/>
          </w:tcPr>
          <w:p w14:paraId="3E4119E2" w14:textId="77777777" w:rsidR="00FF449E" w:rsidRPr="002B7FCC" w:rsidRDefault="00FF449E" w:rsidP="006C4214">
            <w:pPr>
              <w:pStyle w:val="TableHeading"/>
              <w:jc w:val="center"/>
              <w:rPr>
                <w:color w:val="FFFFFF" w:themeColor="background1"/>
                <w:szCs w:val="18"/>
              </w:rPr>
            </w:pPr>
            <w:r w:rsidRPr="002B7FCC">
              <w:rPr>
                <w:color w:val="FFFFFF" w:themeColor="background1"/>
                <w:szCs w:val="18"/>
              </w:rPr>
              <w:t>Date</w:t>
            </w:r>
          </w:p>
        </w:tc>
        <w:tc>
          <w:tcPr>
            <w:tcW w:w="2344" w:type="dxa"/>
            <w:shd w:val="clear" w:color="auto" w:fill="595959" w:themeFill="text1" w:themeFillTint="A6"/>
            <w:vAlign w:val="center"/>
          </w:tcPr>
          <w:p w14:paraId="628AD5EE" w14:textId="32FDB4AC" w:rsidR="00FF449E" w:rsidRPr="002B7FCC" w:rsidRDefault="00FF449E" w:rsidP="006C4214">
            <w:pPr>
              <w:pStyle w:val="TableHeading"/>
              <w:jc w:val="center"/>
              <w:rPr>
                <w:color w:val="FFFFFF" w:themeColor="background1"/>
                <w:szCs w:val="18"/>
              </w:rPr>
            </w:pPr>
            <w:r>
              <w:rPr>
                <w:color w:val="FFFFFF" w:themeColor="background1"/>
                <w:szCs w:val="18"/>
              </w:rPr>
              <w:t>Registered s</w:t>
            </w:r>
            <w:r w:rsidRPr="002B7FCC">
              <w:rPr>
                <w:color w:val="FFFFFF" w:themeColor="background1"/>
                <w:szCs w:val="18"/>
              </w:rPr>
              <w:t xml:space="preserve">ites </w:t>
            </w:r>
          </w:p>
        </w:tc>
      </w:tr>
      <w:tr w:rsidR="00FF449E" w14:paraId="361FA1CF" w14:textId="77777777" w:rsidTr="003C5923">
        <w:trPr>
          <w:trHeight w:hRule="exact" w:val="312"/>
          <w:jc w:val="center"/>
        </w:trPr>
        <w:tc>
          <w:tcPr>
            <w:tcW w:w="1053" w:type="dxa"/>
            <w:vAlign w:val="center"/>
          </w:tcPr>
          <w:p w14:paraId="7BEE05F9" w14:textId="77777777" w:rsidR="00FF449E" w:rsidRPr="002B7FCC" w:rsidRDefault="00FF449E" w:rsidP="006C4214">
            <w:pPr>
              <w:pStyle w:val="ListParagraph"/>
              <w:keepNext/>
              <w:keepLines/>
              <w:spacing w:after="0" w:line="240" w:lineRule="auto"/>
              <w:ind w:left="0"/>
              <w:contextualSpacing w:val="0"/>
              <w:jc w:val="center"/>
              <w:rPr>
                <w:rFonts w:cs="Arial"/>
                <w:szCs w:val="16"/>
              </w:rPr>
            </w:pPr>
            <w:r w:rsidRPr="002B7FCC">
              <w:rPr>
                <w:rFonts w:cs="Arial"/>
                <w:szCs w:val="16"/>
              </w:rPr>
              <w:t>1/1/2017</w:t>
            </w:r>
          </w:p>
        </w:tc>
        <w:tc>
          <w:tcPr>
            <w:tcW w:w="2344" w:type="dxa"/>
            <w:vAlign w:val="center"/>
          </w:tcPr>
          <w:p w14:paraId="75681CA3" w14:textId="77777777" w:rsidR="00FF449E" w:rsidRPr="002B7FCC" w:rsidRDefault="00FF449E" w:rsidP="006C4214">
            <w:pPr>
              <w:keepNext/>
              <w:keepLines/>
              <w:spacing w:after="0" w:line="240" w:lineRule="auto"/>
              <w:jc w:val="center"/>
              <w:rPr>
                <w:rFonts w:cs="Arial"/>
                <w:szCs w:val="16"/>
              </w:rPr>
            </w:pPr>
            <w:r w:rsidRPr="002B7FCC">
              <w:rPr>
                <w:rFonts w:cs="Arial"/>
                <w:szCs w:val="16"/>
              </w:rPr>
              <w:t>433</w:t>
            </w:r>
          </w:p>
        </w:tc>
      </w:tr>
      <w:tr w:rsidR="00FF449E" w14:paraId="6B815370" w14:textId="77777777" w:rsidTr="003C5923">
        <w:trPr>
          <w:trHeight w:hRule="exact" w:val="312"/>
          <w:jc w:val="center"/>
        </w:trPr>
        <w:tc>
          <w:tcPr>
            <w:tcW w:w="1053" w:type="dxa"/>
            <w:vAlign w:val="center"/>
          </w:tcPr>
          <w:p w14:paraId="768F6121" w14:textId="77777777" w:rsidR="00FF449E" w:rsidRPr="002B7FCC" w:rsidRDefault="00FF449E" w:rsidP="006C4214">
            <w:pPr>
              <w:pStyle w:val="ListParagraph"/>
              <w:keepNext/>
              <w:keepLines/>
              <w:spacing w:after="0" w:line="240" w:lineRule="auto"/>
              <w:ind w:left="0"/>
              <w:contextualSpacing w:val="0"/>
              <w:jc w:val="center"/>
              <w:rPr>
                <w:rFonts w:cs="Arial"/>
                <w:szCs w:val="16"/>
              </w:rPr>
            </w:pPr>
            <w:r w:rsidRPr="002B7FCC">
              <w:rPr>
                <w:rFonts w:cs="Arial"/>
                <w:szCs w:val="16"/>
              </w:rPr>
              <w:t>1/1/2018</w:t>
            </w:r>
          </w:p>
        </w:tc>
        <w:tc>
          <w:tcPr>
            <w:tcW w:w="2344" w:type="dxa"/>
            <w:vAlign w:val="center"/>
          </w:tcPr>
          <w:p w14:paraId="758E3482" w14:textId="77777777" w:rsidR="00FF449E" w:rsidRPr="002B7FCC" w:rsidRDefault="00FF449E" w:rsidP="006C4214">
            <w:pPr>
              <w:keepNext/>
              <w:keepLines/>
              <w:spacing w:after="0" w:line="240" w:lineRule="auto"/>
              <w:jc w:val="center"/>
              <w:rPr>
                <w:rFonts w:cs="Arial"/>
                <w:szCs w:val="16"/>
              </w:rPr>
            </w:pPr>
            <w:r w:rsidRPr="002B7FCC">
              <w:rPr>
                <w:rFonts w:cs="Arial"/>
                <w:szCs w:val="16"/>
              </w:rPr>
              <w:t>629</w:t>
            </w:r>
          </w:p>
        </w:tc>
      </w:tr>
      <w:tr w:rsidR="00FF449E" w14:paraId="30833212" w14:textId="77777777" w:rsidTr="003C5923">
        <w:trPr>
          <w:trHeight w:hRule="exact" w:val="312"/>
          <w:jc w:val="center"/>
        </w:trPr>
        <w:tc>
          <w:tcPr>
            <w:tcW w:w="1053" w:type="dxa"/>
            <w:vAlign w:val="center"/>
          </w:tcPr>
          <w:p w14:paraId="5B6AE566" w14:textId="77777777" w:rsidR="00FF449E" w:rsidRPr="002B7FCC" w:rsidRDefault="00FF449E" w:rsidP="006C4214">
            <w:pPr>
              <w:pStyle w:val="ListParagraph"/>
              <w:keepNext/>
              <w:keepLines/>
              <w:spacing w:after="0" w:line="240" w:lineRule="auto"/>
              <w:ind w:left="0"/>
              <w:contextualSpacing w:val="0"/>
              <w:jc w:val="center"/>
              <w:rPr>
                <w:rFonts w:cs="Arial"/>
                <w:szCs w:val="16"/>
              </w:rPr>
            </w:pPr>
            <w:r w:rsidRPr="002B7FCC">
              <w:rPr>
                <w:rFonts w:cs="Arial"/>
                <w:szCs w:val="16"/>
              </w:rPr>
              <w:t>2/1/2019</w:t>
            </w:r>
          </w:p>
        </w:tc>
        <w:tc>
          <w:tcPr>
            <w:tcW w:w="2344" w:type="dxa"/>
            <w:vAlign w:val="center"/>
          </w:tcPr>
          <w:p w14:paraId="2EEF61AF" w14:textId="77777777" w:rsidR="00FF449E" w:rsidRPr="002B7FCC" w:rsidRDefault="00FF449E" w:rsidP="006C4214">
            <w:pPr>
              <w:keepNext/>
              <w:keepLines/>
              <w:spacing w:after="0" w:line="240" w:lineRule="auto"/>
              <w:jc w:val="center"/>
              <w:rPr>
                <w:rFonts w:cs="Arial"/>
                <w:szCs w:val="16"/>
              </w:rPr>
            </w:pPr>
            <w:r w:rsidRPr="002B7FCC">
              <w:rPr>
                <w:rFonts w:cs="Arial"/>
                <w:szCs w:val="16"/>
              </w:rPr>
              <w:t>832</w:t>
            </w:r>
          </w:p>
        </w:tc>
      </w:tr>
      <w:tr w:rsidR="00FF449E" w14:paraId="6733BB8C" w14:textId="77777777" w:rsidTr="003C5923">
        <w:trPr>
          <w:trHeight w:hRule="exact" w:val="312"/>
          <w:jc w:val="center"/>
        </w:trPr>
        <w:tc>
          <w:tcPr>
            <w:tcW w:w="1053" w:type="dxa"/>
            <w:vAlign w:val="center"/>
          </w:tcPr>
          <w:p w14:paraId="3424988F" w14:textId="77777777" w:rsidR="00FF449E" w:rsidRPr="002B7FCC" w:rsidRDefault="00FF449E" w:rsidP="006C4214">
            <w:pPr>
              <w:pStyle w:val="ListParagraph"/>
              <w:keepNext/>
              <w:keepLines/>
              <w:spacing w:after="0" w:line="240" w:lineRule="auto"/>
              <w:ind w:left="0"/>
              <w:contextualSpacing w:val="0"/>
              <w:jc w:val="center"/>
              <w:rPr>
                <w:rFonts w:cs="Arial"/>
                <w:szCs w:val="16"/>
              </w:rPr>
            </w:pPr>
            <w:r>
              <w:rPr>
                <w:rFonts w:cs="Arial"/>
                <w:szCs w:val="16"/>
              </w:rPr>
              <w:t>1</w:t>
            </w:r>
            <w:r w:rsidRPr="002B7FCC">
              <w:rPr>
                <w:rFonts w:cs="Arial"/>
                <w:szCs w:val="16"/>
              </w:rPr>
              <w:t>/</w:t>
            </w:r>
            <w:r>
              <w:rPr>
                <w:rFonts w:cs="Arial"/>
                <w:szCs w:val="16"/>
              </w:rPr>
              <w:t>4</w:t>
            </w:r>
            <w:r w:rsidRPr="002B7FCC">
              <w:rPr>
                <w:rFonts w:cs="Arial"/>
                <w:szCs w:val="16"/>
              </w:rPr>
              <w:t>/2019</w:t>
            </w:r>
          </w:p>
        </w:tc>
        <w:tc>
          <w:tcPr>
            <w:tcW w:w="2344" w:type="dxa"/>
            <w:vAlign w:val="center"/>
          </w:tcPr>
          <w:p w14:paraId="7AFD6C61" w14:textId="77777777" w:rsidR="00FF449E" w:rsidRPr="002B7FCC" w:rsidRDefault="00FF449E" w:rsidP="006C4214">
            <w:pPr>
              <w:keepNext/>
              <w:keepLines/>
              <w:spacing w:after="0" w:line="240" w:lineRule="auto"/>
              <w:jc w:val="center"/>
              <w:rPr>
                <w:rFonts w:cs="Arial"/>
                <w:szCs w:val="16"/>
              </w:rPr>
            </w:pPr>
            <w:r w:rsidRPr="002B7FCC">
              <w:rPr>
                <w:rFonts w:cs="Arial"/>
                <w:szCs w:val="16"/>
              </w:rPr>
              <w:t>8</w:t>
            </w:r>
            <w:r>
              <w:rPr>
                <w:rFonts w:cs="Arial"/>
                <w:szCs w:val="16"/>
              </w:rPr>
              <w:t>72</w:t>
            </w:r>
          </w:p>
        </w:tc>
      </w:tr>
    </w:tbl>
    <w:p w14:paraId="46AEE2DE" w14:textId="77777777" w:rsidR="00FF449E" w:rsidRDefault="00FF449E" w:rsidP="00FF449E">
      <w:pPr>
        <w:spacing w:after="0" w:line="240" w:lineRule="auto"/>
        <w:rPr>
          <w:rFonts w:cs="Arial"/>
        </w:rPr>
      </w:pPr>
    </w:p>
    <w:p w14:paraId="3E4245E6" w14:textId="77777777" w:rsidR="00FF449E" w:rsidRDefault="00FF449E" w:rsidP="00FF449E">
      <w:pPr>
        <w:spacing w:after="0" w:line="240" w:lineRule="auto"/>
        <w:rPr>
          <w:b/>
          <w:bCs/>
          <w:color w:val="323232"/>
          <w:szCs w:val="20"/>
        </w:rPr>
      </w:pPr>
      <w:r>
        <w:br w:type="page"/>
      </w:r>
    </w:p>
    <w:p w14:paraId="0F806DF0" w14:textId="4A08FE54" w:rsidR="00FF449E" w:rsidRDefault="00FF449E" w:rsidP="003C5923">
      <w:r w:rsidRPr="006D0629">
        <w:lastRenderedPageBreak/>
        <w:t>Table 3</w:t>
      </w:r>
      <w:r w:rsidRPr="00C135DF">
        <w:t xml:space="preserve"> shows</w:t>
      </w:r>
      <w:r>
        <w:t xml:space="preserve"> that NBN Co has roughly doubled the number of sites under its PTS licences in a two-year period. The number of sites is expected to continue increasing over the next few years. While none of these sites are in urban areas, many are in the immediately adjacent areas. For interference management reasons, this has a </w:t>
      </w:r>
      <w:r w:rsidRPr="00DA551E">
        <w:t xml:space="preserve">direct effect on what urban areas could be </w:t>
      </w:r>
      <w:r>
        <w:t>made available</w:t>
      </w:r>
      <w:r w:rsidRPr="00DA551E">
        <w:t xml:space="preserve"> for use by </w:t>
      </w:r>
      <w:r>
        <w:t xml:space="preserve">other </w:t>
      </w:r>
      <w:r w:rsidRPr="00DA551E">
        <w:t>operators.</w:t>
      </w:r>
    </w:p>
    <w:p w14:paraId="4D063A72" w14:textId="77777777" w:rsidR="00FF449E" w:rsidRDefault="00FF449E" w:rsidP="003C5923">
      <w:pPr>
        <w:pStyle w:val="ACMAFigureHeader"/>
        <w:numPr>
          <w:ilvl w:val="0"/>
          <w:numId w:val="6"/>
        </w:numPr>
        <w:tabs>
          <w:tab w:val="clear" w:pos="1021"/>
          <w:tab w:val="num" w:pos="0"/>
        </w:tabs>
        <w:ind w:left="0" w:hanging="28"/>
      </w:pPr>
      <w:r w:rsidRPr="00E230A7">
        <w:t>Areas</w:t>
      </w:r>
      <w:r>
        <w:t xml:space="preserve"> covered by NBN Co’s 3.5 GHz PTS licences </w:t>
      </w:r>
      <w:r w:rsidRPr="00CE6250">
        <w:t>(purple areas)</w:t>
      </w:r>
      <w:r>
        <w:t xml:space="preserve">. </w:t>
      </w:r>
    </w:p>
    <w:p w14:paraId="02FD1257" w14:textId="77777777" w:rsidR="00FF449E" w:rsidRDefault="00FF449E" w:rsidP="00FF449E">
      <w:pPr>
        <w:rPr>
          <w:rFonts w:cs="Arial"/>
          <w:b/>
          <w:bCs/>
          <w:szCs w:val="26"/>
        </w:rPr>
      </w:pPr>
      <w:r>
        <w:rPr>
          <w:noProof/>
        </w:rPr>
        <w:drawing>
          <wp:inline distT="0" distB="0" distL="0" distR="0" wp14:anchorId="15616BC9" wp14:editId="5570AD60">
            <wp:extent cx="4960189" cy="4601317"/>
            <wp:effectExtent l="0" t="0" r="0" b="8890"/>
            <wp:docPr id="6" name="Picture 6" descr="Areas covered by NBN Co’s 3.5 GHz PTS licences (purple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cstate="screen">
                      <a:extLst>
                        <a:ext uri="{28A0092B-C50C-407E-A947-70E740481C1C}">
                          <a14:useLocalDpi xmlns:a14="http://schemas.microsoft.com/office/drawing/2010/main"/>
                        </a:ext>
                      </a:extLst>
                    </a:blip>
                    <a:stretch>
                      <a:fillRect/>
                    </a:stretch>
                  </pic:blipFill>
                  <pic:spPr>
                    <a:xfrm>
                      <a:off x="0" y="0"/>
                      <a:ext cx="4966882" cy="4607526"/>
                    </a:xfrm>
                    <a:prstGeom prst="rect">
                      <a:avLst/>
                    </a:prstGeom>
                  </pic:spPr>
                </pic:pic>
              </a:graphicData>
            </a:graphic>
          </wp:inline>
        </w:drawing>
      </w:r>
    </w:p>
    <w:p w14:paraId="41B54ECD" w14:textId="77777777" w:rsidR="00FF449E" w:rsidRPr="00C03A8C" w:rsidRDefault="00FF449E" w:rsidP="00FF449E">
      <w:pPr>
        <w:spacing w:after="0" w:line="240" w:lineRule="auto"/>
        <w:rPr>
          <w:rFonts w:cs="Arial"/>
          <w:b/>
          <w:bCs/>
          <w:szCs w:val="26"/>
        </w:rPr>
      </w:pPr>
      <w:r>
        <w:rPr>
          <w:rFonts w:cs="Arial"/>
        </w:rPr>
        <w:br w:type="page"/>
      </w:r>
    </w:p>
    <w:p w14:paraId="639CD4FB" w14:textId="5611C02B" w:rsidR="00FF449E" w:rsidRPr="00526046" w:rsidRDefault="00FF449E" w:rsidP="003C5923">
      <w:pPr>
        <w:pStyle w:val="ACMAFigureHeader"/>
      </w:pPr>
      <w:r>
        <w:lastRenderedPageBreak/>
        <w:t xml:space="preserve">Change in the number of services deployed </w:t>
      </w:r>
      <w:r w:rsidRPr="00CE6250">
        <w:t xml:space="preserve">(yellow pins) under NBN Co’s PTS licences in Melbourne </w:t>
      </w:r>
      <w:r w:rsidRPr="00FF449E">
        <w:t>(top)</w:t>
      </w:r>
      <w:r w:rsidRPr="0032438C">
        <w:t xml:space="preserve">, Sydney </w:t>
      </w:r>
      <w:r w:rsidRPr="00864D13">
        <w:t>(</w:t>
      </w:r>
      <w:r w:rsidRPr="00984DF2">
        <w:t>middle</w:t>
      </w:r>
      <w:r w:rsidRPr="00526046">
        <w:t>) and Brisbane (bottom) from January 2017 (left) to April 2019 (right).</w:t>
      </w:r>
    </w:p>
    <w:p w14:paraId="12A38F1B" w14:textId="77777777" w:rsidR="00FF449E" w:rsidRDefault="00FF449E" w:rsidP="00FF449E">
      <w:pPr>
        <w:spacing w:after="60"/>
        <w:ind w:left="-567" w:right="-2819"/>
        <w:rPr>
          <w:noProof/>
        </w:rPr>
      </w:pPr>
      <w:r w:rsidRPr="008B3B67">
        <w:rPr>
          <w:noProof/>
        </w:rPr>
        <w:t xml:space="preserve"> </w:t>
      </w:r>
      <w:r>
        <w:rPr>
          <w:noProof/>
        </w:rPr>
        <w:drawing>
          <wp:inline distT="0" distB="0" distL="0" distR="0" wp14:anchorId="5EB80DEC" wp14:editId="55FAEC9A">
            <wp:extent cx="3338422" cy="2787900"/>
            <wp:effectExtent l="0" t="0" r="0" b="0"/>
            <wp:docPr id="15" name="Picture 15" descr="Change in the number of services deployed (yellow pins) under NBN Co’s PTS licences in Melbour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cstate="print">
                      <a:extLst>
                        <a:ext uri="{28A0092B-C50C-407E-A947-70E740481C1C}">
                          <a14:useLocalDpi xmlns:a14="http://schemas.microsoft.com/office/drawing/2010/main"/>
                        </a:ext>
                      </a:extLst>
                    </a:blip>
                    <a:stretch>
                      <a:fillRect/>
                    </a:stretch>
                  </pic:blipFill>
                  <pic:spPr>
                    <a:xfrm>
                      <a:off x="0" y="0"/>
                      <a:ext cx="3347455" cy="2795444"/>
                    </a:xfrm>
                    <a:prstGeom prst="rect">
                      <a:avLst/>
                    </a:prstGeom>
                  </pic:spPr>
                </pic:pic>
              </a:graphicData>
            </a:graphic>
          </wp:inline>
        </w:drawing>
      </w:r>
      <w:r w:rsidRPr="008B3B67">
        <w:rPr>
          <w:noProof/>
        </w:rPr>
        <w:t xml:space="preserve"> </w:t>
      </w:r>
      <w:r>
        <w:rPr>
          <w:noProof/>
        </w:rPr>
        <w:drawing>
          <wp:inline distT="0" distB="0" distL="0" distR="0" wp14:anchorId="1653AFEE" wp14:editId="23910B17">
            <wp:extent cx="3381555" cy="2785615"/>
            <wp:effectExtent l="0" t="0" r="0" b="0"/>
            <wp:docPr id="19" name="Picture 19" descr="Change in the number of services deployed (yellow pins) under NBN Co’s PTS licences in Melbour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3" cstate="print">
                      <a:extLst>
                        <a:ext uri="{28A0092B-C50C-407E-A947-70E740481C1C}">
                          <a14:useLocalDpi xmlns:a14="http://schemas.microsoft.com/office/drawing/2010/main"/>
                        </a:ext>
                      </a:extLst>
                    </a:blip>
                    <a:srcRect/>
                    <a:stretch/>
                  </pic:blipFill>
                  <pic:spPr bwMode="auto">
                    <a:xfrm>
                      <a:off x="0" y="0"/>
                      <a:ext cx="3383772" cy="2787441"/>
                    </a:xfrm>
                    <a:prstGeom prst="rect">
                      <a:avLst/>
                    </a:prstGeom>
                    <a:ln>
                      <a:noFill/>
                    </a:ln>
                    <a:extLst>
                      <a:ext uri="{53640926-AAD7-44D8-BBD7-CCE9431645EC}">
                        <a14:shadowObscured xmlns:a14="http://schemas.microsoft.com/office/drawing/2010/main"/>
                      </a:ext>
                    </a:extLst>
                  </pic:spPr>
                </pic:pic>
              </a:graphicData>
            </a:graphic>
          </wp:inline>
        </w:drawing>
      </w:r>
    </w:p>
    <w:p w14:paraId="27B5C432" w14:textId="77777777" w:rsidR="00FF449E" w:rsidRDefault="00FF449E" w:rsidP="00FF449E">
      <w:pPr>
        <w:spacing w:after="60"/>
        <w:ind w:left="-567" w:right="-2819"/>
        <w:rPr>
          <w:noProof/>
        </w:rPr>
      </w:pPr>
      <w:r>
        <w:rPr>
          <w:noProof/>
        </w:rPr>
        <w:t xml:space="preserve"> </w:t>
      </w:r>
      <w:r>
        <w:rPr>
          <w:noProof/>
        </w:rPr>
        <w:drawing>
          <wp:inline distT="0" distB="0" distL="0" distR="0" wp14:anchorId="0E632BBA" wp14:editId="0D914528">
            <wp:extent cx="3337971" cy="2861621"/>
            <wp:effectExtent l="0" t="0" r="0" b="0"/>
            <wp:docPr id="18" name="Picture 18" descr="Change in the number of services deployed (yellow pins) under NBN Co’s PTS licences in Sydn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cstate="print">
                      <a:extLst>
                        <a:ext uri="{28A0092B-C50C-407E-A947-70E740481C1C}">
                          <a14:useLocalDpi xmlns:a14="http://schemas.microsoft.com/office/drawing/2010/main"/>
                        </a:ext>
                      </a:extLst>
                    </a:blip>
                    <a:stretch>
                      <a:fillRect/>
                    </a:stretch>
                  </pic:blipFill>
                  <pic:spPr>
                    <a:xfrm>
                      <a:off x="0" y="0"/>
                      <a:ext cx="3357656" cy="2878497"/>
                    </a:xfrm>
                    <a:prstGeom prst="rect">
                      <a:avLst/>
                    </a:prstGeom>
                  </pic:spPr>
                </pic:pic>
              </a:graphicData>
            </a:graphic>
          </wp:inline>
        </w:drawing>
      </w:r>
      <w:r>
        <w:rPr>
          <w:noProof/>
        </w:rPr>
        <w:t xml:space="preserve"> </w:t>
      </w:r>
      <w:r>
        <w:rPr>
          <w:noProof/>
        </w:rPr>
        <w:drawing>
          <wp:inline distT="0" distB="0" distL="0" distR="0" wp14:anchorId="1916C70E" wp14:editId="19DF2E6B">
            <wp:extent cx="3381375" cy="2859535"/>
            <wp:effectExtent l="0" t="0" r="0" b="0"/>
            <wp:docPr id="20" name="Picture 20" descr="Change in the number of services deployed (yellow pins) under NBN Co’s PTS licences in Sydne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cstate="print">
                      <a:extLst>
                        <a:ext uri="{28A0092B-C50C-407E-A947-70E740481C1C}">
                          <a14:useLocalDpi xmlns:a14="http://schemas.microsoft.com/office/drawing/2010/main"/>
                        </a:ext>
                      </a:extLst>
                    </a:blip>
                    <a:stretch>
                      <a:fillRect/>
                    </a:stretch>
                  </pic:blipFill>
                  <pic:spPr>
                    <a:xfrm>
                      <a:off x="0" y="0"/>
                      <a:ext cx="3403140" cy="2877941"/>
                    </a:xfrm>
                    <a:prstGeom prst="rect">
                      <a:avLst/>
                    </a:prstGeom>
                  </pic:spPr>
                </pic:pic>
              </a:graphicData>
            </a:graphic>
          </wp:inline>
        </w:drawing>
      </w:r>
      <w:r>
        <w:rPr>
          <w:noProof/>
        </w:rPr>
        <w:t xml:space="preserve"> </w:t>
      </w:r>
    </w:p>
    <w:p w14:paraId="03346D49" w14:textId="01A21364" w:rsidR="00FF449E" w:rsidRDefault="00FF449E" w:rsidP="00FF449E">
      <w:pPr>
        <w:spacing w:after="0"/>
        <w:ind w:left="-567" w:right="-2819"/>
        <w:rPr>
          <w:noProof/>
        </w:rPr>
      </w:pPr>
      <w:r>
        <w:rPr>
          <w:noProof/>
        </w:rPr>
        <w:t xml:space="preserve"> </w:t>
      </w:r>
      <w:r>
        <w:rPr>
          <w:noProof/>
        </w:rPr>
        <w:drawing>
          <wp:inline distT="0" distB="0" distL="0" distR="0" wp14:anchorId="2204798B" wp14:editId="5FCC98C1">
            <wp:extent cx="3336953" cy="2978312"/>
            <wp:effectExtent l="0" t="0" r="0" b="0"/>
            <wp:docPr id="21" name="Picture 21" descr="Change in the number of services deployed (yellow pins) under NBN Co’s PTS licences in Brisba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cstate="print">
                      <a:extLst>
                        <a:ext uri="{28A0092B-C50C-407E-A947-70E740481C1C}">
                          <a14:useLocalDpi xmlns:a14="http://schemas.microsoft.com/office/drawing/2010/main"/>
                        </a:ext>
                      </a:extLst>
                    </a:blip>
                    <a:stretch>
                      <a:fillRect/>
                    </a:stretch>
                  </pic:blipFill>
                  <pic:spPr>
                    <a:xfrm>
                      <a:off x="0" y="0"/>
                      <a:ext cx="3367502" cy="3005577"/>
                    </a:xfrm>
                    <a:prstGeom prst="rect">
                      <a:avLst/>
                    </a:prstGeom>
                  </pic:spPr>
                </pic:pic>
              </a:graphicData>
            </a:graphic>
          </wp:inline>
        </w:drawing>
      </w:r>
      <w:r>
        <w:rPr>
          <w:noProof/>
        </w:rPr>
        <w:t xml:space="preserve"> </w:t>
      </w:r>
      <w:r>
        <w:rPr>
          <w:noProof/>
        </w:rPr>
        <w:drawing>
          <wp:inline distT="0" distB="0" distL="0" distR="0" wp14:anchorId="3B8CBF42" wp14:editId="219212CE">
            <wp:extent cx="3382227" cy="2980798"/>
            <wp:effectExtent l="0" t="0" r="8890" b="0"/>
            <wp:docPr id="22" name="Picture 22" descr="Change in the number of services deployed (yellow pins) under NBN Co’s PTS licences in Brisba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7" cstate="print">
                      <a:extLst>
                        <a:ext uri="{28A0092B-C50C-407E-A947-70E740481C1C}">
                          <a14:useLocalDpi xmlns:a14="http://schemas.microsoft.com/office/drawing/2010/main"/>
                        </a:ext>
                      </a:extLst>
                    </a:blip>
                    <a:srcRect/>
                    <a:stretch/>
                  </pic:blipFill>
                  <pic:spPr bwMode="auto">
                    <a:xfrm>
                      <a:off x="0" y="0"/>
                      <a:ext cx="3401663" cy="2997927"/>
                    </a:xfrm>
                    <a:prstGeom prst="rect">
                      <a:avLst/>
                    </a:prstGeom>
                    <a:ln>
                      <a:noFill/>
                    </a:ln>
                    <a:extLst>
                      <a:ext uri="{53640926-AAD7-44D8-BBD7-CCE9431645EC}">
                        <a14:shadowObscured xmlns:a14="http://schemas.microsoft.com/office/drawing/2010/main"/>
                      </a:ext>
                    </a:extLst>
                  </pic:spPr>
                </pic:pic>
              </a:graphicData>
            </a:graphic>
          </wp:inline>
        </w:drawing>
      </w:r>
    </w:p>
    <w:p w14:paraId="41CE9FA5" w14:textId="77777777" w:rsidR="00984DF2" w:rsidRDefault="00984DF2" w:rsidP="00FF449E">
      <w:pPr>
        <w:spacing w:after="0"/>
        <w:ind w:left="-567" w:right="-2819"/>
        <w:rPr>
          <w:noProof/>
        </w:rPr>
      </w:pPr>
    </w:p>
    <w:p w14:paraId="0D514910" w14:textId="020621CB" w:rsidR="00FF449E" w:rsidRPr="00526046" w:rsidRDefault="00FF449E" w:rsidP="003C5923">
      <w:pPr>
        <w:pStyle w:val="ACMAFigureHeader"/>
      </w:pPr>
      <w:r w:rsidRPr="00CE6250">
        <w:t xml:space="preserve">Change in the number of services deployed </w:t>
      </w:r>
      <w:r w:rsidRPr="00FF449E">
        <w:t>(yel</w:t>
      </w:r>
      <w:r w:rsidRPr="0032438C">
        <w:t>low pins)</w:t>
      </w:r>
      <w:r w:rsidRPr="00864D13">
        <w:t xml:space="preserve"> under NBN Co’s PTS </w:t>
      </w:r>
      <w:r w:rsidRPr="00984DF2">
        <w:t>licences</w:t>
      </w:r>
      <w:r w:rsidRPr="00864D13">
        <w:t xml:space="preserve"> in Adelaide </w:t>
      </w:r>
      <w:r w:rsidRPr="00301163">
        <w:t>(top)</w:t>
      </w:r>
      <w:r w:rsidRPr="000247BA">
        <w:t xml:space="preserve">, Canberra </w:t>
      </w:r>
      <w:r w:rsidRPr="00526046">
        <w:t>(middle) and Perth (bottom) from January 2017 (left) to April 2019 (right).</w:t>
      </w:r>
    </w:p>
    <w:p w14:paraId="026C9F7E" w14:textId="77777777" w:rsidR="00FF449E" w:rsidRDefault="00FF449E" w:rsidP="00FF449E">
      <w:pPr>
        <w:spacing w:after="40"/>
        <w:ind w:left="-567" w:right="-2819"/>
        <w:rPr>
          <w:noProof/>
        </w:rPr>
      </w:pPr>
      <w:r>
        <w:rPr>
          <w:noProof/>
        </w:rPr>
        <w:t xml:space="preserve"> </w:t>
      </w:r>
      <w:r>
        <w:rPr>
          <w:noProof/>
        </w:rPr>
        <w:drawing>
          <wp:inline distT="0" distB="0" distL="0" distR="0" wp14:anchorId="7BE83BC7" wp14:editId="04AF57E1">
            <wp:extent cx="3311057" cy="2849113"/>
            <wp:effectExtent l="0" t="0" r="3810" b="8890"/>
            <wp:docPr id="23" name="Picture 23" descr="Change in the number of services deployed (yellow pins) under NBN Co’s PTS licences in Adelaide from January 2017 (left) to April 2019 (righ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referRelativeResize="0"/>
                  </pic:nvPicPr>
                  <pic:blipFill rotWithShape="1">
                    <a:blip r:embed="rId58"/>
                    <a:srcRect t="2492" b="2129"/>
                    <a:stretch/>
                  </pic:blipFill>
                  <pic:spPr bwMode="auto">
                    <a:xfrm>
                      <a:off x="0" y="0"/>
                      <a:ext cx="3312000" cy="2849925"/>
                    </a:xfrm>
                    <a:prstGeom prst="rect">
                      <a:avLst/>
                    </a:prstGeom>
                    <a:ln>
                      <a:noFill/>
                    </a:ln>
                    <a:extLst>
                      <a:ext uri="{53640926-AAD7-44D8-BBD7-CCE9431645EC}">
                        <a14:shadowObscured xmlns:a14="http://schemas.microsoft.com/office/drawing/2010/main"/>
                      </a:ext>
                    </a:extLst>
                  </pic:spPr>
                </pic:pic>
              </a:graphicData>
            </a:graphic>
          </wp:inline>
        </w:drawing>
      </w:r>
      <w:r>
        <w:rPr>
          <w:noProof/>
        </w:rPr>
        <w:t xml:space="preserve"> </w:t>
      </w:r>
      <w:r>
        <w:rPr>
          <w:noProof/>
        </w:rPr>
        <w:drawing>
          <wp:inline distT="0" distB="0" distL="0" distR="0" wp14:anchorId="172F91EB" wp14:editId="3BAC18D7">
            <wp:extent cx="3310550" cy="2858785"/>
            <wp:effectExtent l="0" t="0" r="4445" b="0"/>
            <wp:docPr id="25" name="Picture 25" descr="Change in the number of services deployed (yellow pins) under NBN Co’s PTS licences in Adelaide from January 2017 (left) to April 2019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9"/>
                    <a:srcRect t="3915" b="368"/>
                    <a:stretch/>
                  </pic:blipFill>
                  <pic:spPr bwMode="auto">
                    <a:xfrm>
                      <a:off x="0" y="0"/>
                      <a:ext cx="3312000" cy="2860037"/>
                    </a:xfrm>
                    <a:prstGeom prst="rect">
                      <a:avLst/>
                    </a:prstGeom>
                    <a:ln>
                      <a:noFill/>
                    </a:ln>
                    <a:extLst>
                      <a:ext uri="{53640926-AAD7-44D8-BBD7-CCE9431645EC}">
                        <a14:shadowObscured xmlns:a14="http://schemas.microsoft.com/office/drawing/2010/main"/>
                      </a:ext>
                    </a:extLst>
                  </pic:spPr>
                </pic:pic>
              </a:graphicData>
            </a:graphic>
          </wp:inline>
        </w:drawing>
      </w:r>
    </w:p>
    <w:p w14:paraId="1C2F637B" w14:textId="77777777" w:rsidR="00FF449E" w:rsidRDefault="00FF449E" w:rsidP="00FF449E">
      <w:pPr>
        <w:spacing w:after="40"/>
        <w:ind w:left="-567" w:right="-2819"/>
        <w:rPr>
          <w:noProof/>
        </w:rPr>
      </w:pPr>
      <w:r>
        <w:rPr>
          <w:noProof/>
        </w:rPr>
        <w:t xml:space="preserve"> </w:t>
      </w:r>
      <w:r>
        <w:rPr>
          <w:noProof/>
        </w:rPr>
        <w:drawing>
          <wp:inline distT="0" distB="0" distL="0" distR="0" wp14:anchorId="1AA5C6C6" wp14:editId="3641E1D4">
            <wp:extent cx="3311525" cy="2766227"/>
            <wp:effectExtent l="0" t="0" r="3175" b="0"/>
            <wp:docPr id="27" name="Picture 27" descr="Change in the number of services deployed (yellow pins) under NBN Co’s PTS licences in Canberra (middle) from January 2017 (left) to April 2019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0" cstate="print">
                      <a:extLst>
                        <a:ext uri="{28A0092B-C50C-407E-A947-70E740481C1C}">
                          <a14:useLocalDpi xmlns:a14="http://schemas.microsoft.com/office/drawing/2010/main"/>
                        </a:ext>
                      </a:extLst>
                    </a:blip>
                    <a:srcRect t="4056"/>
                    <a:stretch/>
                  </pic:blipFill>
                  <pic:spPr bwMode="auto">
                    <a:xfrm>
                      <a:off x="0" y="0"/>
                      <a:ext cx="3312000" cy="2766624"/>
                    </a:xfrm>
                    <a:prstGeom prst="rect">
                      <a:avLst/>
                    </a:prstGeom>
                    <a:ln>
                      <a:noFill/>
                    </a:ln>
                    <a:extLst>
                      <a:ext uri="{53640926-AAD7-44D8-BBD7-CCE9431645EC}">
                        <a14:shadowObscured xmlns:a14="http://schemas.microsoft.com/office/drawing/2010/main"/>
                      </a:ext>
                    </a:extLst>
                  </pic:spPr>
                </pic:pic>
              </a:graphicData>
            </a:graphic>
          </wp:inline>
        </w:drawing>
      </w:r>
      <w:r>
        <w:rPr>
          <w:noProof/>
        </w:rPr>
        <w:t xml:space="preserve"> </w:t>
      </w:r>
      <w:r>
        <w:rPr>
          <w:noProof/>
        </w:rPr>
        <w:drawing>
          <wp:inline distT="0" distB="0" distL="0" distR="0" wp14:anchorId="4D5BBBAB" wp14:editId="19C59C27">
            <wp:extent cx="3311525" cy="2766227"/>
            <wp:effectExtent l="0" t="0" r="3175" b="0"/>
            <wp:docPr id="26" name="Picture 26" descr="Change in the number of services deployed (yellow pins) under NBN Co’s PTS licences in Canberra (middle) from January 2017 (left) to April 2019 (right)."/>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referRelativeResize="0"/>
                  </pic:nvPicPr>
                  <pic:blipFill rotWithShape="1">
                    <a:blip r:embed="rId61" cstate="print">
                      <a:extLst>
                        <a:ext uri="{28A0092B-C50C-407E-A947-70E740481C1C}">
                          <a14:useLocalDpi xmlns:a14="http://schemas.microsoft.com/office/drawing/2010/main"/>
                        </a:ext>
                      </a:extLst>
                    </a:blip>
                    <a:srcRect t="4056"/>
                    <a:stretch/>
                  </pic:blipFill>
                  <pic:spPr bwMode="auto">
                    <a:xfrm>
                      <a:off x="0" y="0"/>
                      <a:ext cx="3312000" cy="2766624"/>
                    </a:xfrm>
                    <a:prstGeom prst="rect">
                      <a:avLst/>
                    </a:prstGeom>
                    <a:ln>
                      <a:noFill/>
                    </a:ln>
                    <a:extLst>
                      <a:ext uri="{53640926-AAD7-44D8-BBD7-CCE9431645EC}">
                        <a14:shadowObscured xmlns:a14="http://schemas.microsoft.com/office/drawing/2010/main"/>
                      </a:ext>
                    </a:extLst>
                  </pic:spPr>
                </pic:pic>
              </a:graphicData>
            </a:graphic>
          </wp:inline>
        </w:drawing>
      </w:r>
    </w:p>
    <w:p w14:paraId="6108318A" w14:textId="77777777" w:rsidR="00FF449E" w:rsidRPr="00ED39AB" w:rsidRDefault="00FF449E" w:rsidP="00FF449E">
      <w:pPr>
        <w:spacing w:after="0"/>
        <w:ind w:left="-567" w:right="-2819"/>
        <w:rPr>
          <w:noProof/>
        </w:rPr>
      </w:pPr>
      <w:r>
        <w:rPr>
          <w:noProof/>
        </w:rPr>
        <w:t xml:space="preserve"> </w:t>
      </w:r>
      <w:r>
        <w:rPr>
          <w:noProof/>
        </w:rPr>
        <w:drawing>
          <wp:inline distT="0" distB="0" distL="0" distR="0" wp14:anchorId="294A9623" wp14:editId="2D6E7942">
            <wp:extent cx="3312000" cy="2865600"/>
            <wp:effectExtent l="0" t="0" r="3175" b="0"/>
            <wp:docPr id="28" name="Picture 28" descr="Change in the number of services deployed (yellow pins) under NBN Co’s PTS licences in Perth from January 2017 (left) to April 2019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2" cstate="print">
                      <a:extLst>
                        <a:ext uri="{28A0092B-C50C-407E-A947-70E740481C1C}">
                          <a14:useLocalDpi xmlns:a14="http://schemas.microsoft.com/office/drawing/2010/main"/>
                        </a:ext>
                      </a:extLst>
                    </a:blip>
                    <a:srcRect b="-1"/>
                    <a:stretch/>
                  </pic:blipFill>
                  <pic:spPr bwMode="auto">
                    <a:xfrm>
                      <a:off x="0" y="0"/>
                      <a:ext cx="3312000" cy="2865600"/>
                    </a:xfrm>
                    <a:prstGeom prst="rect">
                      <a:avLst/>
                    </a:prstGeom>
                    <a:ln>
                      <a:noFill/>
                    </a:ln>
                    <a:extLst>
                      <a:ext uri="{53640926-AAD7-44D8-BBD7-CCE9431645EC}">
                        <a14:shadowObscured xmlns:a14="http://schemas.microsoft.com/office/drawing/2010/main"/>
                      </a:ext>
                    </a:extLst>
                  </pic:spPr>
                </pic:pic>
              </a:graphicData>
            </a:graphic>
          </wp:inline>
        </w:drawing>
      </w:r>
      <w:r>
        <w:rPr>
          <w:noProof/>
        </w:rPr>
        <w:t xml:space="preserve"> </w:t>
      </w:r>
      <w:r>
        <w:rPr>
          <w:noProof/>
        </w:rPr>
        <w:drawing>
          <wp:inline distT="0" distB="0" distL="0" distR="0" wp14:anchorId="022EA9D4" wp14:editId="5335DD1E">
            <wp:extent cx="3311525" cy="2865120"/>
            <wp:effectExtent l="0" t="0" r="3175" b="0"/>
            <wp:docPr id="29" name="Picture 29" descr="Change in the number of services deployed (yellow pins) under NBN Co’s PTS licences in Perth from January 2017 (left) to April 2019 (r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3" cstate="print">
                      <a:extLst>
                        <a:ext uri="{28A0092B-C50C-407E-A947-70E740481C1C}">
                          <a14:useLocalDpi xmlns:a14="http://schemas.microsoft.com/office/drawing/2010/main"/>
                        </a:ext>
                      </a:extLst>
                    </a:blip>
                    <a:srcRect/>
                    <a:stretch/>
                  </pic:blipFill>
                  <pic:spPr bwMode="auto">
                    <a:xfrm>
                      <a:off x="0" y="0"/>
                      <a:ext cx="3312080" cy="2865600"/>
                    </a:xfrm>
                    <a:prstGeom prst="rect">
                      <a:avLst/>
                    </a:prstGeom>
                    <a:ln>
                      <a:noFill/>
                    </a:ln>
                    <a:extLst>
                      <a:ext uri="{53640926-AAD7-44D8-BBD7-CCE9431645EC}">
                        <a14:shadowObscured xmlns:a14="http://schemas.microsoft.com/office/drawing/2010/main"/>
                      </a:ext>
                    </a:extLst>
                  </pic:spPr>
                </pic:pic>
              </a:graphicData>
            </a:graphic>
          </wp:inline>
        </w:drawing>
      </w:r>
      <w:bookmarkEnd w:id="111"/>
      <w:r>
        <w:br w:type="page"/>
      </w:r>
    </w:p>
    <w:p w14:paraId="12616C81" w14:textId="77777777" w:rsidR="00FF449E" w:rsidRPr="00345B56" w:rsidRDefault="00FF449E" w:rsidP="003C5923">
      <w:pPr>
        <w:pStyle w:val="Heading2"/>
      </w:pPr>
      <w:bookmarkStart w:id="114" w:name="_Toc6923128"/>
      <w:r w:rsidRPr="00345B56">
        <w:lastRenderedPageBreak/>
        <w:t>Identifying potentially available urban areas</w:t>
      </w:r>
      <w:bookmarkEnd w:id="114"/>
      <w:r w:rsidRPr="00345B56">
        <w:t xml:space="preserve"> </w:t>
      </w:r>
    </w:p>
    <w:p w14:paraId="3E8C3D85" w14:textId="77777777" w:rsidR="00FF449E" w:rsidRDefault="00FF449E" w:rsidP="003C5923">
      <w:pPr>
        <w:spacing w:after="80" w:line="80" w:lineRule="atLeast"/>
        <w:rPr>
          <w:rFonts w:cs="Arial"/>
        </w:rPr>
      </w:pPr>
      <w:r>
        <w:rPr>
          <w:rFonts w:cs="Arial"/>
        </w:rPr>
        <w:t>To identify urban areas that could be used by other operators, the following points need to be considered:</w:t>
      </w:r>
    </w:p>
    <w:p w14:paraId="2520FB0C" w14:textId="6CC42720" w:rsidR="00FF449E" w:rsidRPr="00EC65B3" w:rsidRDefault="00FF449E" w:rsidP="003C5923">
      <w:pPr>
        <w:pStyle w:val="ListBullet"/>
        <w:numPr>
          <w:ilvl w:val="0"/>
          <w:numId w:val="18"/>
        </w:numPr>
        <w:tabs>
          <w:tab w:val="num" w:pos="295"/>
        </w:tabs>
        <w:spacing w:line="80" w:lineRule="atLeast"/>
        <w:ind w:left="295" w:hanging="295"/>
        <w:rPr>
          <w:szCs w:val="20"/>
        </w:rPr>
      </w:pPr>
      <w:r w:rsidRPr="00EC65B3">
        <w:rPr>
          <w:szCs w:val="20"/>
        </w:rPr>
        <w:t>NBN Co’s current and planned use of their PTS licences, including location of new sites</w:t>
      </w:r>
    </w:p>
    <w:p w14:paraId="7D4BCC21" w14:textId="6473561C" w:rsidR="00FF449E" w:rsidRPr="00EC65B3" w:rsidRDefault="00FF449E" w:rsidP="00FF449E">
      <w:pPr>
        <w:pStyle w:val="ListBullet"/>
        <w:numPr>
          <w:ilvl w:val="0"/>
          <w:numId w:val="18"/>
        </w:numPr>
        <w:tabs>
          <w:tab w:val="num" w:pos="295"/>
        </w:tabs>
        <w:spacing w:line="240" w:lineRule="auto"/>
        <w:ind w:left="295" w:hanging="295"/>
        <w:rPr>
          <w:szCs w:val="20"/>
        </w:rPr>
      </w:pPr>
      <w:r>
        <w:rPr>
          <w:szCs w:val="20"/>
        </w:rPr>
        <w:t>t</w:t>
      </w:r>
      <w:r w:rsidRPr="00EC65B3">
        <w:rPr>
          <w:szCs w:val="20"/>
        </w:rPr>
        <w:t>he coverage area of each sector on a site (i.e. the area user terminals are located)</w:t>
      </w:r>
    </w:p>
    <w:p w14:paraId="5FE306D9" w14:textId="37BB5088" w:rsidR="00FF449E" w:rsidRPr="00EC65B3" w:rsidRDefault="00FF449E" w:rsidP="00FF449E">
      <w:pPr>
        <w:pStyle w:val="ListBullet"/>
        <w:numPr>
          <w:ilvl w:val="0"/>
          <w:numId w:val="18"/>
        </w:numPr>
        <w:tabs>
          <w:tab w:val="num" w:pos="295"/>
        </w:tabs>
        <w:spacing w:line="240" w:lineRule="auto"/>
        <w:ind w:left="295" w:hanging="295"/>
      </w:pPr>
      <w:r w:rsidRPr="00EC65B3">
        <w:t>Measures required to manage co</w:t>
      </w:r>
      <w:r>
        <w:t>-</w:t>
      </w:r>
      <w:r w:rsidRPr="00EC65B3">
        <w:t>channel interference.</w:t>
      </w:r>
    </w:p>
    <w:p w14:paraId="238A8C39" w14:textId="0210474E" w:rsidR="00FF449E" w:rsidRDefault="00FF449E" w:rsidP="00FF449E">
      <w:pPr>
        <w:spacing w:before="240"/>
        <w:rPr>
          <w:rFonts w:cs="Arial"/>
        </w:rPr>
      </w:pPr>
      <w:r>
        <w:rPr>
          <w:rFonts w:cs="Arial"/>
        </w:rPr>
        <w:t xml:space="preserve">Details of NBN Co’s current use of PTS licences are available from the </w:t>
      </w:r>
      <w:hyperlink r:id="rId64" w:history="1">
        <w:r w:rsidRPr="00345B56">
          <w:rPr>
            <w:rStyle w:val="Hyperlink"/>
            <w:rFonts w:cs="Arial"/>
          </w:rPr>
          <w:t>Register of radiocommunications licences</w:t>
        </w:r>
      </w:hyperlink>
      <w:r>
        <w:rPr>
          <w:rFonts w:cs="Arial"/>
        </w:rPr>
        <w:t>.</w:t>
      </w:r>
      <w:r w:rsidR="001D4308">
        <w:rPr>
          <w:rFonts w:cs="Arial"/>
        </w:rPr>
        <w:t xml:space="preserve"> While this provides information on current use, </w:t>
      </w:r>
      <w:r>
        <w:rPr>
          <w:rFonts w:cs="Arial"/>
        </w:rPr>
        <w:t>precise details on NBN Co’s plans for future use of the spectrum would need to be obtained from NBN Co. Due to demand, it is likely NBN Co may also need a degree of flexibility in its planning to accommodate changes in capacity requirements for individual sites. For example, some locations may require multiple sectors to meet capacity, while others may require the deployment of additional base station sites. Planned and other future potential deployments need to be considered when identifying the availability of urban areas for use by other operators.</w:t>
      </w:r>
    </w:p>
    <w:p w14:paraId="153234EF" w14:textId="14D3A077" w:rsidR="00FF449E" w:rsidRDefault="00FF449E" w:rsidP="00FF449E">
      <w:pPr>
        <w:rPr>
          <w:rFonts w:cs="Arial"/>
        </w:rPr>
      </w:pPr>
      <w:r>
        <w:rPr>
          <w:rFonts w:cs="Arial"/>
        </w:rPr>
        <w:t>The coverage areas of each sector on a site are also not recorded by the ACMA. While calculations can be performed to predict coverage, these are based on various assumptions so are only indicative. Actual cell coverage will depend on user location and distribution around a site, terrain, clutter (for example, trees or buildings), technical parameters of the base stations and user terminals, a</w:t>
      </w:r>
      <w:r w:rsidR="009B28BE">
        <w:rPr>
          <w:rFonts w:cs="Arial"/>
        </w:rPr>
        <w:t>s well as</w:t>
      </w:r>
      <w:r>
        <w:rPr>
          <w:rFonts w:cs="Arial"/>
        </w:rPr>
        <w:t xml:space="preserve"> service offerings</w:t>
      </w:r>
      <w:r w:rsidR="006B571D">
        <w:rPr>
          <w:rFonts w:cs="Arial"/>
        </w:rPr>
        <w:t xml:space="preserve"> (</w:t>
      </w:r>
      <w:r w:rsidR="003641CC">
        <w:rPr>
          <w:rFonts w:cs="Arial"/>
        </w:rPr>
        <w:t xml:space="preserve">for example </w:t>
      </w:r>
      <w:r w:rsidR="006B571D">
        <w:rPr>
          <w:rFonts w:cs="Arial"/>
        </w:rPr>
        <w:t>peak, average and minimum data rates)</w:t>
      </w:r>
      <w:r>
        <w:rPr>
          <w:rFonts w:cs="Arial"/>
        </w:rPr>
        <w:t xml:space="preserve">. It is important to ensure the location of any NBN user terminals are considered when identifying the availability of urban areas for use by other operators. </w:t>
      </w:r>
    </w:p>
    <w:p w14:paraId="42258094" w14:textId="1F54ED4F" w:rsidR="00FF449E" w:rsidRDefault="00FF449E" w:rsidP="00FF449E">
      <w:pPr>
        <w:rPr>
          <w:rFonts w:cs="Arial"/>
        </w:rPr>
      </w:pPr>
      <w:r>
        <w:rPr>
          <w:rFonts w:cs="Arial"/>
        </w:rPr>
        <w:t>Interference management is an important aspect of the apparatus licensing framework. For NBN Co, it provides them with the certainty required to design their network to a desired quality of service and provide a carrier-grade product. For any urban areas identified for use by other operators, it is important that appropriate arrangements are put in place to manage any co-channel interference. This could be difficult to do without placing restrictions on either future NBN Co deployments or deployments by other</w:t>
      </w:r>
      <w:r w:rsidR="00107C5B">
        <w:rPr>
          <w:rFonts w:cs="Arial"/>
        </w:rPr>
        <w:t xml:space="preserve"> operators</w:t>
      </w:r>
      <w:r>
        <w:rPr>
          <w:rFonts w:cs="Arial"/>
        </w:rPr>
        <w:t xml:space="preserve"> in urban areas. It may also mean operators are unable to deploy services in some areas. For this reason, </w:t>
      </w:r>
      <w:r w:rsidR="00107C5B">
        <w:rPr>
          <w:rFonts w:cs="Arial"/>
        </w:rPr>
        <w:t>the way interference is managed is</w:t>
      </w:r>
      <w:r>
        <w:rPr>
          <w:rFonts w:cs="Arial"/>
        </w:rPr>
        <w:t xml:space="preserve"> an integral part of determining what urban areas might be available for use.  </w:t>
      </w:r>
    </w:p>
    <w:p w14:paraId="33C279BE" w14:textId="26EFC6F0" w:rsidR="00FF449E" w:rsidRDefault="00FF449E" w:rsidP="00FF449E">
      <w:pPr>
        <w:rPr>
          <w:rFonts w:cs="Arial"/>
        </w:rPr>
      </w:pPr>
      <w:r w:rsidRPr="009742E4">
        <w:rPr>
          <w:rFonts w:cs="Arial"/>
        </w:rPr>
        <w:t xml:space="preserve">On 17 July 2018, the </w:t>
      </w:r>
      <w:r w:rsidR="00984DF2">
        <w:rPr>
          <w:rFonts w:cs="Arial"/>
        </w:rPr>
        <w:t>m</w:t>
      </w:r>
      <w:r w:rsidRPr="009742E4">
        <w:rPr>
          <w:rFonts w:cs="Arial"/>
        </w:rPr>
        <w:t xml:space="preserve">inister made the </w:t>
      </w:r>
      <w:hyperlink r:id="rId65" w:history="1">
        <w:r w:rsidRPr="00671572">
          <w:rPr>
            <w:rStyle w:val="Hyperlink"/>
            <w:rFonts w:cs="Arial"/>
            <w:i/>
          </w:rPr>
          <w:t xml:space="preserve">Australian Communications and Media Authority (Radiocommunications </w:t>
        </w:r>
        <w:r>
          <w:rPr>
            <w:rStyle w:val="Hyperlink"/>
            <w:rFonts w:cs="Arial"/>
            <w:i/>
          </w:rPr>
          <w:t>l</w:t>
        </w:r>
        <w:r w:rsidRPr="00671572">
          <w:rPr>
            <w:rStyle w:val="Hyperlink"/>
            <w:rFonts w:cs="Arial"/>
            <w:i/>
          </w:rPr>
          <w:t xml:space="preserve">icence </w:t>
        </w:r>
        <w:r>
          <w:rPr>
            <w:rStyle w:val="Hyperlink"/>
            <w:rFonts w:cs="Arial"/>
            <w:i/>
          </w:rPr>
          <w:t>c</w:t>
        </w:r>
        <w:r w:rsidRPr="00671572">
          <w:rPr>
            <w:rStyle w:val="Hyperlink"/>
            <w:rFonts w:cs="Arial"/>
            <w:i/>
          </w:rPr>
          <w:t xml:space="preserve">onditions—3.4 and 3.6 GHz </w:t>
        </w:r>
        <w:r>
          <w:rPr>
            <w:rStyle w:val="Hyperlink"/>
            <w:rFonts w:cs="Arial"/>
            <w:i/>
          </w:rPr>
          <w:t>b</w:t>
        </w:r>
        <w:r w:rsidRPr="00671572">
          <w:rPr>
            <w:rStyle w:val="Hyperlink"/>
            <w:rFonts w:cs="Arial"/>
            <w:i/>
          </w:rPr>
          <w:t xml:space="preserve">ands </w:t>
        </w:r>
        <w:r>
          <w:rPr>
            <w:rStyle w:val="Hyperlink"/>
            <w:rFonts w:cs="Arial"/>
            <w:i/>
          </w:rPr>
          <w:t>i</w:t>
        </w:r>
        <w:r w:rsidRPr="00671572">
          <w:rPr>
            <w:rStyle w:val="Hyperlink"/>
            <w:rFonts w:cs="Arial"/>
            <w:i/>
          </w:rPr>
          <w:t xml:space="preserve">nterference </w:t>
        </w:r>
        <w:r>
          <w:rPr>
            <w:rStyle w:val="Hyperlink"/>
            <w:rFonts w:cs="Arial"/>
            <w:i/>
          </w:rPr>
          <w:t>m</w:t>
        </w:r>
        <w:r w:rsidRPr="00671572">
          <w:rPr>
            <w:rStyle w:val="Hyperlink"/>
            <w:rFonts w:cs="Arial"/>
            <w:i/>
          </w:rPr>
          <w:t xml:space="preserve">anagement) </w:t>
        </w:r>
        <w:r w:rsidR="00984DF2">
          <w:rPr>
            <w:rStyle w:val="Hyperlink"/>
            <w:rFonts w:cs="Arial"/>
            <w:i/>
          </w:rPr>
          <w:t>D</w:t>
        </w:r>
        <w:r w:rsidRPr="00671572">
          <w:rPr>
            <w:rStyle w:val="Hyperlink"/>
            <w:rFonts w:cs="Arial"/>
            <w:i/>
          </w:rPr>
          <w:t>irection 2018</w:t>
        </w:r>
      </w:hyperlink>
      <w:r w:rsidRPr="009742E4">
        <w:rPr>
          <w:rFonts w:cs="Arial"/>
        </w:rPr>
        <w:t xml:space="preserve"> (the 2018 </w:t>
      </w:r>
      <w:r w:rsidR="006C5CDE">
        <w:rPr>
          <w:rFonts w:cs="Arial"/>
        </w:rPr>
        <w:t>M</w:t>
      </w:r>
      <w:r w:rsidRPr="009742E4">
        <w:rPr>
          <w:rFonts w:cs="Arial"/>
        </w:rPr>
        <w:t xml:space="preserve">inisterial </w:t>
      </w:r>
      <w:r>
        <w:rPr>
          <w:rFonts w:cs="Arial"/>
        </w:rPr>
        <w:t>d</w:t>
      </w:r>
      <w:r w:rsidRPr="009742E4">
        <w:rPr>
          <w:rFonts w:cs="Arial"/>
        </w:rPr>
        <w:t xml:space="preserve">irection). The 2018 </w:t>
      </w:r>
      <w:r w:rsidR="006C5CDE">
        <w:rPr>
          <w:rFonts w:cs="Arial"/>
        </w:rPr>
        <w:t>M</w:t>
      </w:r>
      <w:r w:rsidRPr="009742E4">
        <w:rPr>
          <w:rFonts w:cs="Arial"/>
        </w:rPr>
        <w:t xml:space="preserve">inisterial </w:t>
      </w:r>
      <w:r>
        <w:rPr>
          <w:rFonts w:cs="Arial"/>
        </w:rPr>
        <w:t>d</w:t>
      </w:r>
      <w:r w:rsidRPr="009742E4">
        <w:rPr>
          <w:rFonts w:cs="Arial"/>
        </w:rPr>
        <w:t>irection require</w:t>
      </w:r>
      <w:r>
        <w:rPr>
          <w:rFonts w:cs="Arial"/>
        </w:rPr>
        <w:t>d</w:t>
      </w:r>
      <w:r w:rsidRPr="009742E4">
        <w:rPr>
          <w:rFonts w:cs="Arial"/>
        </w:rPr>
        <w:t xml:space="preserve"> the ACMA to place conditions on spectrum licences and </w:t>
      </w:r>
      <w:r>
        <w:rPr>
          <w:rFonts w:cs="Arial"/>
        </w:rPr>
        <w:t xml:space="preserve">NBN Co’s </w:t>
      </w:r>
      <w:r w:rsidRPr="009742E4">
        <w:rPr>
          <w:rFonts w:cs="Arial"/>
        </w:rPr>
        <w:t>PTS licences in the 3400</w:t>
      </w:r>
      <w:r>
        <w:rPr>
          <w:rFonts w:cs="Arial"/>
        </w:rPr>
        <w:t>–</w:t>
      </w:r>
      <w:r w:rsidRPr="009742E4">
        <w:rPr>
          <w:rFonts w:cs="Arial"/>
        </w:rPr>
        <w:t xml:space="preserve">3575 MHz band </w:t>
      </w:r>
      <w:r>
        <w:rPr>
          <w:rFonts w:cs="Arial"/>
        </w:rPr>
        <w:t xml:space="preserve">in </w:t>
      </w:r>
      <w:r w:rsidRPr="009742E4">
        <w:rPr>
          <w:rFonts w:cs="Arial"/>
        </w:rPr>
        <w:t>defined regional and metropolitan areas</w:t>
      </w:r>
      <w:r>
        <w:rPr>
          <w:rFonts w:cs="Arial"/>
        </w:rPr>
        <w:t xml:space="preserve">. These conditions </w:t>
      </w:r>
      <w:r w:rsidRPr="009742E4">
        <w:rPr>
          <w:rFonts w:cs="Arial"/>
        </w:rPr>
        <w:t xml:space="preserve">require </w:t>
      </w:r>
      <w:r>
        <w:rPr>
          <w:rFonts w:cs="Arial"/>
        </w:rPr>
        <w:t>licensees</w:t>
      </w:r>
      <w:r w:rsidRPr="009742E4">
        <w:rPr>
          <w:rFonts w:cs="Arial"/>
        </w:rPr>
        <w:t xml:space="preserve">, </w:t>
      </w:r>
      <w:r>
        <w:rPr>
          <w:rFonts w:cs="Arial"/>
        </w:rPr>
        <w:t>from</w:t>
      </w:r>
      <w:r w:rsidRPr="009742E4">
        <w:rPr>
          <w:rFonts w:cs="Arial"/>
        </w:rPr>
        <w:t xml:space="preserve"> 30 March 2020, to manage interference (if no other measures can be agreed to) by adopting a common ‘frame structure’ to synchronise the operation of affected services</w:t>
      </w:r>
      <w:r>
        <w:rPr>
          <w:rFonts w:cs="Arial"/>
        </w:rPr>
        <w:t xml:space="preserve"> (referred to as the ‘synchronisation requirement’)</w:t>
      </w:r>
      <w:r w:rsidRPr="009742E4">
        <w:rPr>
          <w:rFonts w:cs="Arial"/>
        </w:rPr>
        <w:t xml:space="preserve">. </w:t>
      </w:r>
      <w:r>
        <w:rPr>
          <w:rFonts w:cs="Arial"/>
        </w:rPr>
        <w:t>The synchronisation requirement helps to manage co-channel and adjacent channel interference. For co-channel interference it greatly reduces the separation distance required between different operators to protect services—but importantly it does not remove it all together.</w:t>
      </w:r>
    </w:p>
    <w:p w14:paraId="46C54EE8" w14:textId="67A31CCC" w:rsidR="00FF449E" w:rsidRDefault="00FF449E" w:rsidP="00FF449E">
      <w:pPr>
        <w:rPr>
          <w:rFonts w:cs="Arial"/>
        </w:rPr>
      </w:pPr>
      <w:r>
        <w:rPr>
          <w:rFonts w:cs="Arial"/>
        </w:rPr>
        <w:t>For area-</w:t>
      </w:r>
      <w:r w:rsidRPr="00B13650">
        <w:rPr>
          <w:rFonts w:cs="Arial"/>
        </w:rPr>
        <w:t xml:space="preserve">based licences, cross-border interference is usually managed via a device boundary criteria (DBC). A DBC is intended to limit the strength of emissions leaving a licence area. In effect it results in coordination with an area as opposed to individual radiocommunications devices (site-based coordination). This approach removes the first-in-time advantage that applies with site-based coordination and provides greater certainty that licensees will be able to roll out services as required.  However, as a consequence, licensees may be restricted in how they deploy services close to licence boundaries. Figure 10 provides an example of the areas existing radiocommunications </w:t>
      </w:r>
      <w:r w:rsidRPr="00B13650">
        <w:rPr>
          <w:rFonts w:cs="Arial"/>
        </w:rPr>
        <w:lastRenderedPageBreak/>
        <w:t>devices operated under NBN Co’s PTS licences would exceed the DBC defined for 3.4 GHz spectrum licences. The 3.4 GHz spectrum licence DBC was developed taking into account the synchronisation requirement</w:t>
      </w:r>
      <w:r>
        <w:rPr>
          <w:rFonts w:cs="Arial"/>
        </w:rPr>
        <w:t>. R</w:t>
      </w:r>
      <w:r w:rsidRPr="00B13650">
        <w:rPr>
          <w:rFonts w:cs="Arial"/>
        </w:rPr>
        <w:t xml:space="preserve">ather than being designed to </w:t>
      </w:r>
      <w:r w:rsidR="0073515F">
        <w:rPr>
          <w:rFonts w:cs="Arial"/>
        </w:rPr>
        <w:t>provide</w:t>
      </w:r>
      <w:r w:rsidRPr="00B13650">
        <w:rPr>
          <w:rFonts w:cs="Arial"/>
        </w:rPr>
        <w:t xml:space="preserve"> base station to base station protection, it was</w:t>
      </w:r>
      <w:r>
        <w:rPr>
          <w:rFonts w:cs="Arial"/>
        </w:rPr>
        <w:t xml:space="preserve"> designed for base station to user terminal protection. Using the DBC to manage interference and help define available urban areas provides the greatest long-term certainty and flexibility to NBN Co.</w:t>
      </w:r>
    </w:p>
    <w:p w14:paraId="1A70EECE" w14:textId="202AB6AD" w:rsidR="00FF449E" w:rsidRDefault="00FF449E" w:rsidP="00FF449E">
      <w:pPr>
        <w:rPr>
          <w:rFonts w:cs="Arial"/>
        </w:rPr>
      </w:pPr>
      <w:r>
        <w:rPr>
          <w:rFonts w:cs="Arial"/>
        </w:rPr>
        <w:t xml:space="preserve">ACMA analysis shows that using the 3.4 GHz spectrum licence DBC to manage interference means that Canberra and parts of Sydney may be available for use by other operators but none of Adelaide or Perth would be. While parts of Brisbane and Melbourne might be available, they would be of limited utility due to the requirement to meet the DBC (unless use was limited to small cells). Furthermore, any urban areas that are excised from NBN Co’s PTS licences would also likely restrict NBN Co’s ability to deploy services at new sites within 10–30 km of the licence boundary. For this reason, the ACMA generally avoids defining area-wide licence boundaries that cross through or </w:t>
      </w:r>
      <w:r w:rsidR="00223C27">
        <w:rPr>
          <w:rFonts w:cs="Arial"/>
        </w:rPr>
        <w:t xml:space="preserve">are </w:t>
      </w:r>
      <w:r>
        <w:rPr>
          <w:rFonts w:cs="Arial"/>
        </w:rPr>
        <w:t xml:space="preserve">too close to </w:t>
      </w:r>
      <w:r w:rsidR="00000D74">
        <w:rPr>
          <w:rFonts w:cs="Arial"/>
        </w:rPr>
        <w:t>large population centres</w:t>
      </w:r>
      <w:r>
        <w:rPr>
          <w:rFonts w:cs="Arial"/>
        </w:rPr>
        <w:t xml:space="preserve">. </w:t>
      </w:r>
    </w:p>
    <w:p w14:paraId="7986041D" w14:textId="15BFB66C" w:rsidR="00FF449E" w:rsidRDefault="00FF449E" w:rsidP="00FF449E">
      <w:pPr>
        <w:rPr>
          <w:rFonts w:cs="Arial"/>
        </w:rPr>
      </w:pPr>
      <w:r>
        <w:rPr>
          <w:rFonts w:cs="Arial"/>
        </w:rPr>
        <w:t>To increase the ability of other licensees to use urban areas, an alternative interference management approach such as site-based coordination could be considered. Implementing this in combination with the synchronisation requirement could allow greater utility of smaller urban licen</w:t>
      </w:r>
      <w:r w:rsidR="003641CC">
        <w:rPr>
          <w:rFonts w:cs="Arial"/>
        </w:rPr>
        <w:t>c</w:t>
      </w:r>
      <w:r>
        <w:rPr>
          <w:rFonts w:cs="Arial"/>
        </w:rPr>
        <w:t xml:space="preserve">e areas. It could also allow larger urban areas to be defined for use. For example, areas could be defined so they don’t include NBN Co base station sites and associated coverage areas, rather than </w:t>
      </w:r>
      <w:r w:rsidR="00050293">
        <w:rPr>
          <w:rFonts w:cs="Arial"/>
        </w:rPr>
        <w:t xml:space="preserve">areas </w:t>
      </w:r>
      <w:r>
        <w:rPr>
          <w:rFonts w:cs="Arial"/>
        </w:rPr>
        <w:t xml:space="preserve">the DBC </w:t>
      </w:r>
      <w:r w:rsidR="00050293">
        <w:rPr>
          <w:rFonts w:cs="Arial"/>
        </w:rPr>
        <w:t xml:space="preserve">is not exceeded </w:t>
      </w:r>
      <w:r>
        <w:rPr>
          <w:rFonts w:cs="Arial"/>
        </w:rPr>
        <w:t xml:space="preserve">(that is, potential interference area). </w:t>
      </w:r>
    </w:p>
    <w:p w14:paraId="2558BDFB" w14:textId="76C601C2" w:rsidR="00FF449E" w:rsidRDefault="00FF449E" w:rsidP="00FF449E">
      <w:pPr>
        <w:rPr>
          <w:rFonts w:cs="Arial"/>
        </w:rPr>
      </w:pPr>
      <w:r w:rsidRPr="00B13650">
        <w:rPr>
          <w:rFonts w:cs="Arial"/>
        </w:rPr>
        <w:t>Figure 11 shows</w:t>
      </w:r>
      <w:r>
        <w:rPr>
          <w:rFonts w:cs="Arial"/>
        </w:rPr>
        <w:t xml:space="preserve"> examples of what this could look like assuming 5 or 10 kilometre coverage areas for all existing NBN Co sites. </w:t>
      </w:r>
      <w:r w:rsidR="003641CC">
        <w:rPr>
          <w:rFonts w:cs="Arial"/>
        </w:rPr>
        <w:t>I</w:t>
      </w:r>
      <w:r>
        <w:rPr>
          <w:rFonts w:cs="Arial"/>
        </w:rPr>
        <w:t>t is recognised the actual coverage area could be larger or smaller depending on a variety of factors. These values are used only as an example to illustrate what urban areas might be available.</w:t>
      </w:r>
    </w:p>
    <w:p w14:paraId="587CF9F5" w14:textId="77777777" w:rsidR="00FF449E" w:rsidRDefault="00FF449E" w:rsidP="00FF449E">
      <w:pPr>
        <w:rPr>
          <w:rFonts w:cs="Arial"/>
        </w:rPr>
      </w:pPr>
      <w:r>
        <w:rPr>
          <w:rFonts w:cs="Arial"/>
        </w:rPr>
        <w:t xml:space="preserve">The disadvantage of this option is that it has a greater potential to limit future deployments by NBN Co close to the licence boundary. This is because NBN Co would also be required to coordinate any new services with any services in urban areas on a first-in-time basis. The effect of this could potentially be reduced by pre-registering services at planned sites before urban areas are released. </w:t>
      </w:r>
    </w:p>
    <w:p w14:paraId="4D8E198C" w14:textId="77777777" w:rsidR="00FF449E" w:rsidRDefault="00FF449E" w:rsidP="00FF449E">
      <w:pPr>
        <w:spacing w:after="0" w:line="240" w:lineRule="auto"/>
        <w:rPr>
          <w:rFonts w:cs="Arial"/>
        </w:rPr>
      </w:pPr>
      <w:r>
        <w:rPr>
          <w:rFonts w:cs="Arial"/>
        </w:rPr>
        <w:br w:type="page"/>
      </w:r>
    </w:p>
    <w:p w14:paraId="5F76FF20" w14:textId="77777777" w:rsidR="00FF449E" w:rsidRPr="00301163" w:rsidRDefault="00FF449E" w:rsidP="003C5923">
      <w:pPr>
        <w:pStyle w:val="ACMAFigureHeader"/>
      </w:pPr>
      <w:r w:rsidRPr="00CE6250">
        <w:lastRenderedPageBreak/>
        <w:t xml:space="preserve">Areas (light </w:t>
      </w:r>
      <w:r w:rsidRPr="00FF449E">
        <w:t>green areas</w:t>
      </w:r>
      <w:r w:rsidRPr="00432767">
        <w:t>)</w:t>
      </w:r>
      <w:r w:rsidRPr="0032438C">
        <w:t xml:space="preserve"> existing devices </w:t>
      </w:r>
      <w:r w:rsidRPr="00864D13">
        <w:t xml:space="preserve">(dark green dots) operated under NBN Co’s PTS licences would exceed the 3.4 GHz spectrum licence DBC </w:t>
      </w:r>
    </w:p>
    <w:p w14:paraId="732664B6" w14:textId="77777777" w:rsidR="00FF449E" w:rsidRDefault="00FF449E" w:rsidP="00FF449E">
      <w:pPr>
        <w:spacing w:after="60"/>
        <w:ind w:left="-567" w:right="-2535"/>
        <w:jc w:val="center"/>
        <w:rPr>
          <w:rFonts w:cs="Arial"/>
        </w:rPr>
      </w:pPr>
      <w:r>
        <w:rPr>
          <w:noProof/>
        </w:rPr>
        <w:drawing>
          <wp:inline distT="0" distB="0" distL="0" distR="0" wp14:anchorId="54709D18" wp14:editId="3ADACB2F">
            <wp:extent cx="3218180" cy="3053759"/>
            <wp:effectExtent l="19050" t="19050" r="20320" b="13335"/>
            <wp:docPr id="12" name="Picture 12" descr="Areas (light green areas) existing devices (dark green dots) operated under NBN Co’s PTS licences would exceed the 3.4 GHz spectrum licence DBC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6" cstate="email">
                      <a:extLst>
                        <a:ext uri="{28A0092B-C50C-407E-A947-70E740481C1C}">
                          <a14:useLocalDpi xmlns:a14="http://schemas.microsoft.com/office/drawing/2010/main"/>
                        </a:ext>
                      </a:extLst>
                    </a:blip>
                    <a:srcRect b="2154"/>
                    <a:stretch/>
                  </pic:blipFill>
                  <pic:spPr bwMode="auto">
                    <a:xfrm>
                      <a:off x="0" y="0"/>
                      <a:ext cx="3218400" cy="3053968"/>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r>
        <w:rPr>
          <w:rFonts w:cs="Arial"/>
        </w:rPr>
        <w:t xml:space="preserve"> </w:t>
      </w:r>
      <w:r>
        <w:rPr>
          <w:noProof/>
        </w:rPr>
        <w:drawing>
          <wp:inline distT="0" distB="0" distL="0" distR="0" wp14:anchorId="7513E657" wp14:editId="456AE028">
            <wp:extent cx="3109595" cy="3042506"/>
            <wp:effectExtent l="19050" t="19050" r="14605" b="24765"/>
            <wp:docPr id="2" name="Picture 2" descr="Areas (light green areas) existing devices (dark green dots) operated under NBN Co’s PTS licences would exceed the 3.4 GHz spectrum licence DBC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referRelativeResize="0"/>
                  </pic:nvPicPr>
                  <pic:blipFill rotWithShape="1">
                    <a:blip r:embed="rId67" cstate="email">
                      <a:extLst>
                        <a:ext uri="{28A0092B-C50C-407E-A947-70E740481C1C}">
                          <a14:useLocalDpi xmlns:a14="http://schemas.microsoft.com/office/drawing/2010/main"/>
                        </a:ext>
                      </a:extLst>
                    </a:blip>
                    <a:srcRect l="16831" t="9441" r="8821" b="1655"/>
                    <a:stretch/>
                  </pic:blipFill>
                  <pic:spPr bwMode="auto">
                    <a:xfrm>
                      <a:off x="0" y="0"/>
                      <a:ext cx="3110400" cy="3043294"/>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22F27E26" w14:textId="77777777" w:rsidR="00FF449E" w:rsidRDefault="00FF449E" w:rsidP="00FF449E">
      <w:pPr>
        <w:spacing w:after="60"/>
        <w:ind w:left="-567" w:right="-2535"/>
        <w:jc w:val="center"/>
        <w:rPr>
          <w:rFonts w:cs="Arial"/>
        </w:rPr>
      </w:pPr>
      <w:r>
        <w:rPr>
          <w:noProof/>
        </w:rPr>
        <w:drawing>
          <wp:inline distT="0" distB="0" distL="0" distR="0" wp14:anchorId="09112A31" wp14:editId="33F9B3AD">
            <wp:extent cx="3218180" cy="2839158"/>
            <wp:effectExtent l="19050" t="19050" r="20320" b="18415"/>
            <wp:docPr id="31" name="Picture 31" descr="Areas (light green areas) existing devices (dark green dots) operated under NBN Co’s PTS licences would exceed the 3.4 GHz spectrum licence DBC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8" cstate="screen">
                      <a:extLst>
                        <a:ext uri="{28A0092B-C50C-407E-A947-70E740481C1C}">
                          <a14:useLocalDpi xmlns:a14="http://schemas.microsoft.com/office/drawing/2010/main"/>
                        </a:ext>
                      </a:extLst>
                    </a:blip>
                    <a:srcRect t="2629"/>
                    <a:stretch/>
                  </pic:blipFill>
                  <pic:spPr bwMode="auto">
                    <a:xfrm>
                      <a:off x="0" y="0"/>
                      <a:ext cx="3218400" cy="2839352"/>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r>
        <w:rPr>
          <w:rFonts w:cs="Arial"/>
        </w:rPr>
        <w:t xml:space="preserve"> </w:t>
      </w:r>
      <w:r>
        <w:rPr>
          <w:noProof/>
        </w:rPr>
        <w:drawing>
          <wp:inline distT="0" distB="0" distL="0" distR="0" wp14:anchorId="09E820B4" wp14:editId="1437351B">
            <wp:extent cx="3110090" cy="2837682"/>
            <wp:effectExtent l="19050" t="19050" r="14605" b="20320"/>
            <wp:docPr id="41" name="Picture 41" descr="Areas (light green areas) existing devices (dark green dots) operated under NBN Co’s PTS licences would exceed the 3.4 GHz spectrum licence DBC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9" cstate="screen">
                      <a:extLst>
                        <a:ext uri="{28A0092B-C50C-407E-A947-70E740481C1C}">
                          <a14:useLocalDpi xmlns:a14="http://schemas.microsoft.com/office/drawing/2010/main"/>
                        </a:ext>
                      </a:extLst>
                    </a:blip>
                    <a:srcRect l="5285" t="2555" r="8252"/>
                    <a:stretch/>
                  </pic:blipFill>
                  <pic:spPr bwMode="auto">
                    <a:xfrm>
                      <a:off x="0" y="0"/>
                      <a:ext cx="3110400" cy="2837965"/>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4BDE3E29" w14:textId="6485E52D" w:rsidR="00FF449E" w:rsidRDefault="00FF449E" w:rsidP="00FF449E">
      <w:pPr>
        <w:spacing w:after="60"/>
        <w:ind w:left="-567" w:right="-2535"/>
        <w:jc w:val="center"/>
        <w:rPr>
          <w:rFonts w:cs="Arial"/>
        </w:rPr>
      </w:pPr>
      <w:r>
        <w:rPr>
          <w:noProof/>
        </w:rPr>
        <w:drawing>
          <wp:inline distT="0" distB="0" distL="0" distR="0" wp14:anchorId="63C9E944" wp14:editId="5406C186">
            <wp:extent cx="3218400" cy="2635200"/>
            <wp:effectExtent l="19050" t="19050" r="20320" b="13335"/>
            <wp:docPr id="39" name="Picture 39" descr="Areas (light green areas) existing devices (dark green dots) operated under NBN Co’s PTS licences would exceed the 3.4 GHz spectrum licence DBC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0" cstate="screen">
                      <a:extLst>
                        <a:ext uri="{28A0092B-C50C-407E-A947-70E740481C1C}">
                          <a14:useLocalDpi xmlns:a14="http://schemas.microsoft.com/office/drawing/2010/main"/>
                        </a:ext>
                      </a:extLst>
                    </a:blip>
                    <a:srcRect r="3370"/>
                    <a:stretch/>
                  </pic:blipFill>
                  <pic:spPr bwMode="auto">
                    <a:xfrm>
                      <a:off x="0" y="0"/>
                      <a:ext cx="3218400" cy="2635200"/>
                    </a:xfrm>
                    <a:prstGeom prst="rect">
                      <a:avLst/>
                    </a:prstGeom>
                    <a:ln>
                      <a:solidFill>
                        <a:schemeClr val="tx1"/>
                      </a:solidFill>
                    </a:ln>
                    <a:extLst>
                      <a:ext uri="{53640926-AAD7-44D8-BBD7-CCE9431645EC}">
                        <a14:shadowObscured xmlns:a14="http://schemas.microsoft.com/office/drawing/2010/main"/>
                      </a:ext>
                    </a:extLst>
                  </pic:spPr>
                </pic:pic>
              </a:graphicData>
            </a:graphic>
          </wp:inline>
        </w:drawing>
      </w:r>
      <w:r>
        <w:rPr>
          <w:rFonts w:cs="Arial"/>
        </w:rPr>
        <w:t xml:space="preserve"> </w:t>
      </w:r>
      <w:r>
        <w:rPr>
          <w:noProof/>
        </w:rPr>
        <w:drawing>
          <wp:inline distT="0" distB="0" distL="0" distR="0" wp14:anchorId="223B1A22" wp14:editId="506645C5">
            <wp:extent cx="3114000" cy="2635200"/>
            <wp:effectExtent l="19050" t="19050" r="10795" b="13335"/>
            <wp:docPr id="40" name="Picture 40" descr="Areas (light green areas) existing devices (dark green dots) operated under NBN Co’s PTS licences would exceed the 3.4 GHz spectrum licence DBC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1" cstate="screen">
                      <a:extLst>
                        <a:ext uri="{28A0092B-C50C-407E-A947-70E740481C1C}">
                          <a14:useLocalDpi xmlns:a14="http://schemas.microsoft.com/office/drawing/2010/main"/>
                        </a:ext>
                      </a:extLst>
                    </a:blip>
                    <a:srcRect l="2820" t="3311"/>
                    <a:stretch/>
                  </pic:blipFill>
                  <pic:spPr bwMode="auto">
                    <a:xfrm>
                      <a:off x="0" y="0"/>
                      <a:ext cx="3114000" cy="2635200"/>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28039A3D" w14:textId="77777777" w:rsidR="00FF449E" w:rsidRPr="007752C5" w:rsidRDefault="00FF449E" w:rsidP="003C5923">
      <w:pPr>
        <w:pStyle w:val="ACMAFigureHeader"/>
      </w:pPr>
      <w:r w:rsidRPr="00CE6250">
        <w:lastRenderedPageBreak/>
        <w:t xml:space="preserve">Devices (dark green dots) </w:t>
      </w:r>
      <w:r w:rsidRPr="00FF449E">
        <w:t>operated under NBN Co’s PTS licences with assumed 5 km (</w:t>
      </w:r>
      <w:r w:rsidRPr="00432767">
        <w:t xml:space="preserve">light </w:t>
      </w:r>
      <w:r w:rsidRPr="0032438C">
        <w:t>green area</w:t>
      </w:r>
      <w:r w:rsidRPr="00864D13">
        <w:t>) and 10 km (dark green area) coverage areas.</w:t>
      </w:r>
    </w:p>
    <w:p w14:paraId="2D40ECDB" w14:textId="77777777" w:rsidR="00FF449E" w:rsidRDefault="00FF449E" w:rsidP="00A53E1C">
      <w:pPr>
        <w:spacing w:after="60"/>
        <w:ind w:left="-567" w:right="-2535"/>
        <w:jc w:val="center"/>
        <w:rPr>
          <w:rFonts w:cs="Arial"/>
        </w:rPr>
      </w:pPr>
      <w:r>
        <w:rPr>
          <w:noProof/>
        </w:rPr>
        <w:drawing>
          <wp:inline distT="0" distB="0" distL="0" distR="0" wp14:anchorId="7E8F71FA" wp14:editId="7CB044CE">
            <wp:extent cx="3216435" cy="3201360"/>
            <wp:effectExtent l="19050" t="19050" r="22225" b="18415"/>
            <wp:docPr id="16" name="Picture 16" descr="Devices (dark green dots) operated under NBN Co’s PTS licences with assumed 5 km (light green area) and 10 km (dark green area) coverage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2" cstate="email">
                      <a:extLst>
                        <a:ext uri="{28A0092B-C50C-407E-A947-70E740481C1C}">
                          <a14:useLocalDpi xmlns:a14="http://schemas.microsoft.com/office/drawing/2010/main"/>
                        </a:ext>
                      </a:extLst>
                    </a:blip>
                    <a:srcRect/>
                    <a:stretch/>
                  </pic:blipFill>
                  <pic:spPr bwMode="auto">
                    <a:xfrm>
                      <a:off x="0" y="0"/>
                      <a:ext cx="3218400" cy="3203316"/>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r>
        <w:rPr>
          <w:rFonts w:cs="Arial"/>
        </w:rPr>
        <w:t xml:space="preserve"> </w:t>
      </w:r>
      <w:r>
        <w:rPr>
          <w:noProof/>
        </w:rPr>
        <w:drawing>
          <wp:inline distT="0" distB="0" distL="0" distR="0" wp14:anchorId="0BCF4650" wp14:editId="52E029CB">
            <wp:extent cx="3220720" cy="3201894"/>
            <wp:effectExtent l="19050" t="19050" r="17780" b="17780"/>
            <wp:docPr id="32" name="Picture 32" descr="Devices (dark green dots) operated under NBN Co’s PTS licences with assumed 5 km (light green area) and 10 km (dark green area) coverage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3" cstate="email">
                      <a:extLst>
                        <a:ext uri="{28A0092B-C50C-407E-A947-70E740481C1C}">
                          <a14:useLocalDpi xmlns:a14="http://schemas.microsoft.com/office/drawing/2010/main"/>
                        </a:ext>
                      </a:extLst>
                    </a:blip>
                    <a:srcRect/>
                    <a:stretch/>
                  </pic:blipFill>
                  <pic:spPr bwMode="auto">
                    <a:xfrm>
                      <a:off x="0" y="0"/>
                      <a:ext cx="3246273" cy="3227298"/>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2ECB471B" w14:textId="77777777" w:rsidR="00FF449E" w:rsidRDefault="00FF449E" w:rsidP="00A53E1C">
      <w:pPr>
        <w:spacing w:after="60"/>
        <w:ind w:left="-567" w:right="-2535"/>
        <w:jc w:val="center"/>
        <w:rPr>
          <w:rFonts w:cs="Arial"/>
        </w:rPr>
      </w:pPr>
      <w:r>
        <w:rPr>
          <w:noProof/>
        </w:rPr>
        <w:drawing>
          <wp:inline distT="0" distB="0" distL="0" distR="0" wp14:anchorId="2421003F" wp14:editId="5494D482">
            <wp:extent cx="3218180" cy="2677169"/>
            <wp:effectExtent l="19050" t="19050" r="20320" b="27940"/>
            <wp:docPr id="33" name="Picture 33" descr="Devices (dark green dots) operated under NBN Co’s PTS licences with assumed 5 km (light green area) and 10 km (dark green area) coverage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4" cstate="screen">
                      <a:extLst>
                        <a:ext uri="{28A0092B-C50C-407E-A947-70E740481C1C}">
                          <a14:useLocalDpi xmlns:a14="http://schemas.microsoft.com/office/drawing/2010/main"/>
                        </a:ext>
                      </a:extLst>
                    </a:blip>
                    <a:srcRect t="2783"/>
                    <a:stretch/>
                  </pic:blipFill>
                  <pic:spPr bwMode="auto">
                    <a:xfrm>
                      <a:off x="0" y="0"/>
                      <a:ext cx="3218400" cy="2677352"/>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r>
        <w:rPr>
          <w:rFonts w:cs="Arial"/>
        </w:rPr>
        <w:t xml:space="preserve"> </w:t>
      </w:r>
      <w:r>
        <w:rPr>
          <w:noProof/>
        </w:rPr>
        <w:drawing>
          <wp:inline distT="0" distB="0" distL="0" distR="0" wp14:anchorId="78861D03" wp14:editId="0ADAE780">
            <wp:extent cx="3225165" cy="2679201"/>
            <wp:effectExtent l="19050" t="19050" r="13335" b="26035"/>
            <wp:docPr id="34" name="Picture 34" descr="Devices (dark green dots) operated under NBN Co’s PTS licences with assumed 5 km (light green area) and 10 km (dark green area) coverage area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referRelativeResize="0"/>
                  </pic:nvPicPr>
                  <pic:blipFill rotWithShape="1">
                    <a:blip r:embed="rId75" cstate="screen">
                      <a:extLst>
                        <a:ext uri="{28A0092B-C50C-407E-A947-70E740481C1C}">
                          <a14:useLocalDpi xmlns:a14="http://schemas.microsoft.com/office/drawing/2010/main"/>
                        </a:ext>
                      </a:extLst>
                    </a:blip>
                    <a:srcRect t="2703"/>
                    <a:stretch/>
                  </pic:blipFill>
                  <pic:spPr bwMode="auto">
                    <a:xfrm>
                      <a:off x="0" y="0"/>
                      <a:ext cx="3225600" cy="2679562"/>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47739D77" w14:textId="77777777" w:rsidR="00FF449E" w:rsidRDefault="00FF449E" w:rsidP="00FF449E">
      <w:pPr>
        <w:spacing w:after="0"/>
        <w:ind w:left="-567" w:right="-2535"/>
        <w:jc w:val="center"/>
        <w:rPr>
          <w:rFonts w:cs="Arial"/>
        </w:rPr>
      </w:pPr>
      <w:r>
        <w:rPr>
          <w:noProof/>
        </w:rPr>
        <w:drawing>
          <wp:inline distT="0" distB="0" distL="0" distR="0" wp14:anchorId="33F3CFE4" wp14:editId="0865DD51">
            <wp:extent cx="3217973" cy="2507482"/>
            <wp:effectExtent l="19050" t="19050" r="20955" b="26670"/>
            <wp:docPr id="35" name="Picture 35" descr="Devices (dark green dots) operated under NBN Co’s PTS licences with assumed 5 km (light green area) and 10 km (dark green area) coverage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6" cstate="screen">
                      <a:extLst>
                        <a:ext uri="{28A0092B-C50C-407E-A947-70E740481C1C}">
                          <a14:useLocalDpi xmlns:a14="http://schemas.microsoft.com/office/drawing/2010/main"/>
                        </a:ext>
                      </a:extLst>
                    </a:blip>
                    <a:srcRect t="2161" r="8183" b="1"/>
                    <a:stretch/>
                  </pic:blipFill>
                  <pic:spPr bwMode="auto">
                    <a:xfrm>
                      <a:off x="0" y="0"/>
                      <a:ext cx="3218400" cy="2507815"/>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r>
        <w:rPr>
          <w:rFonts w:cs="Arial"/>
        </w:rPr>
        <w:t xml:space="preserve"> </w:t>
      </w:r>
      <w:r>
        <w:rPr>
          <w:noProof/>
        </w:rPr>
        <w:drawing>
          <wp:inline distT="0" distB="0" distL="0" distR="0" wp14:anchorId="2F0B2434" wp14:editId="46E824FF">
            <wp:extent cx="3221573" cy="2509697"/>
            <wp:effectExtent l="19050" t="19050" r="17145" b="24130"/>
            <wp:docPr id="38" name="Picture 38" descr="Devices (dark green dots) operated under NBN Co’s PTS licences with assumed 5 km (light green area) and 10 km (dark green area) coverage areas."/>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
                    <pic:cNvPicPr preferRelativeResize="0"/>
                  </pic:nvPicPr>
                  <pic:blipFill rotWithShape="1">
                    <a:blip r:embed="rId77" cstate="screen">
                      <a:extLst>
                        <a:ext uri="{28A0092B-C50C-407E-A947-70E740481C1C}">
                          <a14:useLocalDpi xmlns:a14="http://schemas.microsoft.com/office/drawing/2010/main"/>
                        </a:ext>
                      </a:extLst>
                    </a:blip>
                    <a:srcRect t="3873"/>
                    <a:stretch/>
                  </pic:blipFill>
                  <pic:spPr bwMode="auto">
                    <a:xfrm>
                      <a:off x="0" y="0"/>
                      <a:ext cx="3222000" cy="2510030"/>
                    </a:xfrm>
                    <a:prstGeom prst="rect">
                      <a:avLst/>
                    </a:prstGeom>
                    <a:ln w="9525"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inline>
        </w:drawing>
      </w:r>
    </w:p>
    <w:p w14:paraId="396CC316" w14:textId="77777777" w:rsidR="00FF449E" w:rsidRPr="00FE1E1A" w:rsidRDefault="00FF449E" w:rsidP="003C5923">
      <w:pPr>
        <w:pStyle w:val="Heading2"/>
      </w:pPr>
      <w:bookmarkStart w:id="115" w:name="_Toc6923129"/>
      <w:r>
        <w:lastRenderedPageBreak/>
        <w:t>Options for facilitating access to urban areas</w:t>
      </w:r>
      <w:bookmarkEnd w:id="115"/>
      <w:r>
        <w:t xml:space="preserve"> </w:t>
      </w:r>
    </w:p>
    <w:p w14:paraId="1C84E934" w14:textId="0A9D3DED" w:rsidR="00FF449E" w:rsidRPr="001C6A31" w:rsidRDefault="00FF449E" w:rsidP="003C5923">
      <w:pPr>
        <w:spacing w:after="80" w:line="80" w:lineRule="atLeast"/>
      </w:pPr>
      <w:r w:rsidRPr="001C6A31">
        <w:t>The ACMA has identified two approaches t</w:t>
      </w:r>
      <w:r>
        <w:t>hat could</w:t>
      </w:r>
      <w:r w:rsidRPr="001C6A31">
        <w:t xml:space="preserve"> facilitate access to urban areas by other wireless broadband operators </w:t>
      </w:r>
      <w:bookmarkStart w:id="116" w:name="_Hlk5612283"/>
      <w:r w:rsidRPr="001C6A31">
        <w:t xml:space="preserve">Both could be applied to any of </w:t>
      </w:r>
      <w:r w:rsidR="0094271C">
        <w:t>O</w:t>
      </w:r>
      <w:r w:rsidRPr="001C6A31">
        <w:t>ptions 2a, 2b, 3a and 3b</w:t>
      </w:r>
      <w:bookmarkEnd w:id="116"/>
      <w:r w:rsidRPr="001C6A31">
        <w:t>:</w:t>
      </w:r>
    </w:p>
    <w:p w14:paraId="31F32AEF" w14:textId="77777777" w:rsidR="00FF449E" w:rsidRPr="00EC65B3" w:rsidRDefault="00FF449E" w:rsidP="003C5923">
      <w:pPr>
        <w:pStyle w:val="ListBullet"/>
        <w:numPr>
          <w:ilvl w:val="0"/>
          <w:numId w:val="18"/>
        </w:numPr>
        <w:tabs>
          <w:tab w:val="num" w:pos="295"/>
        </w:tabs>
        <w:spacing w:line="80" w:lineRule="atLeast"/>
        <w:ind w:left="295" w:hanging="295"/>
        <w:rPr>
          <w:szCs w:val="20"/>
        </w:rPr>
      </w:pPr>
      <w:r w:rsidRPr="003C5923">
        <w:rPr>
          <w:szCs w:val="20"/>
        </w:rPr>
        <w:t>Approach 1:</w:t>
      </w:r>
      <w:r w:rsidRPr="00EC65B3">
        <w:rPr>
          <w:szCs w:val="20"/>
        </w:rPr>
        <w:t xml:space="preserve"> </w:t>
      </w:r>
      <w:bookmarkStart w:id="117" w:name="_Hlk5611570"/>
      <w:r w:rsidRPr="00EC65B3">
        <w:rPr>
          <w:szCs w:val="20"/>
        </w:rPr>
        <w:t xml:space="preserve">Negotiate access under third-party authorisation arrangements. </w:t>
      </w:r>
      <w:bookmarkEnd w:id="117"/>
      <w:r w:rsidRPr="00EC65B3">
        <w:rPr>
          <w:szCs w:val="20"/>
        </w:rPr>
        <w:t xml:space="preserve">This approach is supported under existing apparatus and spectrum licence arrangements. It allows a licensee to affectively lease access to their licence under agreed conditions. The main benefit is that it provides </w:t>
      </w:r>
      <w:bookmarkStart w:id="118" w:name="_Hlk5611598"/>
      <w:r w:rsidRPr="00EC65B3">
        <w:rPr>
          <w:szCs w:val="20"/>
        </w:rPr>
        <w:t xml:space="preserve">NBN Co with the flexibility to consider case-by-case access to manage interference and minimise restrictions on future deployments. </w:t>
      </w:r>
      <w:bookmarkEnd w:id="118"/>
    </w:p>
    <w:p w14:paraId="58C2F1C2" w14:textId="798BCC72" w:rsidR="00FF449E" w:rsidRPr="00EC65B3" w:rsidRDefault="00FF449E" w:rsidP="00FF449E">
      <w:pPr>
        <w:pStyle w:val="ListBullet"/>
        <w:numPr>
          <w:ilvl w:val="0"/>
          <w:numId w:val="18"/>
        </w:numPr>
        <w:tabs>
          <w:tab w:val="num" w:pos="295"/>
        </w:tabs>
        <w:spacing w:line="240" w:lineRule="auto"/>
        <w:ind w:left="295" w:hanging="295"/>
      </w:pPr>
      <w:r w:rsidRPr="003C5923">
        <w:rPr>
          <w:szCs w:val="20"/>
        </w:rPr>
        <w:t>Approach</w:t>
      </w:r>
      <w:r w:rsidRPr="003C5923">
        <w:t xml:space="preserve"> 2:</w:t>
      </w:r>
      <w:r w:rsidRPr="00EC65B3">
        <w:t xml:space="preserve"> </w:t>
      </w:r>
      <w:bookmarkStart w:id="119" w:name="_Hlk5611637"/>
      <w:r w:rsidRPr="00EC65B3">
        <w:t xml:space="preserve">Excise defined urban areas from NBN Co’s PTS licence and allocate them via market-based mechanisms (such as an auction). </w:t>
      </w:r>
      <w:bookmarkEnd w:id="119"/>
      <w:r w:rsidRPr="00EC65B3">
        <w:t>Licences could be issued as either spectrum or area-wide PTS apparatus licences. The area available for excising and its usability, would depend on the interfere</w:t>
      </w:r>
      <w:r w:rsidR="005A718D">
        <w:t>nce</w:t>
      </w:r>
      <w:r w:rsidRPr="00EC65B3">
        <w:t xml:space="preserve"> management techniques implemented. The 3.4 GHz spectrum licence DBC provides greater certainty and flexibility for NBN Co but results in the least amount of area (with greater restrictions on use) being made available. A site-based coordination approach is likely to result in more urban areas being available for use. However, this comes with less flexibility for NBN Co to deploy future sites. Approach 2 may also add one or more new </w:t>
      </w:r>
      <w:r w:rsidR="007F3F17">
        <w:t>area-based</w:t>
      </w:r>
      <w:r w:rsidR="007F3F17" w:rsidRPr="00EC65B3">
        <w:t xml:space="preserve"> </w:t>
      </w:r>
      <w:r w:rsidRPr="00EC65B3">
        <w:t>licensees into the 3400</w:t>
      </w:r>
      <w:r>
        <w:t>–</w:t>
      </w:r>
      <w:r w:rsidRPr="00EC65B3">
        <w:t xml:space="preserve">3575 MHz band. This may further complicate the defrag process as their agreement would be required for implementation.   </w:t>
      </w:r>
    </w:p>
    <w:p w14:paraId="49C17EA3" w14:textId="0C0739C6" w:rsidR="00FF449E" w:rsidRPr="001C6A31" w:rsidRDefault="00FF449E" w:rsidP="003C5923">
      <w:pPr>
        <w:spacing w:before="240" w:after="80" w:line="80" w:lineRule="atLeast"/>
      </w:pPr>
      <w:r w:rsidRPr="001C6A31">
        <w:t>Approach 1 is available</w:t>
      </w:r>
      <w:r>
        <w:t xml:space="preserve"> now</w:t>
      </w:r>
      <w:r w:rsidRPr="001C6A31">
        <w:t xml:space="preserve"> for wireless broadband operators to investigate. However, </w:t>
      </w:r>
      <w:r w:rsidR="0032438C">
        <w:t>A</w:t>
      </w:r>
      <w:r w:rsidRPr="001C6A31">
        <w:t xml:space="preserve">pproach 2 requires further investigation by the ACMA to: </w:t>
      </w:r>
    </w:p>
    <w:p w14:paraId="1F2400EB" w14:textId="13B7504C" w:rsidR="00FF449E" w:rsidRPr="00EC65B3" w:rsidRDefault="00FF449E" w:rsidP="003C5923">
      <w:pPr>
        <w:pStyle w:val="ListBullet"/>
        <w:numPr>
          <w:ilvl w:val="0"/>
          <w:numId w:val="18"/>
        </w:numPr>
        <w:tabs>
          <w:tab w:val="num" w:pos="295"/>
        </w:tabs>
        <w:spacing w:line="80" w:lineRule="atLeast"/>
        <w:ind w:left="295" w:hanging="295"/>
        <w:rPr>
          <w:szCs w:val="20"/>
        </w:rPr>
      </w:pPr>
      <w:bookmarkStart w:id="120" w:name="_Hlk5611957"/>
      <w:r w:rsidRPr="00EC65B3">
        <w:rPr>
          <w:szCs w:val="20"/>
        </w:rPr>
        <w:t>better understand NBN Co’s future requirements in the 3400</w:t>
      </w:r>
      <w:r>
        <w:rPr>
          <w:szCs w:val="20"/>
        </w:rPr>
        <w:t>–</w:t>
      </w:r>
      <w:r w:rsidRPr="00EC65B3">
        <w:rPr>
          <w:szCs w:val="20"/>
        </w:rPr>
        <w:t xml:space="preserve">3575 MHz band </w:t>
      </w:r>
    </w:p>
    <w:p w14:paraId="4343F8B5" w14:textId="7A903791" w:rsidR="00FF449E" w:rsidRPr="00EC65B3" w:rsidRDefault="00FF449E" w:rsidP="00FF449E">
      <w:pPr>
        <w:pStyle w:val="ListBullet"/>
        <w:numPr>
          <w:ilvl w:val="0"/>
          <w:numId w:val="18"/>
        </w:numPr>
        <w:tabs>
          <w:tab w:val="num" w:pos="295"/>
        </w:tabs>
        <w:spacing w:line="240" w:lineRule="auto"/>
        <w:ind w:left="295" w:hanging="295"/>
        <w:rPr>
          <w:szCs w:val="20"/>
        </w:rPr>
      </w:pPr>
      <w:r w:rsidRPr="00EC65B3">
        <w:rPr>
          <w:szCs w:val="20"/>
        </w:rPr>
        <w:t xml:space="preserve">determine an appropriate co-channel interference management technique </w:t>
      </w:r>
    </w:p>
    <w:p w14:paraId="21A92095" w14:textId="77777777" w:rsidR="00FF449E" w:rsidRPr="00EC65B3" w:rsidRDefault="00FF449E" w:rsidP="003C5923">
      <w:pPr>
        <w:pStyle w:val="ListBullet"/>
        <w:numPr>
          <w:ilvl w:val="0"/>
          <w:numId w:val="18"/>
        </w:numPr>
        <w:tabs>
          <w:tab w:val="num" w:pos="295"/>
        </w:tabs>
        <w:ind w:left="295" w:hanging="295"/>
        <w:rPr>
          <w:szCs w:val="20"/>
        </w:rPr>
      </w:pPr>
      <w:r w:rsidRPr="00EC65B3">
        <w:rPr>
          <w:szCs w:val="20"/>
        </w:rPr>
        <w:t xml:space="preserve">determine the effect the previous two points would have on the availability of urban areas.  </w:t>
      </w:r>
    </w:p>
    <w:bookmarkEnd w:id="120"/>
    <w:p w14:paraId="7053AC06" w14:textId="0D895EBF" w:rsidR="00FF449E" w:rsidRPr="001C6A31" w:rsidRDefault="00FF449E" w:rsidP="00FF449E">
      <w:pPr>
        <w:spacing w:before="240"/>
        <w:rPr>
          <w:rFonts w:cs="Arial"/>
        </w:rPr>
      </w:pPr>
      <w:r w:rsidRPr="001C6A31">
        <w:rPr>
          <w:rFonts w:cs="Arial"/>
        </w:rPr>
        <w:t xml:space="preserve">Under Options 2a and 2b, implementation of Approach 2 would delay the conversion process until the above issues are resolved. </w:t>
      </w:r>
    </w:p>
    <w:p w14:paraId="54FB4F59" w14:textId="77777777" w:rsidR="00FF449E" w:rsidRDefault="00FF449E" w:rsidP="00FF449E">
      <w:r w:rsidRPr="001C6A31">
        <w:t xml:space="preserve">Under the preferred option (Option 3b) and Option 3a, this work could commence in parallel to the restack of apparatus licences. However, ideally, relevant work would be finalised before NBN Co’s licences are converted to spectrum licences, otherwise agreement would be required to excise any areas before their licences expired (to align with existing 3.4 GHz band spectrum licences, licence expiry would nominally be on 13 December 2030). </w:t>
      </w:r>
    </w:p>
    <w:p w14:paraId="481FFC32" w14:textId="11D9F884" w:rsidR="00FF449E" w:rsidRPr="001C6A31" w:rsidRDefault="00FF449E" w:rsidP="00FF449E">
      <w:r w:rsidRPr="001C6A31">
        <w:t xml:space="preserve">Consequently, implementing Approach 2 runs the risk of delaying the conversion </w:t>
      </w:r>
      <w:r w:rsidR="000F2A6F">
        <w:t xml:space="preserve">and defrag </w:t>
      </w:r>
      <w:r w:rsidRPr="001C6A31">
        <w:t>process</w:t>
      </w:r>
      <w:r w:rsidR="002A6CC7">
        <w:t>es</w:t>
      </w:r>
      <w:r w:rsidRPr="001C6A31">
        <w:t xml:space="preserve">. </w:t>
      </w:r>
    </w:p>
    <w:p w14:paraId="0E1AF577" w14:textId="39EDF8E6" w:rsidR="00FF449E" w:rsidRDefault="00FF449E" w:rsidP="00FF449E">
      <w:pPr>
        <w:rPr>
          <w:rFonts w:cs="Arial"/>
        </w:rPr>
      </w:pPr>
      <w:r w:rsidRPr="00594CB7">
        <w:rPr>
          <w:rFonts w:cs="Arial"/>
        </w:rPr>
        <w:t xml:space="preserve">The ACMA is seeking feedback on whether it should </w:t>
      </w:r>
      <w:r>
        <w:rPr>
          <w:rFonts w:cs="Arial"/>
        </w:rPr>
        <w:t xml:space="preserve">further </w:t>
      </w:r>
      <w:r w:rsidRPr="00594CB7">
        <w:rPr>
          <w:rFonts w:cs="Arial"/>
        </w:rPr>
        <w:t>investigate what</w:t>
      </w:r>
      <w:r>
        <w:rPr>
          <w:rFonts w:cs="Arial"/>
        </w:rPr>
        <w:t>, if any,</w:t>
      </w:r>
      <w:r w:rsidRPr="00594CB7">
        <w:rPr>
          <w:rFonts w:cs="Arial"/>
        </w:rPr>
        <w:t xml:space="preserve"> urban areas of NBN Co’s PTS licences might be </w:t>
      </w:r>
      <w:r>
        <w:rPr>
          <w:rFonts w:cs="Arial"/>
        </w:rPr>
        <w:t>excised</w:t>
      </w:r>
      <w:r w:rsidRPr="00594CB7">
        <w:rPr>
          <w:rFonts w:cs="Arial"/>
        </w:rPr>
        <w:t xml:space="preserve"> under Approach 2. This includes any views stakeholders may have on the appropriate interference management techniques to implement. </w:t>
      </w:r>
      <w:r>
        <w:rPr>
          <w:rFonts w:cs="Arial"/>
        </w:rPr>
        <w:t>S</w:t>
      </w:r>
      <w:r w:rsidRPr="00594CB7">
        <w:rPr>
          <w:rFonts w:cs="Arial"/>
        </w:rPr>
        <w:t xml:space="preserve">ince the 3.5 GHz band was made available for use by NBN Co as a result of the 2014 Ministerial </w:t>
      </w:r>
      <w:r>
        <w:rPr>
          <w:rFonts w:cs="Arial"/>
        </w:rPr>
        <w:t>d</w:t>
      </w:r>
      <w:r w:rsidRPr="00594CB7">
        <w:rPr>
          <w:rFonts w:cs="Arial"/>
        </w:rPr>
        <w:t xml:space="preserve">irection, the ACMA would consult with the </w:t>
      </w:r>
      <w:r w:rsidR="006C5CDE">
        <w:rPr>
          <w:rFonts w:cs="Arial"/>
        </w:rPr>
        <w:t>m</w:t>
      </w:r>
      <w:r w:rsidRPr="00594CB7">
        <w:rPr>
          <w:rFonts w:cs="Arial"/>
        </w:rPr>
        <w:t>inister before implementing any changes.</w:t>
      </w:r>
    </w:p>
    <w:p w14:paraId="3B478DE7" w14:textId="77777777" w:rsidR="00FF449E" w:rsidRDefault="00FF449E" w:rsidP="00FF449E">
      <w:pPr>
        <w:pStyle w:val="ListParagraph"/>
        <w:numPr>
          <w:ilvl w:val="0"/>
          <w:numId w:val="64"/>
        </w:numPr>
        <w:shd w:val="clear" w:color="auto" w:fill="F2F2F2" w:themeFill="background1" w:themeFillShade="F2"/>
        <w:spacing w:before="120" w:after="120" w:line="240" w:lineRule="auto"/>
        <w:contextualSpacing w:val="0"/>
        <w:rPr>
          <w:b/>
        </w:rPr>
      </w:pPr>
      <w:bookmarkStart w:id="121" w:name="_Hlk5797030"/>
      <w:r>
        <w:rPr>
          <w:b/>
        </w:rPr>
        <w:t>Are the existing third-party authorisation arrangements (Approach 1) sufficient to facilitate access to urban areas of NBN Co’s PTS licences by other operators? If not, should the ACMA investigate what, if any, urban areas might be available under Approach 2?</w:t>
      </w:r>
    </w:p>
    <w:p w14:paraId="431BAF2F" w14:textId="77777777" w:rsidR="00FF449E" w:rsidRDefault="00FF449E" w:rsidP="00FF449E">
      <w:pPr>
        <w:pStyle w:val="ListParagraph"/>
        <w:numPr>
          <w:ilvl w:val="0"/>
          <w:numId w:val="64"/>
        </w:numPr>
        <w:shd w:val="clear" w:color="auto" w:fill="F2F2F2" w:themeFill="background1" w:themeFillShade="F2"/>
        <w:spacing w:before="120" w:after="120" w:line="240" w:lineRule="auto"/>
        <w:contextualSpacing w:val="0"/>
        <w:rPr>
          <w:b/>
        </w:rPr>
      </w:pPr>
      <w:r>
        <w:rPr>
          <w:b/>
        </w:rPr>
        <w:t>Do stakeholders have any views on what co-channel interference management technique should be applied under Approach 2?</w:t>
      </w:r>
    </w:p>
    <w:p w14:paraId="181C76DE" w14:textId="77777777" w:rsidR="00FF449E" w:rsidRPr="006D46E5" w:rsidRDefault="00FF449E" w:rsidP="00FF449E">
      <w:pPr>
        <w:pStyle w:val="Heading1"/>
      </w:pPr>
      <w:bookmarkStart w:id="122" w:name="_Toc298924672"/>
      <w:bookmarkStart w:id="123" w:name="_Toc300909555"/>
      <w:bookmarkStart w:id="124" w:name="_Toc348105636"/>
      <w:bookmarkStart w:id="125" w:name="_Toc6923130"/>
      <w:bookmarkEnd w:id="121"/>
      <w:r w:rsidRPr="006D46E5">
        <w:lastRenderedPageBreak/>
        <w:t>Invitation to comment</w:t>
      </w:r>
      <w:bookmarkEnd w:id="122"/>
      <w:bookmarkEnd w:id="123"/>
      <w:bookmarkEnd w:id="124"/>
      <w:bookmarkEnd w:id="125"/>
    </w:p>
    <w:p w14:paraId="1708DF7E" w14:textId="77777777" w:rsidR="00FF449E" w:rsidRPr="007130E5" w:rsidRDefault="00FF449E" w:rsidP="00FF449E">
      <w:pPr>
        <w:pStyle w:val="Heading2"/>
      </w:pPr>
      <w:bookmarkStart w:id="126" w:name="_Toc298924673"/>
      <w:bookmarkStart w:id="127" w:name="_Toc300909556"/>
      <w:bookmarkStart w:id="128" w:name="_Toc348105637"/>
      <w:bookmarkStart w:id="129" w:name="_Toc433122131"/>
      <w:bookmarkStart w:id="130" w:name="_Toc6923131"/>
      <w:bookmarkStart w:id="131" w:name="_Toc300909557"/>
      <w:bookmarkStart w:id="132" w:name="_Toc348105638"/>
      <w:bookmarkStart w:id="133" w:name="_Toc274296357"/>
      <w:bookmarkStart w:id="134" w:name="_Toc298924674"/>
      <w:r w:rsidRPr="007130E5">
        <w:t>Making a submission</w:t>
      </w:r>
      <w:bookmarkEnd w:id="126"/>
      <w:bookmarkEnd w:id="127"/>
      <w:bookmarkEnd w:id="128"/>
      <w:bookmarkEnd w:id="129"/>
      <w:bookmarkEnd w:id="130"/>
    </w:p>
    <w:p w14:paraId="4A72AB21" w14:textId="797260D9" w:rsidR="00FF449E" w:rsidRPr="005E7226" w:rsidRDefault="00FF449E" w:rsidP="003C5923">
      <w:r w:rsidRPr="005E7226">
        <w:t>The ACMA invites comments on the issues set out in this discussion paper or any other issues relevant to</w:t>
      </w:r>
      <w:r>
        <w:t xml:space="preserve"> optimising use of the 3400–3575 MHz band</w:t>
      </w:r>
      <w:r w:rsidRPr="005E7226">
        <w:t xml:space="preserve">. </w:t>
      </w:r>
    </w:p>
    <w:p w14:paraId="2C1C0055" w14:textId="77777777" w:rsidR="00FF449E" w:rsidRDefault="00E87AA7" w:rsidP="00FF449E">
      <w:pPr>
        <w:pStyle w:val="ListBullet"/>
        <w:numPr>
          <w:ilvl w:val="0"/>
          <w:numId w:val="1"/>
        </w:numPr>
      </w:pPr>
      <w:hyperlink r:id="rId78" w:history="1">
        <w:r w:rsidR="00FF449E">
          <w:rPr>
            <w:rStyle w:val="Hyperlink"/>
          </w:rPr>
          <w:t>Online submissions</w:t>
        </w:r>
      </w:hyperlink>
      <w:r w:rsidR="00FF449E">
        <w:t xml:space="preserve"> can be made via the comment function or by uploading a document. Submissions in Microsoft Word or Rich Text Format are preferred.</w:t>
      </w:r>
    </w:p>
    <w:p w14:paraId="31785BF0" w14:textId="5BC9E82C" w:rsidR="00FF449E" w:rsidRDefault="00FF449E" w:rsidP="003C5923">
      <w:pPr>
        <w:pStyle w:val="ListBullet"/>
        <w:numPr>
          <w:ilvl w:val="0"/>
          <w:numId w:val="1"/>
        </w:numPr>
      </w:pPr>
      <w:r w:rsidRPr="003C5923">
        <w:t>Submissions by post</w:t>
      </w:r>
      <w:r>
        <w:t xml:space="preserve"> </w:t>
      </w:r>
      <w:r w:rsidRPr="00D60C33">
        <w:t>can</w:t>
      </w:r>
      <w:r>
        <w:t xml:space="preserve"> be sent to: </w:t>
      </w:r>
    </w:p>
    <w:p w14:paraId="716BC4AD" w14:textId="77777777" w:rsidR="00FF449E" w:rsidRPr="00C63AC0" w:rsidRDefault="00FF449E" w:rsidP="00FF449E">
      <w:pPr>
        <w:pStyle w:val="ACMANormalTabbed"/>
        <w:tabs>
          <w:tab w:val="num" w:pos="295"/>
        </w:tabs>
        <w:spacing w:after="0"/>
        <w:ind w:left="295"/>
      </w:pPr>
      <w:r w:rsidRPr="00C63AC0">
        <w:t>The Manager</w:t>
      </w:r>
    </w:p>
    <w:p w14:paraId="4E650D6B" w14:textId="77777777" w:rsidR="00FF449E" w:rsidRPr="00C63AC0" w:rsidRDefault="00FF449E" w:rsidP="00FF449E">
      <w:pPr>
        <w:pStyle w:val="ACMANormalTabbed"/>
        <w:spacing w:after="0"/>
        <w:ind w:left="295"/>
      </w:pPr>
      <w:r w:rsidRPr="00C63AC0">
        <w:t>Spectrum Planning Section</w:t>
      </w:r>
    </w:p>
    <w:p w14:paraId="15C0A35B" w14:textId="77777777" w:rsidR="00FF449E" w:rsidRPr="00C63AC0" w:rsidRDefault="00FF449E" w:rsidP="00FF449E">
      <w:pPr>
        <w:pStyle w:val="ACMANormalTabbed"/>
        <w:spacing w:after="0"/>
        <w:ind w:left="295"/>
      </w:pPr>
      <w:r w:rsidRPr="00C63AC0">
        <w:t>Spectrum Infrastructure Branch</w:t>
      </w:r>
    </w:p>
    <w:p w14:paraId="1A47999A" w14:textId="77777777" w:rsidR="00FF449E" w:rsidRPr="00C63AC0" w:rsidRDefault="00FF449E" w:rsidP="00FF449E">
      <w:pPr>
        <w:pStyle w:val="ACMANormalTabbed"/>
        <w:spacing w:after="0"/>
        <w:ind w:left="295"/>
      </w:pPr>
      <w:r w:rsidRPr="00C63AC0">
        <w:t>Australian Communications and Media Authority</w:t>
      </w:r>
    </w:p>
    <w:p w14:paraId="47DC5D9F" w14:textId="77777777" w:rsidR="00FF449E" w:rsidRPr="00C63AC0" w:rsidRDefault="00FF449E" w:rsidP="00FF449E">
      <w:pPr>
        <w:pStyle w:val="ACMANormalTabbed"/>
        <w:spacing w:after="0"/>
        <w:ind w:left="295"/>
      </w:pPr>
      <w:r w:rsidRPr="00C63AC0">
        <w:t>PO Box 78</w:t>
      </w:r>
    </w:p>
    <w:p w14:paraId="6C006AD6" w14:textId="77777777" w:rsidR="00FF449E" w:rsidRPr="005E7226" w:rsidRDefault="00FF449E" w:rsidP="00FF449E">
      <w:pPr>
        <w:pStyle w:val="ACMANormalTabbed"/>
        <w:ind w:left="295"/>
      </w:pPr>
      <w:r w:rsidRPr="00C63AC0">
        <w:t>Belconnen ACT 2616</w:t>
      </w:r>
    </w:p>
    <w:bookmarkEnd w:id="131"/>
    <w:bookmarkEnd w:id="132"/>
    <w:bookmarkEnd w:id="133"/>
    <w:bookmarkEnd w:id="134"/>
    <w:p w14:paraId="670F77EB" w14:textId="5C310A15" w:rsidR="00FF449E" w:rsidRPr="009229F4" w:rsidRDefault="00FF449E" w:rsidP="00FF449E">
      <w:pPr>
        <w:rPr>
          <w:rStyle w:val="Strong"/>
        </w:rPr>
      </w:pPr>
      <w:r w:rsidRPr="00A05EC9">
        <w:rPr>
          <w:rStyle w:val="Strong"/>
        </w:rPr>
        <w:t xml:space="preserve">The closing date for submissions is COB, </w:t>
      </w:r>
      <w:r w:rsidR="00B4033F">
        <w:rPr>
          <w:rStyle w:val="Strong"/>
        </w:rPr>
        <w:t>Friday</w:t>
      </w:r>
      <w:r w:rsidR="00B4033F" w:rsidRPr="00754EA0">
        <w:rPr>
          <w:rStyle w:val="Strong"/>
        </w:rPr>
        <w:t xml:space="preserve"> </w:t>
      </w:r>
      <w:r>
        <w:rPr>
          <w:rStyle w:val="Strong"/>
        </w:rPr>
        <w:t>24</w:t>
      </w:r>
      <w:r w:rsidRPr="00754EA0">
        <w:rPr>
          <w:b/>
        </w:rPr>
        <w:t xml:space="preserve"> </w:t>
      </w:r>
      <w:r>
        <w:rPr>
          <w:b/>
        </w:rPr>
        <w:t>May</w:t>
      </w:r>
      <w:r w:rsidRPr="00754EA0">
        <w:rPr>
          <w:b/>
        </w:rPr>
        <w:t xml:space="preserve"> 201</w:t>
      </w:r>
      <w:r>
        <w:rPr>
          <w:b/>
        </w:rPr>
        <w:t>9</w:t>
      </w:r>
      <w:r w:rsidRPr="00754EA0">
        <w:rPr>
          <w:b/>
        </w:rPr>
        <w:t>.</w:t>
      </w:r>
    </w:p>
    <w:p w14:paraId="57786D07" w14:textId="77777777" w:rsidR="00FF449E" w:rsidRPr="002A6019" w:rsidRDefault="00FF449E" w:rsidP="00FF449E">
      <w:pPr>
        <w:rPr>
          <w:szCs w:val="20"/>
        </w:rPr>
      </w:pPr>
      <w:r>
        <w:t xml:space="preserve">Consultation enquiries can be emailed </w:t>
      </w:r>
      <w:r>
        <w:rPr>
          <w:szCs w:val="20"/>
        </w:rPr>
        <w:t xml:space="preserve">to </w:t>
      </w:r>
      <w:hyperlink r:id="rId79" w:history="1">
        <w:r w:rsidRPr="002F3B34">
          <w:rPr>
            <w:rStyle w:val="Hyperlink"/>
            <w:szCs w:val="20"/>
          </w:rPr>
          <w:t>freqplan@acma.gov.au</w:t>
        </w:r>
      </w:hyperlink>
      <w:r w:rsidRPr="002A6019">
        <w:rPr>
          <w:szCs w:val="20"/>
        </w:rPr>
        <w:t>.</w:t>
      </w:r>
      <w:r w:rsidRPr="00A05EC9">
        <w:t xml:space="preserve"> </w:t>
      </w:r>
    </w:p>
    <w:p w14:paraId="41FB8CA5" w14:textId="77777777" w:rsidR="00FF449E" w:rsidRDefault="00FF449E" w:rsidP="00FF449E">
      <w:pPr>
        <w:pStyle w:val="BodySubHeader"/>
      </w:pPr>
      <w:r>
        <w:t>Publication of submissions</w:t>
      </w:r>
    </w:p>
    <w:p w14:paraId="6A4F6D61" w14:textId="77777777" w:rsidR="00FF449E" w:rsidRDefault="00FF449E" w:rsidP="00FF449E">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04242178" w14:textId="77777777" w:rsidR="00FF449E" w:rsidRDefault="00FF449E" w:rsidP="00FF449E">
      <w:r>
        <w:t>Confidential information will not be published or otherwise released unless required or authorised by law.</w:t>
      </w:r>
    </w:p>
    <w:p w14:paraId="7924BC67" w14:textId="77777777" w:rsidR="00FF449E" w:rsidRDefault="00FF449E" w:rsidP="00FF449E">
      <w:pPr>
        <w:pStyle w:val="BodySubHeader"/>
      </w:pPr>
      <w:r>
        <w:t>Privacy</w:t>
      </w:r>
    </w:p>
    <w:p w14:paraId="115CA405" w14:textId="77777777" w:rsidR="00FF449E" w:rsidRDefault="00E87AA7" w:rsidP="00FF449E">
      <w:pPr>
        <w:spacing w:after="0"/>
      </w:pPr>
      <w:hyperlink r:id="rId80" w:history="1">
        <w:r w:rsidR="00FF449E">
          <w:rPr>
            <w:rStyle w:val="Hyperlink"/>
            <w:i/>
          </w:rPr>
          <w:t>Privacy and consultation</w:t>
        </w:r>
      </w:hyperlink>
      <w:r w:rsidR="00FF449E">
        <w:t xml:space="preserve"> provides information about the ACMA’s collection of personal information during consultation and how we handle that information.  </w:t>
      </w:r>
    </w:p>
    <w:p w14:paraId="2A0D1D2C" w14:textId="77777777" w:rsidR="00FF449E" w:rsidRDefault="00FF449E" w:rsidP="00FF449E">
      <w:pPr>
        <w:spacing w:after="0"/>
      </w:pPr>
    </w:p>
    <w:p w14:paraId="5424F427" w14:textId="77777777" w:rsidR="00FF449E" w:rsidRPr="0041233F" w:rsidRDefault="00FF449E" w:rsidP="00FF449E">
      <w:r>
        <w:t xml:space="preserve">Information on the </w:t>
      </w:r>
      <w:r>
        <w:rPr>
          <w:i/>
        </w:rPr>
        <w:t xml:space="preserve">Privacy Act 1988 </w:t>
      </w:r>
      <w:r>
        <w:t xml:space="preserve">and the ACMA’s privacy policy (including how to access or correct personal information, how to make a privacy complaint and how we will deal with the complaint) is available at </w:t>
      </w:r>
      <w:hyperlink r:id="rId81" w:tooltip="ACMA Privacy Policy" w:history="1">
        <w:r>
          <w:rPr>
            <w:rStyle w:val="Hyperlink"/>
          </w:rPr>
          <w:t>acma.gov.au/privacypolicy</w:t>
        </w:r>
      </w:hyperlink>
      <w:r>
        <w:t xml:space="preserve">. </w:t>
      </w:r>
    </w:p>
    <w:p w14:paraId="28B76DD6" w14:textId="77777777" w:rsidR="00FF449E" w:rsidRPr="006D46E5" w:rsidRDefault="00FF449E" w:rsidP="00FF449E">
      <w:pPr>
        <w:pStyle w:val="Heading1"/>
      </w:pPr>
      <w:bookmarkStart w:id="135" w:name="_Toc6923132"/>
      <w:r w:rsidRPr="007130E5">
        <w:lastRenderedPageBreak/>
        <w:t>Glossary</w:t>
      </w:r>
      <w:bookmarkEnd w:id="135"/>
      <w:r w:rsidRPr="006D46E5">
        <w:t xml:space="preserve"> </w:t>
      </w:r>
    </w:p>
    <w:tbl>
      <w:tblPr>
        <w:tblStyle w:val="PlainTable1"/>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57" w:type="dxa"/>
          <w:left w:w="57" w:type="dxa"/>
          <w:bottom w:w="57" w:type="dxa"/>
          <w:right w:w="57" w:type="dxa"/>
        </w:tblCellMar>
        <w:tblLook w:val="04A0" w:firstRow="1" w:lastRow="0" w:firstColumn="1" w:lastColumn="0" w:noHBand="0" w:noVBand="1"/>
        <w:tblCaption w:val="Terms and definitions used in this document."/>
      </w:tblPr>
      <w:tblGrid>
        <w:gridCol w:w="2405"/>
        <w:gridCol w:w="5256"/>
      </w:tblGrid>
      <w:tr w:rsidR="00FF449E" w:rsidRPr="00A05EC9" w14:paraId="71651A1E" w14:textId="77777777" w:rsidTr="006C4214">
        <w:trPr>
          <w:cnfStyle w:val="100000000000" w:firstRow="1" w:lastRow="0" w:firstColumn="0" w:lastColumn="0" w:oddVBand="0" w:evenVBand="0" w:oddHBand="0" w:evenHBand="0" w:firstRowFirstColumn="0" w:firstRowLastColumn="0" w:lastRowFirstColumn="0" w:lastRowLastColumn="0"/>
          <w:cantSplit/>
          <w:tblHeader/>
        </w:trPr>
        <w:tc>
          <w:tcPr>
            <w:cnfStyle w:val="001000000000" w:firstRow="0" w:lastRow="0" w:firstColumn="1" w:lastColumn="0" w:oddVBand="0" w:evenVBand="0" w:oddHBand="0" w:evenHBand="0" w:firstRowFirstColumn="0" w:firstRowLastColumn="0" w:lastRowFirstColumn="0" w:lastRowLastColumn="0"/>
            <w:tcW w:w="2405" w:type="dxa"/>
            <w:shd w:val="clear" w:color="auto" w:fill="404040" w:themeFill="text1" w:themeFillTint="BF"/>
          </w:tcPr>
          <w:p w14:paraId="1FFD7346" w14:textId="77777777" w:rsidR="00FF449E" w:rsidRPr="00A05EC9" w:rsidRDefault="00FF449E" w:rsidP="006C4214">
            <w:pPr>
              <w:pStyle w:val="TableHeading"/>
              <w:spacing w:line="240" w:lineRule="auto"/>
              <w:rPr>
                <w:color w:val="FFFFFF" w:themeColor="background1"/>
              </w:rPr>
            </w:pPr>
            <w:r w:rsidRPr="00A748BB">
              <w:rPr>
                <w:b/>
                <w:color w:val="FFFFFF" w:themeColor="background1"/>
              </w:rPr>
              <w:t>Term</w:t>
            </w:r>
          </w:p>
        </w:tc>
        <w:tc>
          <w:tcPr>
            <w:tcW w:w="5256" w:type="dxa"/>
            <w:shd w:val="clear" w:color="auto" w:fill="404040" w:themeFill="text1" w:themeFillTint="BF"/>
          </w:tcPr>
          <w:p w14:paraId="593C17AC" w14:textId="77777777" w:rsidR="00FF449E" w:rsidRPr="00A05EC9" w:rsidRDefault="00FF449E" w:rsidP="006C4214">
            <w:pPr>
              <w:pStyle w:val="TableHeading"/>
              <w:spacing w:line="240" w:lineRule="auto"/>
              <w:cnfStyle w:val="100000000000" w:firstRow="1" w:lastRow="0" w:firstColumn="0" w:lastColumn="0" w:oddVBand="0" w:evenVBand="0" w:oddHBand="0" w:evenHBand="0" w:firstRowFirstColumn="0" w:firstRowLastColumn="0" w:lastRowFirstColumn="0" w:lastRowLastColumn="0"/>
              <w:rPr>
                <w:color w:val="FFFFFF" w:themeColor="background1"/>
              </w:rPr>
            </w:pPr>
            <w:r w:rsidRPr="00A748BB">
              <w:rPr>
                <w:b/>
                <w:color w:val="FFFFFF" w:themeColor="background1"/>
              </w:rPr>
              <w:t>Definition</w:t>
            </w:r>
          </w:p>
        </w:tc>
      </w:tr>
      <w:tr w:rsidR="00FF449E" w:rsidRPr="00A05EC9" w14:paraId="466F9F6E"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4EA7DBAC" w14:textId="77777777" w:rsidR="00FF449E" w:rsidRDefault="00FF449E" w:rsidP="006C4214">
            <w:pPr>
              <w:spacing w:after="0" w:line="240" w:lineRule="auto"/>
            </w:pPr>
            <w:r>
              <w:t>3.4 GHz spectrum licence band</w:t>
            </w:r>
          </w:p>
        </w:tc>
        <w:tc>
          <w:tcPr>
            <w:tcW w:w="5256" w:type="dxa"/>
          </w:tcPr>
          <w:p w14:paraId="18A3292F" w14:textId="5E5A76DD"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rsidRPr="00A05EC9">
              <w:t xml:space="preserve">Refers to </w:t>
            </w:r>
            <w:r>
              <w:t>the 3425–3492.5</w:t>
            </w:r>
            <w:r w:rsidRPr="00A05EC9">
              <w:t xml:space="preserve"> </w:t>
            </w:r>
            <w:r>
              <w:t>M</w:t>
            </w:r>
            <w:r w:rsidRPr="00A05EC9">
              <w:t xml:space="preserve">Hz </w:t>
            </w:r>
            <w:r>
              <w:t xml:space="preserve">and 3542.5–3575 MHz </w:t>
            </w:r>
            <w:r w:rsidRPr="00A05EC9">
              <w:t>frequency range</w:t>
            </w:r>
            <w:r>
              <w:t>s</w:t>
            </w:r>
          </w:p>
        </w:tc>
      </w:tr>
      <w:tr w:rsidR="00FF449E" w:rsidRPr="00A05EC9" w14:paraId="21F35A34"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43441102" w14:textId="77777777" w:rsidR="00FF449E" w:rsidRPr="00A05EC9" w:rsidRDefault="00FF449E" w:rsidP="006C4214">
            <w:pPr>
              <w:spacing w:after="0" w:line="240" w:lineRule="auto"/>
            </w:pPr>
            <w:r>
              <w:t>3.5 GHz band</w:t>
            </w:r>
          </w:p>
        </w:tc>
        <w:tc>
          <w:tcPr>
            <w:tcW w:w="5256" w:type="dxa"/>
          </w:tcPr>
          <w:p w14:paraId="254D4F99" w14:textId="3AC1215C"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rsidRPr="00A05EC9">
              <w:t xml:space="preserve">Refers to </w:t>
            </w:r>
            <w:r>
              <w:t>the 3400–3425</w:t>
            </w:r>
            <w:r w:rsidRPr="00A05EC9">
              <w:t xml:space="preserve"> </w:t>
            </w:r>
            <w:r>
              <w:t>M</w:t>
            </w:r>
            <w:r w:rsidRPr="00A05EC9">
              <w:t xml:space="preserve">Hz </w:t>
            </w:r>
            <w:r>
              <w:t xml:space="preserve">and 3492.5–3542.5 MHz </w:t>
            </w:r>
            <w:r w:rsidRPr="00A05EC9">
              <w:t>frequency range</w:t>
            </w:r>
            <w:r>
              <w:t>s</w:t>
            </w:r>
          </w:p>
        </w:tc>
      </w:tr>
      <w:tr w:rsidR="00FF449E" w:rsidRPr="00A05EC9" w14:paraId="24684886"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0FD84A85" w14:textId="77777777" w:rsidR="00FF449E" w:rsidRPr="00A05EC9" w:rsidRDefault="00FF449E" w:rsidP="006C4214">
            <w:pPr>
              <w:spacing w:after="0" w:line="240" w:lineRule="auto"/>
            </w:pPr>
            <w:r>
              <w:t>3.6 GHz band</w:t>
            </w:r>
          </w:p>
        </w:tc>
        <w:tc>
          <w:tcPr>
            <w:tcW w:w="5256" w:type="dxa"/>
          </w:tcPr>
          <w:p w14:paraId="77AF8AAF" w14:textId="1E299B05"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rsidRPr="00A05EC9">
              <w:t xml:space="preserve">Refers to the </w:t>
            </w:r>
            <w:r>
              <w:t>3575–3700</w:t>
            </w:r>
            <w:r w:rsidRPr="00A05EC9">
              <w:t xml:space="preserve"> </w:t>
            </w:r>
            <w:r>
              <w:t>M</w:t>
            </w:r>
            <w:r w:rsidRPr="00A05EC9">
              <w:t>Hz frequency range</w:t>
            </w:r>
          </w:p>
        </w:tc>
      </w:tr>
      <w:tr w:rsidR="00FF449E" w:rsidRPr="00A05EC9" w14:paraId="39F4B7BD"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4FB2F45A" w14:textId="77777777" w:rsidR="00FF449E" w:rsidRPr="00A05EC9" w:rsidRDefault="00FF449E" w:rsidP="006C4214">
            <w:pPr>
              <w:spacing w:after="0" w:line="240" w:lineRule="auto"/>
              <w:rPr>
                <w:b w:val="0"/>
              </w:rPr>
            </w:pPr>
            <w:r w:rsidRPr="00A05EC9">
              <w:t>3GPP</w:t>
            </w:r>
          </w:p>
        </w:tc>
        <w:tc>
          <w:tcPr>
            <w:tcW w:w="5256" w:type="dxa"/>
          </w:tcPr>
          <w:p w14:paraId="1F54F8F7" w14:textId="77777777" w:rsidR="00FF449E" w:rsidRPr="00ED4E26" w:rsidRDefault="00FF449E" w:rsidP="006C4214">
            <w:pPr>
              <w:spacing w:after="80" w:line="240" w:lineRule="auto"/>
              <w:cnfStyle w:val="000000000000" w:firstRow="0" w:lastRow="0" w:firstColumn="0" w:lastColumn="0" w:oddVBand="0" w:evenVBand="0" w:oddHBand="0" w:evenHBand="0" w:firstRowFirstColumn="0" w:firstRowLastColumn="0" w:lastRowFirstColumn="0" w:lastRowLastColumn="0"/>
            </w:pPr>
            <w:r w:rsidRPr="00ED4E26">
              <w:t>3</w:t>
            </w:r>
            <w:r w:rsidRPr="00ED4E26">
              <w:rPr>
                <w:vertAlign w:val="superscript"/>
              </w:rPr>
              <w:t>rd</w:t>
            </w:r>
            <w:r w:rsidRPr="00ED4E26">
              <w:t xml:space="preserve"> Generation Partnership Project</w:t>
            </w:r>
          </w:p>
          <w:p w14:paraId="19DFCE29" w14:textId="77777777"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rsidRPr="00A05EC9">
              <w:t>An international body responsible for the standardisation of (cellular) mobile (including broadband) telecommunications, including the 2G, 3G, 4G and (soon) 5G technology standards.</w:t>
            </w:r>
          </w:p>
        </w:tc>
      </w:tr>
      <w:tr w:rsidR="00FF449E" w:rsidRPr="00A05EC9" w14:paraId="68BF04F3"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7C399404" w14:textId="77777777" w:rsidR="00FF449E" w:rsidRPr="00A05EC9" w:rsidRDefault="00FF449E" w:rsidP="006C4214">
            <w:pPr>
              <w:spacing w:after="0" w:line="240" w:lineRule="auto"/>
            </w:pPr>
            <w:r w:rsidRPr="00A05EC9">
              <w:rPr>
                <w:rFonts w:cs="Arial"/>
              </w:rPr>
              <w:t>Apparatus licence</w:t>
            </w:r>
          </w:p>
        </w:tc>
        <w:tc>
          <w:tcPr>
            <w:tcW w:w="5256" w:type="dxa"/>
          </w:tcPr>
          <w:p w14:paraId="47F04CCC" w14:textId="77777777"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rsidRPr="00A05EC9">
              <w:t xml:space="preserve">An apparatus licence authorises, under the </w:t>
            </w:r>
            <w:r w:rsidRPr="00A05EC9">
              <w:rPr>
                <w:i/>
              </w:rPr>
              <w:t>Radiocommunications Act 1992</w:t>
            </w:r>
            <w:r w:rsidRPr="00A05EC9">
              <w:t xml:space="preserve">, the use of a radiocommunications device under a particular service type, in a particular frequency range and at a particular geographic location for a period of up to five years. </w:t>
            </w:r>
          </w:p>
        </w:tc>
      </w:tr>
      <w:tr w:rsidR="00FF449E" w:rsidRPr="00A05EC9" w14:paraId="6562353B"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032DCC20" w14:textId="77777777" w:rsidR="00FF449E" w:rsidRPr="00A05EC9" w:rsidRDefault="00FF449E" w:rsidP="006C4214">
            <w:pPr>
              <w:spacing w:after="0" w:line="240" w:lineRule="auto"/>
            </w:pPr>
            <w:r w:rsidRPr="00A05EC9">
              <w:t>ASMG</w:t>
            </w:r>
          </w:p>
        </w:tc>
        <w:tc>
          <w:tcPr>
            <w:tcW w:w="5256" w:type="dxa"/>
          </w:tcPr>
          <w:p w14:paraId="0EFCA60B" w14:textId="77777777" w:rsidR="00FF449E" w:rsidRPr="00ED4E26" w:rsidRDefault="00FF449E" w:rsidP="006C4214">
            <w:pPr>
              <w:spacing w:after="80" w:line="240" w:lineRule="auto"/>
              <w:cnfStyle w:val="000000000000" w:firstRow="0" w:lastRow="0" w:firstColumn="0" w:lastColumn="0" w:oddVBand="0" w:evenVBand="0" w:oddHBand="0" w:evenHBand="0" w:firstRowFirstColumn="0" w:firstRowLastColumn="0" w:lastRowFirstColumn="0" w:lastRowLastColumn="0"/>
              <w:rPr>
                <w:rFonts w:cs="Arial"/>
              </w:rPr>
            </w:pPr>
            <w:r w:rsidRPr="00ED4E26">
              <w:rPr>
                <w:rFonts w:cs="Arial"/>
              </w:rPr>
              <w:t xml:space="preserve">Australian </w:t>
            </w:r>
            <w:r w:rsidRPr="005F1860">
              <w:t>Spectrum</w:t>
            </w:r>
            <w:r w:rsidRPr="00ED4E26">
              <w:rPr>
                <w:rFonts w:cs="Arial"/>
              </w:rPr>
              <w:t xml:space="preserve"> Map Grid</w:t>
            </w:r>
          </w:p>
          <w:p w14:paraId="0D7AB33E" w14:textId="77777777"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rPr>
                <w:rFonts w:cs="Arial"/>
              </w:rPr>
            </w:pPr>
            <w:r w:rsidRPr="00A05EC9">
              <w:rPr>
                <w:rFonts w:cs="Arial"/>
              </w:rPr>
              <w:t>Used to define geographical areas over which spectrum licences are issued. The HCIS is used to define the cells that make up the ASMG. The ASMG is described in detail in the document</w:t>
            </w:r>
            <w:r>
              <w:rPr>
                <w:rFonts w:cs="Arial"/>
              </w:rPr>
              <w:t>:</w:t>
            </w:r>
            <w:r w:rsidRPr="00A05EC9">
              <w:rPr>
                <w:rFonts w:cs="Arial"/>
              </w:rPr>
              <w:t xml:space="preserve"> </w:t>
            </w:r>
            <w:hyperlink r:id="rId82" w:history="1">
              <w:r w:rsidRPr="00CF2904">
                <w:rPr>
                  <w:rStyle w:val="Hyperlink"/>
                  <w:rFonts w:cs="Arial"/>
                </w:rPr>
                <w:t>The Australian spectrum map grid 2012</w:t>
              </w:r>
            </w:hyperlink>
            <w:r w:rsidRPr="00777FBD">
              <w:rPr>
                <w:rFonts w:cs="Arial"/>
              </w:rPr>
              <w:t>.</w:t>
            </w:r>
          </w:p>
          <w:p w14:paraId="373B0154" w14:textId="77777777" w:rsidR="00FF449E"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rPr>
                <w:rFonts w:cs="Arial"/>
                <w:i/>
              </w:rPr>
            </w:pPr>
          </w:p>
          <w:p w14:paraId="6DAEC902" w14:textId="77777777"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rsidRPr="005E6D37">
              <w:rPr>
                <w:rFonts w:cs="Arial"/>
                <w:i/>
              </w:rPr>
              <w:t>See also</w:t>
            </w:r>
            <w:r w:rsidRPr="00895DFC">
              <w:rPr>
                <w:rFonts w:cs="Arial"/>
              </w:rPr>
              <w:t xml:space="preserve"> HCIS.</w:t>
            </w:r>
          </w:p>
        </w:tc>
      </w:tr>
      <w:tr w:rsidR="00FF449E" w:rsidRPr="00A05EC9" w14:paraId="6118C796"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03A0FAAB" w14:textId="77777777" w:rsidR="00FF449E" w:rsidRPr="00A05EC9" w:rsidRDefault="00FF449E" w:rsidP="006C4214">
            <w:pPr>
              <w:spacing w:after="0" w:line="240" w:lineRule="auto"/>
            </w:pPr>
            <w:r w:rsidRPr="00A05EC9">
              <w:t>Class licence</w:t>
            </w:r>
          </w:p>
        </w:tc>
        <w:tc>
          <w:tcPr>
            <w:tcW w:w="5256" w:type="dxa"/>
          </w:tcPr>
          <w:p w14:paraId="51BD2A9E" w14:textId="77777777"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rsidRPr="00A05EC9">
              <w:t xml:space="preserve">A standing authorisation for the operation of an unlimited number of </w:t>
            </w:r>
            <w:r>
              <w:t xml:space="preserve">radiocommunications </w:t>
            </w:r>
            <w:r w:rsidRPr="00A05EC9">
              <w:t>devices operating within a set of conditions specified within</w:t>
            </w:r>
            <w:r>
              <w:t xml:space="preserve"> the authorisation</w:t>
            </w:r>
            <w:r w:rsidRPr="00A05EC9">
              <w:t>.</w:t>
            </w:r>
          </w:p>
        </w:tc>
      </w:tr>
      <w:tr w:rsidR="00FF449E" w:rsidRPr="00A05EC9" w14:paraId="0998ED56"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0EADBDAE" w14:textId="77777777" w:rsidR="00FF449E" w:rsidRPr="00A05EC9" w:rsidRDefault="00FF449E" w:rsidP="006C4214">
            <w:pPr>
              <w:spacing w:after="0" w:line="240" w:lineRule="auto"/>
            </w:pPr>
            <w:r>
              <w:t>Conversion</w:t>
            </w:r>
          </w:p>
        </w:tc>
        <w:tc>
          <w:tcPr>
            <w:tcW w:w="5256" w:type="dxa"/>
          </w:tcPr>
          <w:p w14:paraId="3A527D2D" w14:textId="7990E421"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t xml:space="preserve">The process by which one or more apparatus licences within frequencies and areas covered by a Ministerial direction notice made under section 36 of the Act are converted to spectrum licences. </w:t>
            </w:r>
          </w:p>
        </w:tc>
      </w:tr>
      <w:tr w:rsidR="00FF449E" w:rsidRPr="00A05EC9" w14:paraId="5FA8BBCE"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4AD5A261" w14:textId="77777777" w:rsidR="00FF449E" w:rsidRPr="00A05EC9" w:rsidRDefault="00FF449E" w:rsidP="006C4214">
            <w:pPr>
              <w:spacing w:after="0" w:line="240" w:lineRule="auto"/>
            </w:pPr>
            <w:r w:rsidRPr="00A05EC9">
              <w:t>Coordination</w:t>
            </w:r>
          </w:p>
        </w:tc>
        <w:tc>
          <w:tcPr>
            <w:tcW w:w="5256" w:type="dxa"/>
          </w:tcPr>
          <w:p w14:paraId="00C34E8A" w14:textId="77777777"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rsidRPr="00A05EC9">
              <w:t xml:space="preserve">The process of assessing the interference potential existing licensed services and a proposed new service will have on each other. Coordination is deemed to fail if the level of interference exceeds the specified protection criteria for the services involved. </w:t>
            </w:r>
          </w:p>
        </w:tc>
      </w:tr>
      <w:tr w:rsidR="00FF449E" w:rsidRPr="00A05EC9" w14:paraId="63E80937"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6739A61A" w14:textId="77777777" w:rsidR="00FF449E" w:rsidRPr="00A05EC9" w:rsidRDefault="00FF449E" w:rsidP="006C4214">
            <w:pPr>
              <w:spacing w:after="0" w:line="240" w:lineRule="auto"/>
              <w:rPr>
                <w:b w:val="0"/>
              </w:rPr>
            </w:pPr>
            <w:r w:rsidRPr="00A05EC9">
              <w:t>Embargo</w:t>
            </w:r>
          </w:p>
        </w:tc>
        <w:tc>
          <w:tcPr>
            <w:tcW w:w="5256" w:type="dxa"/>
          </w:tcPr>
          <w:p w14:paraId="29A617B3" w14:textId="77777777"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rsidRPr="00A05EC9">
              <w:t>A spectrum embargo is a policy notice of intent by the ACMA to restrict the allocation of new licences in a particular frequency range to support replanning of that frequency range. Spectrum may still be able to be accessed on an exceptions basis through an application for an exemption to the embargo.</w:t>
            </w:r>
          </w:p>
        </w:tc>
      </w:tr>
      <w:tr w:rsidR="00FF449E" w:rsidRPr="00A05EC9" w14:paraId="3DFC3195"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57B65EFE" w14:textId="77777777" w:rsidR="00FF449E" w:rsidRPr="00A05EC9" w:rsidRDefault="00FF449E" w:rsidP="006C4214">
            <w:pPr>
              <w:spacing w:after="0" w:line="240" w:lineRule="auto"/>
            </w:pPr>
            <w:r>
              <w:t>FDD</w:t>
            </w:r>
          </w:p>
        </w:tc>
        <w:tc>
          <w:tcPr>
            <w:tcW w:w="5256" w:type="dxa"/>
          </w:tcPr>
          <w:p w14:paraId="0A671237" w14:textId="77777777" w:rsidR="00FF449E" w:rsidRDefault="00FF449E" w:rsidP="006C4214">
            <w:pPr>
              <w:spacing w:after="120" w:line="240" w:lineRule="auto"/>
              <w:cnfStyle w:val="000000100000" w:firstRow="0" w:lastRow="0" w:firstColumn="0" w:lastColumn="0" w:oddVBand="0" w:evenVBand="0" w:oddHBand="1" w:evenHBand="0" w:firstRowFirstColumn="0" w:firstRowLastColumn="0" w:lastRowFirstColumn="0" w:lastRowLastColumn="0"/>
              <w:rPr>
                <w:b/>
              </w:rPr>
            </w:pPr>
            <w:r>
              <w:t xml:space="preserve">Frequency </w:t>
            </w:r>
            <w:r>
              <w:rPr>
                <w:rFonts w:cs="Arial"/>
              </w:rPr>
              <w:t>Division</w:t>
            </w:r>
            <w:r>
              <w:t xml:space="preserve"> Duplex</w:t>
            </w:r>
          </w:p>
          <w:p w14:paraId="2F327696" w14:textId="468CC6B7"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t>A technique where downlink and uplink communications can operate at the same time but are separated by the allocation of different frequency blocks. The frequency separation between these blocks is known as the FDD ‘split’ (e.g. the FDD split between mobile services operating in the 803–960 MHz band is 45 MHz).</w:t>
            </w:r>
          </w:p>
        </w:tc>
      </w:tr>
      <w:tr w:rsidR="00FF449E" w:rsidRPr="00A05EC9" w14:paraId="6A807D3B"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0F06F9D9" w14:textId="77777777" w:rsidR="00FF449E" w:rsidRPr="00A05EC9" w:rsidRDefault="00FF449E" w:rsidP="006C4214">
            <w:pPr>
              <w:spacing w:after="0" w:line="240" w:lineRule="auto"/>
            </w:pPr>
            <w:r>
              <w:lastRenderedPageBreak/>
              <w:t>Guard band</w:t>
            </w:r>
          </w:p>
        </w:tc>
        <w:tc>
          <w:tcPr>
            <w:tcW w:w="5256" w:type="dxa"/>
          </w:tcPr>
          <w:p w14:paraId="19ABAFB5" w14:textId="77777777"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t>A frequency band that is either deliberately vacant or has specific operating conditions to minimise intra-band interference between the two bands on either side (analogous to a ‘buffer’).</w:t>
            </w:r>
          </w:p>
        </w:tc>
      </w:tr>
      <w:tr w:rsidR="00FF449E" w:rsidRPr="00A05EC9" w14:paraId="0B0D09C7"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5E512F67" w14:textId="77777777" w:rsidR="00FF449E" w:rsidRPr="00A05EC9" w:rsidRDefault="00FF449E" w:rsidP="006C4214">
            <w:pPr>
              <w:spacing w:after="0" w:line="240" w:lineRule="auto"/>
            </w:pPr>
            <w:r>
              <w:t>HCIS</w:t>
            </w:r>
          </w:p>
        </w:tc>
        <w:tc>
          <w:tcPr>
            <w:tcW w:w="5256" w:type="dxa"/>
          </w:tcPr>
          <w:p w14:paraId="6B945CA1" w14:textId="77777777" w:rsidR="00FF449E" w:rsidRPr="003C5923" w:rsidRDefault="00FF449E" w:rsidP="006C4214">
            <w:pPr>
              <w:spacing w:after="120" w:line="240" w:lineRule="auto"/>
              <w:cnfStyle w:val="000000100000" w:firstRow="0" w:lastRow="0" w:firstColumn="0" w:lastColumn="0" w:oddVBand="0" w:evenVBand="0" w:oddHBand="1" w:evenHBand="0" w:firstRowFirstColumn="0" w:firstRowLastColumn="0" w:lastRowFirstColumn="0" w:lastRowLastColumn="0"/>
            </w:pPr>
            <w:r w:rsidRPr="003C5923">
              <w:t>Hierarchical Cell Identification Scheme</w:t>
            </w:r>
          </w:p>
          <w:p w14:paraId="35B28101" w14:textId="77777777" w:rsidR="00FF449E" w:rsidRDefault="00FF449E" w:rsidP="006C4214">
            <w:pPr>
              <w:spacing w:after="120" w:line="240" w:lineRule="auto"/>
              <w:cnfStyle w:val="000000100000" w:firstRow="0" w:lastRow="0" w:firstColumn="0" w:lastColumn="0" w:oddVBand="0" w:evenVBand="0" w:oddHBand="1" w:evenHBand="0" w:firstRowFirstColumn="0" w:firstRowLastColumn="0" w:lastRowFirstColumn="0" w:lastRowLastColumn="0"/>
              <w:rPr>
                <w:rFonts w:cs="Arial"/>
                <w:color w:val="000000"/>
              </w:rPr>
            </w:pPr>
            <w:r>
              <w:rPr>
                <w:rFonts w:cs="Arial"/>
                <w:color w:val="000000"/>
              </w:rPr>
              <w:t xml:space="preserve">A naming convention developed by the ACMA that applies unique ‘names’ to each of the cells of the ASMG. Each </w:t>
            </w:r>
            <w:r>
              <w:t>five</w:t>
            </w:r>
            <w:r>
              <w:rPr>
                <w:rFonts w:cs="Arial"/>
                <w:color w:val="000000"/>
              </w:rPr>
              <w:t xml:space="preserve">-minute of arc square cell in the ASMG is assigned a unique identifier, derived from the cell’s position in a hierarchically arranged grouping of cells. The </w:t>
            </w:r>
            <w:r>
              <w:t>hierarchy</w:t>
            </w:r>
            <w:r>
              <w:rPr>
                <w:rFonts w:cs="Arial"/>
                <w:color w:val="000000"/>
              </w:rPr>
              <w:t xml:space="preserve"> has four levels. A detailed description of the HCIS is available on the </w:t>
            </w:r>
            <w:hyperlink r:id="rId83" w:history="1">
              <w:r w:rsidRPr="00864CBE">
                <w:rPr>
                  <w:rStyle w:val="Hyperlink"/>
                  <w:rFonts w:cs="Arial"/>
                </w:rPr>
                <w:t>ACMA website</w:t>
              </w:r>
            </w:hyperlink>
            <w:r>
              <w:rPr>
                <w:rFonts w:cs="Arial"/>
                <w:color w:val="000000"/>
              </w:rPr>
              <w:t>.</w:t>
            </w:r>
          </w:p>
          <w:p w14:paraId="1C0BC83A" w14:textId="77777777"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rPr>
                <w:rFonts w:cs="Arial"/>
                <w:i/>
              </w:rPr>
              <w:t xml:space="preserve">See also </w:t>
            </w:r>
            <w:r>
              <w:rPr>
                <w:rFonts w:cs="Arial"/>
              </w:rPr>
              <w:t>ASMG</w:t>
            </w:r>
            <w:r>
              <w:rPr>
                <w:rFonts w:cs="Arial"/>
                <w:i/>
              </w:rPr>
              <w:t>.</w:t>
            </w:r>
          </w:p>
        </w:tc>
      </w:tr>
      <w:tr w:rsidR="00FF449E" w:rsidRPr="00A05EC9" w14:paraId="2C9842D5"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0E3CCD52" w14:textId="77777777" w:rsidR="00FF449E" w:rsidRPr="00A05EC9" w:rsidRDefault="00FF449E" w:rsidP="006C4214">
            <w:pPr>
              <w:spacing w:after="0" w:line="240" w:lineRule="auto"/>
            </w:pPr>
            <w:r w:rsidRPr="00A05EC9">
              <w:t>FSS</w:t>
            </w:r>
          </w:p>
        </w:tc>
        <w:tc>
          <w:tcPr>
            <w:tcW w:w="5256" w:type="dxa"/>
          </w:tcPr>
          <w:p w14:paraId="4D9D74D7" w14:textId="77777777"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rsidRPr="00A05EC9">
              <w:t>Fixed satellite service</w:t>
            </w:r>
          </w:p>
        </w:tc>
      </w:tr>
      <w:tr w:rsidR="00FF449E" w:rsidRPr="00A05EC9" w14:paraId="25073C34"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6848C057" w14:textId="77777777" w:rsidR="00FF449E" w:rsidRPr="00A05EC9" w:rsidRDefault="00FF449E" w:rsidP="006C4214">
            <w:pPr>
              <w:spacing w:after="0" w:line="240" w:lineRule="auto"/>
            </w:pPr>
            <w:r>
              <w:t>FWA</w:t>
            </w:r>
          </w:p>
        </w:tc>
        <w:tc>
          <w:tcPr>
            <w:tcW w:w="5256" w:type="dxa"/>
          </w:tcPr>
          <w:p w14:paraId="4A07B713" w14:textId="77777777"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t>Fixed wireless access</w:t>
            </w:r>
          </w:p>
        </w:tc>
      </w:tr>
      <w:tr w:rsidR="00FF449E" w:rsidRPr="00A05EC9" w14:paraId="249A7708"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219D6ABD" w14:textId="77777777" w:rsidR="00FF449E" w:rsidRPr="00A05EC9" w:rsidRDefault="00FF449E" w:rsidP="006C4214">
            <w:pPr>
              <w:spacing w:after="0" w:line="240" w:lineRule="auto"/>
            </w:pPr>
            <w:r w:rsidRPr="00A05EC9">
              <w:t>HVU</w:t>
            </w:r>
          </w:p>
        </w:tc>
        <w:tc>
          <w:tcPr>
            <w:tcW w:w="5256" w:type="dxa"/>
          </w:tcPr>
          <w:p w14:paraId="2F1491F4" w14:textId="77777777" w:rsidR="00FF449E" w:rsidRPr="00ED4E26" w:rsidRDefault="00FF449E" w:rsidP="006C4214">
            <w:pPr>
              <w:spacing w:after="80" w:line="240" w:lineRule="auto"/>
              <w:cnfStyle w:val="000000000000" w:firstRow="0" w:lastRow="0" w:firstColumn="0" w:lastColumn="0" w:oddVBand="0" w:evenVBand="0" w:oddHBand="0" w:evenHBand="0" w:firstRowFirstColumn="0" w:firstRowLastColumn="0" w:lastRowFirstColumn="0" w:lastRowLastColumn="0"/>
            </w:pPr>
            <w:r w:rsidRPr="00ED4E26">
              <w:t>Highest value use</w:t>
            </w:r>
          </w:p>
          <w:p w14:paraId="43300772" w14:textId="77777777" w:rsidR="00FF449E" w:rsidRPr="00A05EC9" w:rsidRDefault="00FF449E" w:rsidP="006C4214">
            <w:pPr>
              <w:autoSpaceDE w:val="0"/>
              <w:autoSpaceDN w:val="0"/>
              <w:spacing w:after="0" w:line="240" w:lineRule="auto"/>
              <w:cnfStyle w:val="000000000000" w:firstRow="0" w:lastRow="0" w:firstColumn="0" w:lastColumn="0" w:oddVBand="0" w:evenVBand="0" w:oddHBand="0" w:evenHBand="0" w:firstRowFirstColumn="0" w:firstRowLastColumn="0" w:lastRowFirstColumn="0" w:lastRowLastColumn="0"/>
              <w:rPr>
                <w:rFonts w:ascii="Calibri" w:hAnsi="Calibri"/>
              </w:rPr>
            </w:pPr>
            <w:r w:rsidRPr="00A05EC9">
              <w:t>When applied to spectrum, is the use for which spectrum can provide the greatest incremental value to economic welfare. The value provided to the economy by spectrum is typically due to reduced costs for spectrum users to provide services, or the ability to provide new services that would not be possible without the use of particular spectrum.</w:t>
            </w:r>
          </w:p>
        </w:tc>
      </w:tr>
      <w:tr w:rsidR="00FF449E" w:rsidRPr="00A05EC9" w14:paraId="7E75EE26"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54D546D8" w14:textId="002FFB54" w:rsidR="00FF449E" w:rsidRPr="00A05EC9" w:rsidRDefault="00FF449E" w:rsidP="006C4214">
            <w:pPr>
              <w:spacing w:after="0" w:line="240" w:lineRule="auto"/>
            </w:pPr>
            <w:r w:rsidRPr="00A05EC9">
              <w:t xml:space="preserve">Principles for </w:t>
            </w:r>
            <w:r>
              <w:t>s</w:t>
            </w:r>
            <w:r w:rsidRPr="00A05EC9">
              <w:t xml:space="preserve">pectrum </w:t>
            </w:r>
            <w:r>
              <w:t>m</w:t>
            </w:r>
            <w:r w:rsidRPr="00A05EC9">
              <w:t>anagement</w:t>
            </w:r>
          </w:p>
        </w:tc>
        <w:tc>
          <w:tcPr>
            <w:tcW w:w="5256" w:type="dxa"/>
          </w:tcPr>
          <w:p w14:paraId="150BBD9D" w14:textId="77777777"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t>A set of principles d</w:t>
            </w:r>
            <w:r w:rsidRPr="00A05EC9">
              <w:t xml:space="preserve">eveloped by the ACMA to guide its approach to spectrum management. The key theme of the principles is that maximising the overall public benefit from use of the radiofrequency spectrum requires balanced application of both regulatory and market mechanisms. Details of the principles are available on the </w:t>
            </w:r>
            <w:hyperlink r:id="rId84" w:history="1">
              <w:r w:rsidRPr="00A05EC9">
                <w:rPr>
                  <w:rStyle w:val="Hyperlink"/>
                </w:rPr>
                <w:t>ACMA website</w:t>
              </w:r>
            </w:hyperlink>
            <w:r w:rsidRPr="001E5818">
              <w:t>.</w:t>
            </w:r>
          </w:p>
        </w:tc>
      </w:tr>
      <w:tr w:rsidR="00FF449E" w:rsidRPr="00A05EC9" w14:paraId="658681F3"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0D3E17E7" w14:textId="77777777" w:rsidR="00FF449E" w:rsidRPr="00A05EC9" w:rsidRDefault="00FF449E" w:rsidP="006C4214">
            <w:pPr>
              <w:spacing w:after="0" w:line="240" w:lineRule="auto"/>
            </w:pPr>
            <w:r w:rsidRPr="00A05EC9">
              <w:t>P</w:t>
            </w:r>
            <w:r>
              <w:t>MP</w:t>
            </w:r>
          </w:p>
        </w:tc>
        <w:tc>
          <w:tcPr>
            <w:tcW w:w="5256" w:type="dxa"/>
          </w:tcPr>
          <w:p w14:paraId="2227A235" w14:textId="77777777"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t>Point-to-multipoint</w:t>
            </w:r>
          </w:p>
        </w:tc>
      </w:tr>
      <w:tr w:rsidR="00FF449E" w:rsidRPr="00A05EC9" w14:paraId="2AC245F9"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7434380B" w14:textId="77777777" w:rsidR="00FF449E" w:rsidRPr="00A05EC9" w:rsidRDefault="00FF449E" w:rsidP="006C4214">
            <w:pPr>
              <w:spacing w:after="0" w:line="240" w:lineRule="auto"/>
            </w:pPr>
            <w:r>
              <w:t>PTS</w:t>
            </w:r>
          </w:p>
        </w:tc>
        <w:tc>
          <w:tcPr>
            <w:tcW w:w="5256" w:type="dxa"/>
          </w:tcPr>
          <w:p w14:paraId="1256E600" w14:textId="77777777"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t>Public telecommunications service</w:t>
            </w:r>
          </w:p>
        </w:tc>
      </w:tr>
      <w:tr w:rsidR="00FF449E" w:rsidRPr="00A05EC9" w14:paraId="64909F39"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7A032F3B" w14:textId="77777777" w:rsidR="00FF449E" w:rsidRPr="00A05EC9" w:rsidRDefault="00FF449E" w:rsidP="006C4214">
            <w:pPr>
              <w:spacing w:after="0" w:line="240" w:lineRule="auto"/>
            </w:pPr>
            <w:r>
              <w:t xml:space="preserve">Re-allocation of spectrum </w:t>
            </w:r>
          </w:p>
        </w:tc>
        <w:tc>
          <w:tcPr>
            <w:tcW w:w="5256" w:type="dxa"/>
          </w:tcPr>
          <w:p w14:paraId="6737D91A" w14:textId="77777777"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t xml:space="preserve">Under </w:t>
            </w:r>
            <w:r>
              <w:rPr>
                <w:rFonts w:cs="Arial"/>
              </w:rPr>
              <w:t xml:space="preserve">section 153B of the </w:t>
            </w:r>
            <w:r>
              <w:rPr>
                <w:rFonts w:cs="Arial"/>
                <w:i/>
              </w:rPr>
              <w:t>Radiocommunications Act 1992</w:t>
            </w:r>
            <w:r>
              <w:rPr>
                <w:rFonts w:cs="Arial"/>
              </w:rPr>
              <w:t>, the minster can re-allocate specific frequencies and areas for the issue of spectrum (or apparatus) licences. A result of this process is the cancellation of incumbent apparatus licences in the identified areas at the end of a defined timeframe known as the re</w:t>
            </w:r>
            <w:r>
              <w:rPr>
                <w:rFonts w:cs="Arial"/>
              </w:rPr>
              <w:noBreakHyphen/>
              <w:t>allocation period.</w:t>
            </w:r>
          </w:p>
        </w:tc>
      </w:tr>
      <w:tr w:rsidR="00FF449E" w:rsidRPr="00A05EC9" w14:paraId="4689E6A1"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1B393350" w14:textId="77777777" w:rsidR="00FF449E" w:rsidRPr="00A05EC9" w:rsidRDefault="00FF449E" w:rsidP="006C4214">
            <w:pPr>
              <w:spacing w:after="0" w:line="240" w:lineRule="auto"/>
            </w:pPr>
            <w:r>
              <w:t>Re-allocation period</w:t>
            </w:r>
          </w:p>
        </w:tc>
        <w:tc>
          <w:tcPr>
            <w:tcW w:w="5256" w:type="dxa"/>
          </w:tcPr>
          <w:p w14:paraId="7C724339" w14:textId="77777777"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t xml:space="preserve">The period of time before </w:t>
            </w:r>
            <w:r>
              <w:rPr>
                <w:rFonts w:cs="Arial"/>
              </w:rPr>
              <w:t xml:space="preserve">incumbent apparatus licenses that fall wholly or partially within the frequencies and areas to be re-allocated under section 153B of the </w:t>
            </w:r>
            <w:r>
              <w:rPr>
                <w:rFonts w:cs="Arial"/>
                <w:i/>
              </w:rPr>
              <w:t>Radiocommunications Act 1992</w:t>
            </w:r>
            <w:r>
              <w:rPr>
                <w:rFonts w:cs="Arial"/>
              </w:rPr>
              <w:t xml:space="preserve"> will be cancelled. The re</w:t>
            </w:r>
            <w:r>
              <w:rPr>
                <w:rFonts w:cs="Arial"/>
              </w:rPr>
              <w:noBreakHyphen/>
              <w:t>allocation period is required to be a minimum of two years.</w:t>
            </w:r>
          </w:p>
        </w:tc>
      </w:tr>
      <w:tr w:rsidR="00FF449E" w:rsidRPr="00A05EC9" w14:paraId="3ABC3DB5"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33619152" w14:textId="77777777" w:rsidR="00FF449E" w:rsidRPr="00A05EC9" w:rsidRDefault="00FF449E" w:rsidP="006C4214">
            <w:pPr>
              <w:spacing w:after="0" w:line="240" w:lineRule="auto"/>
            </w:pPr>
            <w:r w:rsidRPr="00A05EC9">
              <w:t>Spectrum licence</w:t>
            </w:r>
          </w:p>
        </w:tc>
        <w:tc>
          <w:tcPr>
            <w:tcW w:w="5256" w:type="dxa"/>
          </w:tcPr>
          <w:p w14:paraId="4110C0AB" w14:textId="77777777"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rsidRPr="00A05EC9">
              <w:t xml:space="preserve">Issued under the </w:t>
            </w:r>
            <w:r w:rsidRPr="00A05EC9">
              <w:rPr>
                <w:i/>
              </w:rPr>
              <w:t>Radiocommunications Act 1992</w:t>
            </w:r>
            <w:r w:rsidRPr="00A05EC9">
              <w:t xml:space="preserve"> and authorises the use of a particular frequency band within a particular geographic area for a period of up to 15 years. The geographic area can vary in size, up to and including the entire country.</w:t>
            </w:r>
          </w:p>
        </w:tc>
      </w:tr>
      <w:tr w:rsidR="00FF449E" w:rsidRPr="00A05EC9" w14:paraId="647BAAFC" w14:textId="77777777" w:rsidTr="006C42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2405" w:type="dxa"/>
          </w:tcPr>
          <w:p w14:paraId="62981D92" w14:textId="77777777" w:rsidR="00FF449E" w:rsidRPr="00A05EC9" w:rsidRDefault="00FF449E" w:rsidP="006C4214">
            <w:pPr>
              <w:spacing w:after="0" w:line="240" w:lineRule="auto"/>
            </w:pPr>
            <w:r>
              <w:lastRenderedPageBreak/>
              <w:t>TDD</w:t>
            </w:r>
          </w:p>
        </w:tc>
        <w:tc>
          <w:tcPr>
            <w:tcW w:w="5256" w:type="dxa"/>
          </w:tcPr>
          <w:p w14:paraId="00B35B8F" w14:textId="77777777" w:rsidR="00FF449E" w:rsidRDefault="00FF449E" w:rsidP="006C4214">
            <w:pPr>
              <w:spacing w:after="120" w:line="240" w:lineRule="auto"/>
              <w:cnfStyle w:val="000000100000" w:firstRow="0" w:lastRow="0" w:firstColumn="0" w:lastColumn="0" w:oddVBand="0" w:evenVBand="0" w:oddHBand="1" w:evenHBand="0" w:firstRowFirstColumn="0" w:firstRowLastColumn="0" w:lastRowFirstColumn="0" w:lastRowLastColumn="0"/>
            </w:pPr>
            <w:r>
              <w:t>Time Division Duplex</w:t>
            </w:r>
          </w:p>
          <w:p w14:paraId="7BCC378A" w14:textId="77777777" w:rsidR="00FF449E" w:rsidRPr="00A05EC9" w:rsidRDefault="00FF449E" w:rsidP="006C4214">
            <w:pPr>
              <w:spacing w:after="0" w:line="240" w:lineRule="auto"/>
              <w:cnfStyle w:val="000000100000" w:firstRow="0" w:lastRow="0" w:firstColumn="0" w:lastColumn="0" w:oddVBand="0" w:evenVBand="0" w:oddHBand="1" w:evenHBand="0" w:firstRowFirstColumn="0" w:firstRowLastColumn="0" w:lastRowFirstColumn="0" w:lastRowLastColumn="0"/>
            </w:pPr>
            <w:r>
              <w:t>A technique where downlink and uplink communications use the same frequency but are separated by the allocation of different slots. This means uplink and downlink communications cannot occur at the same time.</w:t>
            </w:r>
          </w:p>
        </w:tc>
      </w:tr>
      <w:tr w:rsidR="00FF449E" w:rsidRPr="00A05EC9" w14:paraId="0FF5BBF2" w14:textId="77777777" w:rsidTr="006C4214">
        <w:trPr>
          <w:cantSplit/>
        </w:trPr>
        <w:tc>
          <w:tcPr>
            <w:cnfStyle w:val="001000000000" w:firstRow="0" w:lastRow="0" w:firstColumn="1" w:lastColumn="0" w:oddVBand="0" w:evenVBand="0" w:oddHBand="0" w:evenHBand="0" w:firstRowFirstColumn="0" w:firstRowLastColumn="0" w:lastRowFirstColumn="0" w:lastRowLastColumn="0"/>
            <w:tcW w:w="2405" w:type="dxa"/>
          </w:tcPr>
          <w:p w14:paraId="775B62AE" w14:textId="77777777" w:rsidR="00FF449E" w:rsidRPr="00A05EC9" w:rsidRDefault="00FF449E" w:rsidP="006C4214">
            <w:pPr>
              <w:spacing w:after="0" w:line="240" w:lineRule="auto"/>
            </w:pPr>
            <w:r w:rsidRPr="00A05EC9">
              <w:t>WISP</w:t>
            </w:r>
          </w:p>
        </w:tc>
        <w:tc>
          <w:tcPr>
            <w:tcW w:w="5256" w:type="dxa"/>
          </w:tcPr>
          <w:p w14:paraId="07E5A4F3" w14:textId="77777777" w:rsidR="00FF449E" w:rsidRPr="00A05EC9" w:rsidRDefault="00FF449E" w:rsidP="006C4214">
            <w:pPr>
              <w:spacing w:after="0" w:line="240" w:lineRule="auto"/>
              <w:cnfStyle w:val="000000000000" w:firstRow="0" w:lastRow="0" w:firstColumn="0" w:lastColumn="0" w:oddVBand="0" w:evenVBand="0" w:oddHBand="0" w:evenHBand="0" w:firstRowFirstColumn="0" w:firstRowLastColumn="0" w:lastRowFirstColumn="0" w:lastRowLastColumn="0"/>
            </w:pPr>
            <w:r w:rsidRPr="00A05EC9">
              <w:t>Wireless Internet Service Provider</w:t>
            </w:r>
          </w:p>
        </w:tc>
      </w:tr>
    </w:tbl>
    <w:p w14:paraId="6137F932" w14:textId="77777777" w:rsidR="00FF449E" w:rsidRPr="0041233F" w:rsidRDefault="00FF449E" w:rsidP="00FF449E"/>
    <w:p w14:paraId="3B5FDB8A" w14:textId="6494E118" w:rsidR="00FF449E" w:rsidRDefault="00FF449E" w:rsidP="00FF449E">
      <w:pPr>
        <w:pStyle w:val="Heading1"/>
      </w:pPr>
      <w:bookmarkStart w:id="136" w:name="_Toc348105641"/>
      <w:bookmarkStart w:id="137" w:name="_Toc6923133"/>
      <w:r w:rsidRPr="006D46E5">
        <w:lastRenderedPageBreak/>
        <w:t>Appendix A</w:t>
      </w:r>
      <w:bookmarkEnd w:id="136"/>
      <w:r>
        <w:t>—</w:t>
      </w:r>
      <w:r w:rsidR="004A2F7F">
        <w:t>C</w:t>
      </w:r>
      <w:r>
        <w:t>urrent arrangements and use in the 3400–3575 MHz band</w:t>
      </w:r>
      <w:bookmarkEnd w:id="137"/>
    </w:p>
    <w:p w14:paraId="677617F2" w14:textId="0AF452DC" w:rsidR="00FF449E" w:rsidRPr="00887F46" w:rsidRDefault="00FF449E" w:rsidP="003C5923">
      <w:bookmarkStart w:id="138" w:name="_Hlk536699738"/>
      <w:r w:rsidRPr="008B1562">
        <w:t>The 3400</w:t>
      </w:r>
      <w:r>
        <w:t>–</w:t>
      </w:r>
      <w:r w:rsidRPr="008B1562">
        <w:t>3575 MHz band is subject to a mix of spectrum and apparatus licensing arrangements. These arrangements authorise a variety of services, including wireless broadband</w:t>
      </w:r>
      <w:r w:rsidR="009731AB">
        <w:t xml:space="preserve"> </w:t>
      </w:r>
      <w:r w:rsidR="009731AB">
        <w:rPr>
          <w:color w:val="000000" w:themeColor="text1"/>
          <w:szCs w:val="20"/>
        </w:rPr>
        <w:t>(fixed and mobile)</w:t>
      </w:r>
      <w:r w:rsidRPr="008B1562">
        <w:t xml:space="preserve">, fixed satellite, radiolocation and amateur services. Wireless broadband and radiolocation use of the band is on a primary </w:t>
      </w:r>
      <w:r w:rsidRPr="00887F46">
        <w:t>basis, while fixed satellite and amateur service use is on a secondary basis.</w:t>
      </w:r>
    </w:p>
    <w:p w14:paraId="38817E73" w14:textId="6AB5B8C0" w:rsidR="00FF449E" w:rsidRDefault="00FF449E" w:rsidP="003C5923">
      <w:r w:rsidRPr="00887F46">
        <w:t xml:space="preserve">Current arrangements in the band are illustrated in </w:t>
      </w:r>
      <w:r>
        <w:t>f</w:t>
      </w:r>
      <w:r w:rsidRPr="00887F46">
        <w:t xml:space="preserve">igure 12. Table 4 and </w:t>
      </w:r>
      <w:r>
        <w:t>f</w:t>
      </w:r>
      <w:r w:rsidRPr="00887F46">
        <w:t>igures 13, 14 and 15 provide information on the number and</w:t>
      </w:r>
      <w:r w:rsidRPr="00A26A6D">
        <w:t xml:space="preserve"> location of apparatus</w:t>
      </w:r>
      <w:r>
        <w:t xml:space="preserve"> and spectrum </w:t>
      </w:r>
      <w:r w:rsidRPr="00A26A6D">
        <w:t xml:space="preserve">licensed services in the </w:t>
      </w:r>
      <w:r>
        <w:t>3400-3575 MHz</w:t>
      </w:r>
      <w:r w:rsidRPr="00A26A6D">
        <w:t xml:space="preserve"> band.</w:t>
      </w:r>
    </w:p>
    <w:p w14:paraId="5ADCCBF4" w14:textId="635B6B41" w:rsidR="00FF449E" w:rsidRDefault="00FF449E" w:rsidP="003C5923">
      <w:pPr>
        <w:pStyle w:val="ACMAFigureHeader"/>
      </w:pPr>
      <w:bookmarkStart w:id="139" w:name="_Hlk5806719"/>
      <w:r>
        <w:t xml:space="preserve">Current arrangements </w:t>
      </w:r>
      <w:r w:rsidRPr="00984DF2">
        <w:t>in</w:t>
      </w:r>
      <w:r>
        <w:t xml:space="preserve"> the 3400–3575 MHz band.</w:t>
      </w:r>
      <w:bookmarkEnd w:id="139"/>
    </w:p>
    <w:p w14:paraId="24C62EC8" w14:textId="25828F49" w:rsidR="00FF449E" w:rsidRPr="00FD12E6" w:rsidRDefault="00FF449E" w:rsidP="003C5923">
      <w:pPr>
        <w:pStyle w:val="ACMAFigureHeader"/>
        <w:numPr>
          <w:ilvl w:val="0"/>
          <w:numId w:val="0"/>
        </w:numPr>
        <w:spacing w:after="0"/>
        <w:rPr>
          <w:rFonts w:cs="Arial"/>
          <w:i/>
          <w:sz w:val="16"/>
          <w:szCs w:val="16"/>
        </w:rPr>
      </w:pPr>
      <w:r w:rsidRPr="00FD12E6">
        <w:rPr>
          <w:i/>
          <w:sz w:val="16"/>
          <w:szCs w:val="16"/>
        </w:rPr>
        <w:t>AM = amateur, FSS = fixed satellite service, PMP = point-to-multipoint,</w:t>
      </w:r>
      <w:r>
        <w:rPr>
          <w:i/>
          <w:sz w:val="16"/>
          <w:szCs w:val="16"/>
        </w:rPr>
        <w:t xml:space="preserve"> </w:t>
      </w:r>
      <w:r w:rsidRPr="00FD12E6">
        <w:rPr>
          <w:i/>
          <w:sz w:val="16"/>
          <w:szCs w:val="16"/>
        </w:rPr>
        <w:t>PTS = public telecommunication service, SL = spectrum licence</w:t>
      </w:r>
      <w:r>
        <w:rPr>
          <w:i/>
          <w:sz w:val="16"/>
          <w:szCs w:val="16"/>
        </w:rPr>
        <w:br/>
      </w:r>
    </w:p>
    <w:p w14:paraId="61FD7B4E" w14:textId="1CBFA2C3" w:rsidR="00FF449E" w:rsidRDefault="00833853" w:rsidP="00FF449E">
      <w:pPr>
        <w:spacing w:after="0"/>
        <w:jc w:val="center"/>
        <w:rPr>
          <w:rFonts w:cs="Arial"/>
        </w:rPr>
      </w:pPr>
      <w:r>
        <w:rPr>
          <w:noProof/>
        </w:rPr>
        <w:drawing>
          <wp:inline distT="0" distB="0" distL="0" distR="0" wp14:anchorId="16FD55B6" wp14:editId="048FEB74">
            <wp:extent cx="5936615" cy="3514091"/>
            <wp:effectExtent l="0" t="0" r="6985" b="0"/>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942660" cy="3517669"/>
                    </a:xfrm>
                    <a:prstGeom prst="rect">
                      <a:avLst/>
                    </a:prstGeom>
                  </pic:spPr>
                </pic:pic>
              </a:graphicData>
            </a:graphic>
          </wp:inline>
        </w:drawing>
      </w:r>
    </w:p>
    <w:p w14:paraId="54705892" w14:textId="77777777" w:rsidR="00FF449E" w:rsidRDefault="00FF449E" w:rsidP="00FF449E">
      <w:pPr>
        <w:spacing w:after="0" w:line="240" w:lineRule="auto"/>
        <w:rPr>
          <w:rFonts w:cs="Arial"/>
          <w:color w:val="000000" w:themeColor="text1"/>
          <w:szCs w:val="20"/>
        </w:rPr>
      </w:pPr>
      <w:r>
        <w:rPr>
          <w:color w:val="000000" w:themeColor="text1"/>
          <w:szCs w:val="20"/>
        </w:rPr>
        <w:br w:type="page"/>
      </w:r>
    </w:p>
    <w:p w14:paraId="7502AED4" w14:textId="01DC9692" w:rsidR="00FF449E" w:rsidRPr="00CE6250" w:rsidRDefault="00FF449E" w:rsidP="003C5923">
      <w:pPr>
        <w:pStyle w:val="ACMAFigureHeader"/>
        <w:rPr>
          <w:color w:val="000000" w:themeColor="text1"/>
        </w:rPr>
      </w:pPr>
      <w:bookmarkStart w:id="140" w:name="_Hlk6317289"/>
      <w:r w:rsidRPr="00CE6250">
        <w:lastRenderedPageBreak/>
        <w:t>Licensed earth station (black triangle), NBN Co’s PTS licence areas (purple areas)</w:t>
      </w:r>
      <w:r w:rsidRPr="00FF449E">
        <w:t xml:space="preserve"> and </w:t>
      </w:r>
      <w:r w:rsidRPr="00984DF2">
        <w:t>PTS</w:t>
      </w:r>
      <w:r w:rsidRPr="00FF449E">
        <w:t xml:space="preserve"> licence device registrations </w:t>
      </w:r>
      <w:r w:rsidRPr="00432767">
        <w:t>(green dots) in the 3400–</w:t>
      </w:r>
      <w:r w:rsidRPr="00864D13">
        <w:t>3425 MHz and 3492.5–</w:t>
      </w:r>
      <w:r w:rsidRPr="00301163">
        <w:t xml:space="preserve">3542.5 MHz </w:t>
      </w:r>
      <w:r w:rsidRPr="00CE6250">
        <w:t>bands</w:t>
      </w:r>
      <w:bookmarkEnd w:id="140"/>
      <w:r w:rsidRPr="00CE6250">
        <w:t>.</w:t>
      </w:r>
    </w:p>
    <w:p w14:paraId="02F9FA66" w14:textId="77777777" w:rsidR="00FF449E" w:rsidRPr="003F6009" w:rsidRDefault="00FF449E" w:rsidP="00FF449E">
      <w:pPr>
        <w:pStyle w:val="Default"/>
        <w:spacing w:after="120" w:line="280" w:lineRule="atLeast"/>
        <w:rPr>
          <w:color w:val="000000" w:themeColor="text1"/>
          <w:sz w:val="20"/>
          <w:szCs w:val="20"/>
        </w:rPr>
      </w:pPr>
      <w:r>
        <w:rPr>
          <w:noProof/>
        </w:rPr>
        <w:drawing>
          <wp:inline distT="0" distB="0" distL="0" distR="0" wp14:anchorId="2C3CC440" wp14:editId="32418BFD">
            <wp:extent cx="4969565" cy="4053522"/>
            <wp:effectExtent l="0" t="0" r="2540" b="4445"/>
            <wp:docPr id="44" name="Picture 44" descr="Licensed earth station (black triangle), NBN Co’s PTS licence areas (purple areas) and PTS licence device registrations (green dots) in the 3400–3425 MHz and 3492.5–3542.5 MHz ban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5" cstate="screen">
                      <a:extLst>
                        <a:ext uri="{28A0092B-C50C-407E-A947-70E740481C1C}">
                          <a14:useLocalDpi xmlns:a14="http://schemas.microsoft.com/office/drawing/2010/main"/>
                        </a:ext>
                      </a:extLst>
                    </a:blip>
                    <a:stretch>
                      <a:fillRect/>
                    </a:stretch>
                  </pic:blipFill>
                  <pic:spPr>
                    <a:xfrm>
                      <a:off x="0" y="0"/>
                      <a:ext cx="4976614" cy="4059271"/>
                    </a:xfrm>
                    <a:prstGeom prst="rect">
                      <a:avLst/>
                    </a:prstGeom>
                  </pic:spPr>
                </pic:pic>
              </a:graphicData>
            </a:graphic>
          </wp:inline>
        </w:drawing>
      </w:r>
    </w:p>
    <w:p w14:paraId="4B07C670" w14:textId="4E0586CC" w:rsidR="00FF449E" w:rsidRPr="007752C5" w:rsidRDefault="00FF449E" w:rsidP="003C5923">
      <w:pPr>
        <w:pStyle w:val="ACMAFigureHeader"/>
        <w:rPr>
          <w:color w:val="000000" w:themeColor="text1"/>
        </w:rPr>
      </w:pPr>
      <w:r w:rsidRPr="00CE6250">
        <w:t xml:space="preserve">PMP licences (red dots), spectrum licence device registrations </w:t>
      </w:r>
      <w:r w:rsidRPr="00FF449E">
        <w:t xml:space="preserve">(purple dots) </w:t>
      </w:r>
      <w:r w:rsidRPr="00432767">
        <w:t xml:space="preserve">and areas subject to spectrum licensing (blue </w:t>
      </w:r>
      <w:r w:rsidRPr="00984DF2">
        <w:t>areas</w:t>
      </w:r>
      <w:r w:rsidRPr="00432767">
        <w:t>) in the 3425</w:t>
      </w:r>
      <w:r w:rsidRPr="0032438C">
        <w:t>–</w:t>
      </w:r>
      <w:r w:rsidRPr="00864D13">
        <w:t>3442.5 MHz and 3475–3492.5 MHz bands.</w:t>
      </w:r>
    </w:p>
    <w:p w14:paraId="0454970D" w14:textId="77777777" w:rsidR="00FF449E" w:rsidRDefault="00FF449E" w:rsidP="00FF449E">
      <w:pPr>
        <w:pStyle w:val="Default"/>
        <w:spacing w:line="280" w:lineRule="atLeast"/>
        <w:rPr>
          <w:color w:val="000000" w:themeColor="text1"/>
          <w:sz w:val="20"/>
          <w:szCs w:val="20"/>
        </w:rPr>
      </w:pPr>
      <w:r>
        <w:rPr>
          <w:noProof/>
        </w:rPr>
        <w:drawing>
          <wp:inline distT="0" distB="0" distL="0" distR="0" wp14:anchorId="17A4405B" wp14:editId="13459590">
            <wp:extent cx="4951730" cy="4031229"/>
            <wp:effectExtent l="0" t="0" r="1270" b="7620"/>
            <wp:docPr id="47" name="Picture 47" descr="PMP licences (red dots), spectrum licence device registrations (purple dots) and areas subject to spectrum licensing (blue areas) in the 3425–3442.5 MHz and 3475–3492.5 MHz ban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6" cstate="screen">
                      <a:extLst>
                        <a:ext uri="{28A0092B-C50C-407E-A947-70E740481C1C}">
                          <a14:useLocalDpi xmlns:a14="http://schemas.microsoft.com/office/drawing/2010/main"/>
                        </a:ext>
                      </a:extLst>
                    </a:blip>
                    <a:stretch>
                      <a:fillRect/>
                    </a:stretch>
                  </pic:blipFill>
                  <pic:spPr>
                    <a:xfrm>
                      <a:off x="0" y="0"/>
                      <a:ext cx="4952036" cy="4031478"/>
                    </a:xfrm>
                    <a:prstGeom prst="rect">
                      <a:avLst/>
                    </a:prstGeom>
                  </pic:spPr>
                </pic:pic>
              </a:graphicData>
            </a:graphic>
          </wp:inline>
        </w:drawing>
      </w:r>
    </w:p>
    <w:p w14:paraId="3C338878" w14:textId="6B3D9AA6" w:rsidR="00FF449E" w:rsidRPr="00CE6250" w:rsidRDefault="00FF449E" w:rsidP="003C5923">
      <w:pPr>
        <w:pStyle w:val="ACMAFigureHeader"/>
        <w:rPr>
          <w:color w:val="000000" w:themeColor="text1"/>
        </w:rPr>
      </w:pPr>
      <w:r w:rsidRPr="00CE6250">
        <w:lastRenderedPageBreak/>
        <w:t xml:space="preserve">Spectrum licence </w:t>
      </w:r>
      <w:r w:rsidRPr="00984DF2">
        <w:t>device</w:t>
      </w:r>
      <w:r w:rsidRPr="00CE6250">
        <w:t xml:space="preserve"> registrations (purple dots) and areas subject to spectrum licensing (blue area</w:t>
      </w:r>
      <w:r w:rsidRPr="00FF449E">
        <w:t>) in the 34</w:t>
      </w:r>
      <w:r w:rsidRPr="00301163">
        <w:t>42.5–</w:t>
      </w:r>
      <w:r w:rsidRPr="00CE6250">
        <w:t>3475 MHz and 3542.5–3575 MHz bands.</w:t>
      </w:r>
    </w:p>
    <w:p w14:paraId="200726A8" w14:textId="77777777" w:rsidR="00FF449E" w:rsidRDefault="00FF449E" w:rsidP="00FF449E">
      <w:pPr>
        <w:pStyle w:val="Default"/>
        <w:spacing w:line="280" w:lineRule="atLeast"/>
        <w:rPr>
          <w:color w:val="000000" w:themeColor="text1"/>
          <w:sz w:val="20"/>
          <w:szCs w:val="20"/>
        </w:rPr>
      </w:pPr>
      <w:r>
        <w:rPr>
          <w:noProof/>
        </w:rPr>
        <w:drawing>
          <wp:inline distT="0" distB="0" distL="0" distR="0" wp14:anchorId="6F87791F" wp14:editId="3B3E82DD">
            <wp:extent cx="5057029" cy="4193425"/>
            <wp:effectExtent l="0" t="0" r="0" b="0"/>
            <wp:docPr id="46" name="Picture 46" descr="Spectrum licence device registrations (purple dots) and areas subject to spectrum licensing (blue area) in the 3442.5–3475 MHz and 3542.5–3575 MHz band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7" cstate="screen">
                      <a:extLst>
                        <a:ext uri="{28A0092B-C50C-407E-A947-70E740481C1C}">
                          <a14:useLocalDpi xmlns:a14="http://schemas.microsoft.com/office/drawing/2010/main"/>
                        </a:ext>
                      </a:extLst>
                    </a:blip>
                    <a:stretch>
                      <a:fillRect/>
                    </a:stretch>
                  </pic:blipFill>
                  <pic:spPr>
                    <a:xfrm>
                      <a:off x="0" y="0"/>
                      <a:ext cx="5061654" cy="4197260"/>
                    </a:xfrm>
                    <a:prstGeom prst="rect">
                      <a:avLst/>
                    </a:prstGeom>
                  </pic:spPr>
                </pic:pic>
              </a:graphicData>
            </a:graphic>
          </wp:inline>
        </w:drawing>
      </w:r>
    </w:p>
    <w:p w14:paraId="4D62C450" w14:textId="77777777" w:rsidR="00FF449E" w:rsidRDefault="00FF449E" w:rsidP="00FF449E">
      <w:pPr>
        <w:spacing w:after="0" w:line="240" w:lineRule="auto"/>
        <w:rPr>
          <w:b/>
          <w:bCs/>
          <w:color w:val="323232"/>
          <w:szCs w:val="20"/>
        </w:rPr>
      </w:pPr>
      <w:bookmarkStart w:id="141" w:name="_Ref459817782"/>
      <w:bookmarkEnd w:id="138"/>
    </w:p>
    <w:p w14:paraId="6111FD43" w14:textId="095EA97B" w:rsidR="00FF449E" w:rsidRPr="00A67371" w:rsidRDefault="00FF449E" w:rsidP="003C5923">
      <w:pPr>
        <w:pStyle w:val="ACMATableHeader"/>
      </w:pPr>
      <w:r w:rsidRPr="000E1D83">
        <w:t xml:space="preserve">Breakdown of </w:t>
      </w:r>
      <w:r>
        <w:t>licensees and licences in</w:t>
      </w:r>
      <w:r w:rsidRPr="000E1D83">
        <w:t xml:space="preserve"> the </w:t>
      </w:r>
      <w:r>
        <w:t>3400–3575 MHz</w:t>
      </w:r>
      <w:r w:rsidRPr="000E1D83">
        <w:t xml:space="preserve"> band (</w:t>
      </w:r>
      <w:r>
        <w:t xml:space="preserve">based on 1April </w:t>
      </w:r>
      <w:r w:rsidRPr="000E1D83">
        <w:t>201</w:t>
      </w:r>
      <w:r>
        <w:t>9 RRL data</w:t>
      </w:r>
      <w:r w:rsidRPr="000E1D83">
        <w:t>)</w:t>
      </w:r>
      <w:r>
        <w:t>.</w:t>
      </w:r>
    </w:p>
    <w:tbl>
      <w:tblPr>
        <w:tblW w:w="949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85" w:type="dxa"/>
          <w:bottom w:w="85" w:type="dxa"/>
        </w:tblCellMar>
        <w:tblLook w:val="01E0" w:firstRow="1" w:lastRow="1" w:firstColumn="1" w:lastColumn="1" w:noHBand="0" w:noVBand="0"/>
        <w:tblCaption w:val="table 5, Breakdown of licences in the 3.6 GHz band"/>
        <w:tblDescription w:val="Breakdown of licences types and licensees in the 3.6 GHz band"/>
      </w:tblPr>
      <w:tblGrid>
        <w:gridCol w:w="2407"/>
        <w:gridCol w:w="1128"/>
        <w:gridCol w:w="1424"/>
        <w:gridCol w:w="4536"/>
      </w:tblGrid>
      <w:tr w:rsidR="00FF449E" w:rsidRPr="00A67371" w14:paraId="12601FE4" w14:textId="77777777" w:rsidTr="006C4214">
        <w:trPr>
          <w:cantSplit/>
          <w:tblHeader/>
        </w:trPr>
        <w:tc>
          <w:tcPr>
            <w:tcW w:w="2407" w:type="dxa"/>
            <w:shd w:val="clear" w:color="auto" w:fill="404040" w:themeFill="text1" w:themeFillTint="BF"/>
            <w:tcMar>
              <w:top w:w="57" w:type="dxa"/>
              <w:left w:w="57" w:type="dxa"/>
              <w:bottom w:w="57" w:type="dxa"/>
              <w:right w:w="57" w:type="dxa"/>
            </w:tcMar>
            <w:vAlign w:val="center"/>
          </w:tcPr>
          <w:bookmarkEnd w:id="141"/>
          <w:p w14:paraId="0A2DE921" w14:textId="77777777" w:rsidR="00FF449E" w:rsidRPr="00A67371" w:rsidRDefault="00FF449E" w:rsidP="006C4214">
            <w:pPr>
              <w:pStyle w:val="TableHeading"/>
              <w:rPr>
                <w:rFonts w:cs="Arial"/>
                <w:color w:val="FFFFFF" w:themeColor="background1"/>
              </w:rPr>
            </w:pPr>
            <w:r w:rsidRPr="00A67371">
              <w:rPr>
                <w:rFonts w:cs="Arial"/>
                <w:color w:val="FFFFFF" w:themeColor="background1"/>
              </w:rPr>
              <w:t>Licence type</w:t>
            </w:r>
          </w:p>
        </w:tc>
        <w:tc>
          <w:tcPr>
            <w:tcW w:w="1128" w:type="dxa"/>
            <w:shd w:val="clear" w:color="auto" w:fill="404040" w:themeFill="text1" w:themeFillTint="BF"/>
            <w:tcMar>
              <w:top w:w="57" w:type="dxa"/>
              <w:left w:w="57" w:type="dxa"/>
              <w:bottom w:w="57" w:type="dxa"/>
              <w:right w:w="57" w:type="dxa"/>
            </w:tcMar>
            <w:vAlign w:val="center"/>
          </w:tcPr>
          <w:p w14:paraId="1E555F26" w14:textId="77777777" w:rsidR="00FF449E" w:rsidRPr="00A67371" w:rsidRDefault="00FF449E" w:rsidP="006C4214">
            <w:pPr>
              <w:pStyle w:val="TableHeading"/>
              <w:rPr>
                <w:rFonts w:cs="Arial"/>
                <w:color w:val="FFFFFF" w:themeColor="background1"/>
              </w:rPr>
            </w:pPr>
            <w:r w:rsidRPr="00A67371">
              <w:rPr>
                <w:rFonts w:cs="Arial"/>
                <w:color w:val="FFFFFF" w:themeColor="background1"/>
              </w:rPr>
              <w:t>N</w:t>
            </w:r>
            <w:r>
              <w:rPr>
                <w:rFonts w:cs="Arial"/>
                <w:color w:val="FFFFFF" w:themeColor="background1"/>
              </w:rPr>
              <w:t>o.</w:t>
            </w:r>
            <w:r w:rsidRPr="00A67371">
              <w:rPr>
                <w:rFonts w:cs="Arial"/>
                <w:color w:val="FFFFFF" w:themeColor="background1"/>
              </w:rPr>
              <w:t xml:space="preserve"> of licen</w:t>
            </w:r>
            <w:r>
              <w:rPr>
                <w:rFonts w:cs="Arial"/>
                <w:color w:val="FFFFFF" w:themeColor="background1"/>
              </w:rPr>
              <w:t>sees</w:t>
            </w:r>
          </w:p>
        </w:tc>
        <w:tc>
          <w:tcPr>
            <w:tcW w:w="1424" w:type="dxa"/>
            <w:shd w:val="clear" w:color="auto" w:fill="404040" w:themeFill="text1" w:themeFillTint="BF"/>
            <w:tcMar>
              <w:top w:w="57" w:type="dxa"/>
              <w:left w:w="57" w:type="dxa"/>
              <w:bottom w:w="57" w:type="dxa"/>
              <w:right w:w="57" w:type="dxa"/>
            </w:tcMar>
            <w:vAlign w:val="center"/>
          </w:tcPr>
          <w:p w14:paraId="4C2FE535" w14:textId="77777777" w:rsidR="00FF449E" w:rsidRPr="00A67371" w:rsidRDefault="00FF449E" w:rsidP="006C4214">
            <w:pPr>
              <w:pStyle w:val="TableHeading"/>
              <w:rPr>
                <w:rFonts w:cs="Arial"/>
                <w:color w:val="FFFFFF" w:themeColor="background1"/>
              </w:rPr>
            </w:pPr>
            <w:r w:rsidRPr="00A67371">
              <w:rPr>
                <w:rFonts w:cs="Arial"/>
                <w:color w:val="FFFFFF" w:themeColor="background1"/>
              </w:rPr>
              <w:t>N</w:t>
            </w:r>
            <w:r>
              <w:rPr>
                <w:rFonts w:cs="Arial"/>
                <w:color w:val="FFFFFF" w:themeColor="background1"/>
              </w:rPr>
              <w:t xml:space="preserve">o. </w:t>
            </w:r>
            <w:r w:rsidRPr="00A67371">
              <w:rPr>
                <w:rFonts w:cs="Arial"/>
                <w:color w:val="FFFFFF" w:themeColor="background1"/>
              </w:rPr>
              <w:t xml:space="preserve">of </w:t>
            </w:r>
            <w:r>
              <w:rPr>
                <w:rFonts w:cs="Arial"/>
                <w:color w:val="FFFFFF" w:themeColor="background1"/>
              </w:rPr>
              <w:t>licences</w:t>
            </w:r>
          </w:p>
        </w:tc>
        <w:tc>
          <w:tcPr>
            <w:tcW w:w="4536" w:type="dxa"/>
            <w:shd w:val="clear" w:color="auto" w:fill="404040" w:themeFill="text1" w:themeFillTint="BF"/>
            <w:tcMar>
              <w:top w:w="57" w:type="dxa"/>
              <w:left w:w="57" w:type="dxa"/>
              <w:bottom w:w="57" w:type="dxa"/>
              <w:right w:w="57" w:type="dxa"/>
            </w:tcMar>
            <w:vAlign w:val="center"/>
          </w:tcPr>
          <w:p w14:paraId="64790921" w14:textId="77777777" w:rsidR="00FF449E" w:rsidRPr="00A67371" w:rsidRDefault="00FF449E" w:rsidP="006C4214">
            <w:pPr>
              <w:pStyle w:val="TableHeading"/>
              <w:rPr>
                <w:rFonts w:cs="Arial"/>
                <w:color w:val="FFFFFF" w:themeColor="background1"/>
              </w:rPr>
            </w:pPr>
            <w:r w:rsidRPr="00A67371">
              <w:rPr>
                <w:rFonts w:cs="Arial"/>
                <w:color w:val="FFFFFF" w:themeColor="background1"/>
              </w:rPr>
              <w:t>Major licensees</w:t>
            </w:r>
            <w:r>
              <w:rPr>
                <w:rFonts w:cs="Arial"/>
                <w:color w:val="FFFFFF" w:themeColor="background1"/>
              </w:rPr>
              <w:t xml:space="preserve"> </w:t>
            </w:r>
            <w:r w:rsidRPr="00A67371">
              <w:rPr>
                <w:rFonts w:cs="Arial"/>
                <w:color w:val="FFFFFF" w:themeColor="background1"/>
              </w:rPr>
              <w:t>(number of licences)</w:t>
            </w:r>
          </w:p>
        </w:tc>
      </w:tr>
      <w:tr w:rsidR="00FF449E" w:rsidRPr="00A67371" w14:paraId="090CA157" w14:textId="77777777" w:rsidTr="006C4214">
        <w:trPr>
          <w:cantSplit/>
          <w:tblHeader/>
        </w:trPr>
        <w:tc>
          <w:tcPr>
            <w:tcW w:w="2407" w:type="dxa"/>
            <w:tcMar>
              <w:top w:w="57" w:type="dxa"/>
              <w:left w:w="57" w:type="dxa"/>
              <w:bottom w:w="57" w:type="dxa"/>
              <w:right w:w="57" w:type="dxa"/>
            </w:tcMar>
          </w:tcPr>
          <w:p w14:paraId="0CB42CB2" w14:textId="77777777" w:rsidR="00FF449E" w:rsidRPr="00A67371" w:rsidRDefault="00FF449E" w:rsidP="006C4214">
            <w:pPr>
              <w:pStyle w:val="TableBody"/>
              <w:rPr>
                <w:rFonts w:cs="Arial"/>
              </w:rPr>
            </w:pPr>
            <w:r w:rsidRPr="00A67371">
              <w:rPr>
                <w:rFonts w:cs="Arial"/>
              </w:rPr>
              <w:t>Earth receive</w:t>
            </w:r>
          </w:p>
        </w:tc>
        <w:tc>
          <w:tcPr>
            <w:tcW w:w="1128" w:type="dxa"/>
            <w:tcMar>
              <w:top w:w="57" w:type="dxa"/>
              <w:left w:w="57" w:type="dxa"/>
              <w:bottom w:w="57" w:type="dxa"/>
              <w:right w:w="57" w:type="dxa"/>
            </w:tcMar>
          </w:tcPr>
          <w:p w14:paraId="77236B59" w14:textId="77777777" w:rsidR="00FF449E" w:rsidRPr="00A67371" w:rsidRDefault="00FF449E" w:rsidP="006C4214">
            <w:pPr>
              <w:pStyle w:val="TableBody"/>
              <w:jc w:val="center"/>
              <w:rPr>
                <w:rFonts w:cs="Arial"/>
              </w:rPr>
            </w:pPr>
            <w:r>
              <w:rPr>
                <w:rFonts w:cs="Arial"/>
              </w:rPr>
              <w:t>1</w:t>
            </w:r>
          </w:p>
        </w:tc>
        <w:tc>
          <w:tcPr>
            <w:tcW w:w="1424" w:type="dxa"/>
            <w:tcMar>
              <w:top w:w="57" w:type="dxa"/>
              <w:left w:w="28" w:type="dxa"/>
              <w:bottom w:w="57" w:type="dxa"/>
              <w:right w:w="28" w:type="dxa"/>
            </w:tcMar>
          </w:tcPr>
          <w:p w14:paraId="24DA2880" w14:textId="77777777" w:rsidR="00FF449E" w:rsidRPr="00A67371" w:rsidRDefault="00FF449E" w:rsidP="006C4214">
            <w:pPr>
              <w:pStyle w:val="TableBody"/>
              <w:jc w:val="center"/>
              <w:rPr>
                <w:rFonts w:cs="Arial"/>
              </w:rPr>
            </w:pPr>
            <w:r>
              <w:rPr>
                <w:rFonts w:cs="Arial"/>
              </w:rPr>
              <w:t>1</w:t>
            </w:r>
          </w:p>
        </w:tc>
        <w:tc>
          <w:tcPr>
            <w:tcW w:w="4536" w:type="dxa"/>
            <w:tcMar>
              <w:top w:w="57" w:type="dxa"/>
              <w:left w:w="57" w:type="dxa"/>
              <w:bottom w:w="57" w:type="dxa"/>
              <w:right w:w="57" w:type="dxa"/>
            </w:tcMar>
          </w:tcPr>
          <w:p w14:paraId="60507104" w14:textId="77777777" w:rsidR="00FF449E" w:rsidRPr="00A67371" w:rsidRDefault="00FF449E" w:rsidP="006C4214">
            <w:pPr>
              <w:pStyle w:val="TableBody"/>
              <w:rPr>
                <w:rFonts w:cs="Arial"/>
              </w:rPr>
            </w:pPr>
            <w:r w:rsidRPr="00F80E0D">
              <w:t xml:space="preserve">Lockheed Martin Australia Pty Ltd </w:t>
            </w:r>
            <w:r w:rsidRPr="003C37D8">
              <w:t>(</w:t>
            </w:r>
            <w:r>
              <w:t>1</w:t>
            </w:r>
            <w:r w:rsidRPr="003C37D8">
              <w:t>)</w:t>
            </w:r>
          </w:p>
        </w:tc>
      </w:tr>
      <w:tr w:rsidR="00FF449E" w:rsidRPr="00A67371" w14:paraId="6249102D" w14:textId="77777777" w:rsidTr="006C4214">
        <w:trPr>
          <w:cantSplit/>
          <w:tblHeader/>
        </w:trPr>
        <w:tc>
          <w:tcPr>
            <w:tcW w:w="2407" w:type="dxa"/>
            <w:shd w:val="clear" w:color="auto" w:fill="F2F2F2" w:themeFill="background1" w:themeFillShade="F2"/>
            <w:tcMar>
              <w:top w:w="57" w:type="dxa"/>
              <w:left w:w="57" w:type="dxa"/>
              <w:bottom w:w="57" w:type="dxa"/>
              <w:right w:w="57" w:type="dxa"/>
            </w:tcMar>
          </w:tcPr>
          <w:p w14:paraId="449635E3" w14:textId="77777777" w:rsidR="00FF449E" w:rsidRPr="00A67371" w:rsidRDefault="00FF449E" w:rsidP="006C4214">
            <w:pPr>
              <w:pStyle w:val="TableBody"/>
              <w:rPr>
                <w:rFonts w:cs="Arial"/>
              </w:rPr>
            </w:pPr>
            <w:r w:rsidRPr="00A67371">
              <w:rPr>
                <w:rFonts w:cs="Arial"/>
              </w:rPr>
              <w:t>Point-to-multipoint</w:t>
            </w:r>
          </w:p>
        </w:tc>
        <w:tc>
          <w:tcPr>
            <w:tcW w:w="1128" w:type="dxa"/>
            <w:shd w:val="clear" w:color="auto" w:fill="F2F2F2" w:themeFill="background1" w:themeFillShade="F2"/>
            <w:tcMar>
              <w:top w:w="57" w:type="dxa"/>
              <w:left w:w="57" w:type="dxa"/>
              <w:bottom w:w="57" w:type="dxa"/>
              <w:right w:w="57" w:type="dxa"/>
            </w:tcMar>
          </w:tcPr>
          <w:p w14:paraId="519E108B" w14:textId="77777777" w:rsidR="00FF449E" w:rsidRPr="00A67371" w:rsidRDefault="00FF449E" w:rsidP="006C4214">
            <w:pPr>
              <w:pStyle w:val="TableBody"/>
              <w:jc w:val="center"/>
              <w:rPr>
                <w:rFonts w:cs="Arial"/>
              </w:rPr>
            </w:pPr>
            <w:r>
              <w:rPr>
                <w:rFonts w:cs="Arial"/>
              </w:rPr>
              <w:t>18</w:t>
            </w:r>
          </w:p>
        </w:tc>
        <w:tc>
          <w:tcPr>
            <w:tcW w:w="1424" w:type="dxa"/>
            <w:shd w:val="clear" w:color="auto" w:fill="F2F2F2" w:themeFill="background1" w:themeFillShade="F2"/>
            <w:tcMar>
              <w:top w:w="57" w:type="dxa"/>
              <w:left w:w="28" w:type="dxa"/>
              <w:bottom w:w="57" w:type="dxa"/>
              <w:right w:w="28" w:type="dxa"/>
            </w:tcMar>
          </w:tcPr>
          <w:p w14:paraId="37ED7E7C" w14:textId="77777777" w:rsidR="00FF449E" w:rsidRPr="00A67371" w:rsidRDefault="00FF449E" w:rsidP="006C4214">
            <w:pPr>
              <w:pStyle w:val="TableBody"/>
              <w:jc w:val="center"/>
              <w:rPr>
                <w:rFonts w:cs="Arial"/>
              </w:rPr>
            </w:pPr>
            <w:r>
              <w:rPr>
                <w:rFonts w:cs="Arial"/>
              </w:rPr>
              <w:t>108</w:t>
            </w:r>
          </w:p>
        </w:tc>
        <w:tc>
          <w:tcPr>
            <w:tcW w:w="4536" w:type="dxa"/>
            <w:shd w:val="clear" w:color="auto" w:fill="F2F2F2" w:themeFill="background1" w:themeFillShade="F2"/>
            <w:tcMar>
              <w:top w:w="57" w:type="dxa"/>
              <w:left w:w="57" w:type="dxa"/>
              <w:bottom w:w="57" w:type="dxa"/>
              <w:right w:w="57" w:type="dxa"/>
            </w:tcMar>
          </w:tcPr>
          <w:p w14:paraId="2D1A3AA8" w14:textId="22A85AE0" w:rsidR="00FF449E" w:rsidRPr="00A67371" w:rsidRDefault="00FF449E" w:rsidP="006C4214">
            <w:pPr>
              <w:spacing w:after="0"/>
              <w:rPr>
                <w:rFonts w:cs="Arial"/>
              </w:rPr>
            </w:pPr>
            <w:r w:rsidRPr="007B16F2">
              <w:t>Agile Pty Ltd</w:t>
            </w:r>
            <w:r>
              <w:t xml:space="preserve"> (15)</w:t>
            </w:r>
            <w:r w:rsidRPr="007B16F2">
              <w:t>, Armidale Dumaresq Council</w:t>
            </w:r>
            <w:r>
              <w:t xml:space="preserve"> (1)</w:t>
            </w:r>
            <w:r w:rsidRPr="007B16F2">
              <w:t>, Aussie Broadband Pty Ltd</w:t>
            </w:r>
            <w:r>
              <w:t xml:space="preserve"> (3)</w:t>
            </w:r>
            <w:r w:rsidRPr="007B16F2">
              <w:t xml:space="preserve">, BHP Billiton Iron Ore Pty Ltd </w:t>
            </w:r>
            <w:r>
              <w:t xml:space="preserve">(32), </w:t>
            </w:r>
            <w:r w:rsidRPr="007B16F2">
              <w:t xml:space="preserve">Bm Alliance Coal Operations Pty Limited </w:t>
            </w:r>
            <w:r>
              <w:t xml:space="preserve">(16), </w:t>
            </w:r>
            <w:r w:rsidRPr="007B16F2">
              <w:t>Davco Farming Company</w:t>
            </w:r>
            <w:r>
              <w:t xml:space="preserve"> (1)</w:t>
            </w:r>
            <w:r w:rsidRPr="007B16F2">
              <w:t xml:space="preserve">, GoldNet Pty Ltd </w:t>
            </w:r>
            <w:r>
              <w:t xml:space="preserve">(1), </w:t>
            </w:r>
            <w:r w:rsidRPr="007B16F2">
              <w:t>HaleNET Pty Ltd</w:t>
            </w:r>
            <w:r>
              <w:t xml:space="preserve"> (4)</w:t>
            </w:r>
            <w:r w:rsidRPr="007B16F2">
              <w:t>,</w:t>
            </w:r>
            <w:r>
              <w:t xml:space="preserve"> </w:t>
            </w:r>
            <w:r w:rsidRPr="007B16F2">
              <w:t xml:space="preserve">Loy Yang Power Management Pty Ltd </w:t>
            </w:r>
            <w:r>
              <w:t xml:space="preserve">(1), </w:t>
            </w:r>
            <w:r w:rsidRPr="007B16F2">
              <w:t xml:space="preserve"> March IT Pty Ltd </w:t>
            </w:r>
            <w:r>
              <w:t xml:space="preserve">(4), </w:t>
            </w:r>
            <w:r w:rsidRPr="007B16F2">
              <w:t>NC Cable Pty Ltd, Pilbara Iron Company (Services) Pty Ltd</w:t>
            </w:r>
            <w:r>
              <w:t xml:space="preserve"> (1), R</w:t>
            </w:r>
            <w:r w:rsidRPr="007B16F2">
              <w:t xml:space="preserve">oy </w:t>
            </w:r>
            <w:r>
              <w:t>H</w:t>
            </w:r>
            <w:r w:rsidRPr="007B16F2">
              <w:t xml:space="preserve">ill </w:t>
            </w:r>
            <w:r>
              <w:t>H</w:t>
            </w:r>
            <w:r w:rsidRPr="007B16F2">
              <w:t xml:space="preserve">oldings </w:t>
            </w:r>
            <w:r>
              <w:t>P</w:t>
            </w:r>
            <w:r w:rsidRPr="007B16F2">
              <w:t xml:space="preserve">ty </w:t>
            </w:r>
            <w:r>
              <w:t>L</w:t>
            </w:r>
            <w:r w:rsidRPr="007B16F2">
              <w:t>td</w:t>
            </w:r>
            <w:r>
              <w:t xml:space="preserve"> (14), S</w:t>
            </w:r>
            <w:r w:rsidRPr="007B16F2">
              <w:t>atstream (</w:t>
            </w:r>
            <w:r>
              <w:t>A</w:t>
            </w:r>
            <w:r w:rsidRPr="007B16F2">
              <w:t xml:space="preserve">ustralia) </w:t>
            </w:r>
            <w:r>
              <w:t>P</w:t>
            </w:r>
            <w:r w:rsidRPr="007B16F2">
              <w:t xml:space="preserve">ty </w:t>
            </w:r>
            <w:r>
              <w:t>L</w:t>
            </w:r>
            <w:r w:rsidRPr="007B16F2">
              <w:t>td</w:t>
            </w:r>
            <w:r>
              <w:t xml:space="preserve"> (6), </w:t>
            </w:r>
            <w:r w:rsidRPr="007B16F2">
              <w:t>Silk Telecom Pty Ltd, Uralla Shire Council</w:t>
            </w:r>
            <w:r>
              <w:t xml:space="preserve">, </w:t>
            </w:r>
            <w:r w:rsidRPr="007B16F2">
              <w:t>Wujal Aboriginal Shire Council</w:t>
            </w:r>
            <w:r>
              <w:t xml:space="preserve"> (2)</w:t>
            </w:r>
          </w:p>
        </w:tc>
      </w:tr>
      <w:tr w:rsidR="00FF449E" w:rsidRPr="00A67371" w14:paraId="039F941C" w14:textId="77777777" w:rsidTr="006C4214">
        <w:trPr>
          <w:cantSplit/>
          <w:tblHeader/>
        </w:trPr>
        <w:tc>
          <w:tcPr>
            <w:tcW w:w="2407" w:type="dxa"/>
            <w:tcMar>
              <w:top w:w="57" w:type="dxa"/>
              <w:left w:w="57" w:type="dxa"/>
              <w:bottom w:w="57" w:type="dxa"/>
              <w:right w:w="57" w:type="dxa"/>
            </w:tcMar>
          </w:tcPr>
          <w:p w14:paraId="27FE83B0" w14:textId="77777777" w:rsidR="00FF449E" w:rsidRPr="00A67371" w:rsidRDefault="00FF449E" w:rsidP="006C4214">
            <w:pPr>
              <w:pStyle w:val="TableBody"/>
              <w:rPr>
                <w:rFonts w:cs="Arial"/>
              </w:rPr>
            </w:pPr>
            <w:r>
              <w:rPr>
                <w:rFonts w:cs="Arial"/>
              </w:rPr>
              <w:t>Public telecommunication service</w:t>
            </w:r>
          </w:p>
        </w:tc>
        <w:tc>
          <w:tcPr>
            <w:tcW w:w="1128" w:type="dxa"/>
            <w:tcMar>
              <w:top w:w="57" w:type="dxa"/>
              <w:left w:w="57" w:type="dxa"/>
              <w:bottom w:w="57" w:type="dxa"/>
              <w:right w:w="57" w:type="dxa"/>
            </w:tcMar>
          </w:tcPr>
          <w:p w14:paraId="6A0EBBA5" w14:textId="77777777" w:rsidR="00FF449E" w:rsidRPr="00A67371" w:rsidRDefault="00FF449E" w:rsidP="006C4214">
            <w:pPr>
              <w:pStyle w:val="TableBody"/>
              <w:jc w:val="center"/>
              <w:rPr>
                <w:rFonts w:cs="Arial"/>
              </w:rPr>
            </w:pPr>
            <w:r>
              <w:rPr>
                <w:rFonts w:cs="Arial"/>
              </w:rPr>
              <w:t>1</w:t>
            </w:r>
          </w:p>
        </w:tc>
        <w:tc>
          <w:tcPr>
            <w:tcW w:w="1424" w:type="dxa"/>
            <w:tcMar>
              <w:top w:w="57" w:type="dxa"/>
              <w:left w:w="28" w:type="dxa"/>
              <w:bottom w:w="57" w:type="dxa"/>
              <w:right w:w="28" w:type="dxa"/>
            </w:tcMar>
          </w:tcPr>
          <w:p w14:paraId="5241986F" w14:textId="77777777" w:rsidR="00FF449E" w:rsidRDefault="00FF449E" w:rsidP="006C4214">
            <w:pPr>
              <w:pStyle w:val="TableBody"/>
              <w:jc w:val="center"/>
              <w:rPr>
                <w:rFonts w:cs="Arial"/>
              </w:rPr>
            </w:pPr>
            <w:r>
              <w:rPr>
                <w:rFonts w:cs="Arial"/>
              </w:rPr>
              <w:t xml:space="preserve">10 </w:t>
            </w:r>
          </w:p>
          <w:p w14:paraId="3981BEF4" w14:textId="77777777" w:rsidR="00FF449E" w:rsidRPr="00A67371" w:rsidRDefault="00FF449E" w:rsidP="006C4214">
            <w:pPr>
              <w:pStyle w:val="TableBody"/>
              <w:jc w:val="center"/>
              <w:rPr>
                <w:rFonts w:cs="Arial"/>
              </w:rPr>
            </w:pPr>
            <w:r>
              <w:rPr>
                <w:rFonts w:cs="Arial"/>
              </w:rPr>
              <w:t>(12,586 assignments)</w:t>
            </w:r>
          </w:p>
        </w:tc>
        <w:tc>
          <w:tcPr>
            <w:tcW w:w="4536" w:type="dxa"/>
            <w:tcMar>
              <w:top w:w="57" w:type="dxa"/>
              <w:left w:w="57" w:type="dxa"/>
              <w:bottom w:w="57" w:type="dxa"/>
              <w:right w:w="57" w:type="dxa"/>
            </w:tcMar>
          </w:tcPr>
          <w:p w14:paraId="41876E4F" w14:textId="77777777" w:rsidR="00FF449E" w:rsidRPr="00A67371" w:rsidRDefault="00FF449E" w:rsidP="006C4214">
            <w:pPr>
              <w:pStyle w:val="TableBody"/>
              <w:rPr>
                <w:rFonts w:cs="Arial"/>
              </w:rPr>
            </w:pPr>
            <w:r>
              <w:t>NBN Co</w:t>
            </w:r>
            <w:r w:rsidRPr="003C37D8">
              <w:t> (</w:t>
            </w:r>
            <w:r>
              <w:t>10</w:t>
            </w:r>
            <w:r w:rsidRPr="003C37D8">
              <w:t>)</w:t>
            </w:r>
          </w:p>
        </w:tc>
      </w:tr>
      <w:tr w:rsidR="00FF449E" w:rsidRPr="00A67371" w14:paraId="757BC5B9" w14:textId="77777777" w:rsidTr="006C4214">
        <w:trPr>
          <w:cantSplit/>
          <w:tblHeader/>
        </w:trPr>
        <w:tc>
          <w:tcPr>
            <w:tcW w:w="2407" w:type="dxa"/>
            <w:shd w:val="clear" w:color="auto" w:fill="F2F2F2" w:themeFill="background1" w:themeFillShade="F2"/>
            <w:tcMar>
              <w:top w:w="57" w:type="dxa"/>
              <w:left w:w="57" w:type="dxa"/>
              <w:bottom w:w="57" w:type="dxa"/>
              <w:right w:w="57" w:type="dxa"/>
            </w:tcMar>
          </w:tcPr>
          <w:p w14:paraId="1C01AD9F" w14:textId="77777777" w:rsidR="00FF449E" w:rsidRDefault="00FF449E" w:rsidP="006C4214">
            <w:pPr>
              <w:pStyle w:val="TableBody"/>
              <w:rPr>
                <w:rFonts w:cs="Arial"/>
              </w:rPr>
            </w:pPr>
            <w:r>
              <w:rPr>
                <w:rFonts w:cs="Arial"/>
              </w:rPr>
              <w:t>Radiodetermination</w:t>
            </w:r>
          </w:p>
          <w:p w14:paraId="076E7020" w14:textId="7EB59F60" w:rsidR="00FF449E" w:rsidRDefault="00FF449E" w:rsidP="006C4214">
            <w:pPr>
              <w:pStyle w:val="TableBody"/>
              <w:rPr>
                <w:rFonts w:cs="Arial"/>
              </w:rPr>
            </w:pPr>
            <w:r>
              <w:rPr>
                <w:rFonts w:cs="Arial"/>
              </w:rPr>
              <w:t>(radiolocation services)</w:t>
            </w:r>
          </w:p>
        </w:tc>
        <w:tc>
          <w:tcPr>
            <w:tcW w:w="1128" w:type="dxa"/>
            <w:shd w:val="clear" w:color="auto" w:fill="F2F2F2" w:themeFill="background1" w:themeFillShade="F2"/>
            <w:tcMar>
              <w:top w:w="57" w:type="dxa"/>
              <w:left w:w="57" w:type="dxa"/>
              <w:bottom w:w="57" w:type="dxa"/>
              <w:right w:w="57" w:type="dxa"/>
            </w:tcMar>
          </w:tcPr>
          <w:p w14:paraId="32D03A6B" w14:textId="77777777" w:rsidR="00FF449E" w:rsidRDefault="00FF449E" w:rsidP="006C4214">
            <w:pPr>
              <w:pStyle w:val="TableBody"/>
              <w:jc w:val="center"/>
              <w:rPr>
                <w:rFonts w:cs="Arial"/>
              </w:rPr>
            </w:pPr>
            <w:r>
              <w:rPr>
                <w:rFonts w:cs="Arial"/>
              </w:rPr>
              <w:t>1</w:t>
            </w:r>
          </w:p>
        </w:tc>
        <w:tc>
          <w:tcPr>
            <w:tcW w:w="1424" w:type="dxa"/>
            <w:shd w:val="clear" w:color="auto" w:fill="F2F2F2" w:themeFill="background1" w:themeFillShade="F2"/>
            <w:tcMar>
              <w:top w:w="57" w:type="dxa"/>
              <w:left w:w="28" w:type="dxa"/>
              <w:bottom w:w="57" w:type="dxa"/>
              <w:right w:w="28" w:type="dxa"/>
            </w:tcMar>
          </w:tcPr>
          <w:p w14:paraId="795DD696" w14:textId="77777777" w:rsidR="00FF449E" w:rsidRDefault="00FF449E" w:rsidP="006C4214">
            <w:pPr>
              <w:pStyle w:val="TableBody"/>
              <w:jc w:val="center"/>
              <w:rPr>
                <w:rFonts w:cs="Arial"/>
              </w:rPr>
            </w:pPr>
            <w:r>
              <w:rPr>
                <w:rFonts w:cs="Arial"/>
              </w:rPr>
              <w:t>2</w:t>
            </w:r>
          </w:p>
        </w:tc>
        <w:tc>
          <w:tcPr>
            <w:tcW w:w="4536" w:type="dxa"/>
            <w:shd w:val="clear" w:color="auto" w:fill="F2F2F2" w:themeFill="background1" w:themeFillShade="F2"/>
            <w:tcMar>
              <w:top w:w="57" w:type="dxa"/>
              <w:left w:w="57" w:type="dxa"/>
              <w:bottom w:w="57" w:type="dxa"/>
              <w:right w:w="57" w:type="dxa"/>
            </w:tcMar>
          </w:tcPr>
          <w:p w14:paraId="1FFE2FC8" w14:textId="77777777" w:rsidR="00FF449E" w:rsidRDefault="00FF449E" w:rsidP="006C4214">
            <w:pPr>
              <w:pStyle w:val="TableBody"/>
              <w:rPr>
                <w:rFonts w:cs="Arial"/>
              </w:rPr>
            </w:pPr>
            <w:r>
              <w:rPr>
                <w:rFonts w:cs="Arial"/>
              </w:rPr>
              <w:t>Department of Defence (2)</w:t>
            </w:r>
          </w:p>
        </w:tc>
      </w:tr>
      <w:tr w:rsidR="00FF449E" w:rsidRPr="00A67371" w14:paraId="71420EE5" w14:textId="77777777" w:rsidTr="006C4214">
        <w:trPr>
          <w:cantSplit/>
          <w:tblHeader/>
        </w:trPr>
        <w:tc>
          <w:tcPr>
            <w:tcW w:w="2407" w:type="dxa"/>
            <w:shd w:val="clear" w:color="auto" w:fill="FFFFFF" w:themeFill="background1"/>
            <w:tcMar>
              <w:top w:w="57" w:type="dxa"/>
              <w:left w:w="57" w:type="dxa"/>
              <w:bottom w:w="57" w:type="dxa"/>
              <w:right w:w="57" w:type="dxa"/>
            </w:tcMar>
          </w:tcPr>
          <w:p w14:paraId="285D41A5" w14:textId="77777777" w:rsidR="00FF449E" w:rsidRPr="00A67371" w:rsidRDefault="00FF449E" w:rsidP="006C4214">
            <w:pPr>
              <w:pStyle w:val="TableBody"/>
              <w:rPr>
                <w:rFonts w:cs="Arial"/>
              </w:rPr>
            </w:pPr>
            <w:r>
              <w:rPr>
                <w:rFonts w:cs="Arial"/>
              </w:rPr>
              <w:t>Spectrum licence</w:t>
            </w:r>
          </w:p>
        </w:tc>
        <w:tc>
          <w:tcPr>
            <w:tcW w:w="1128" w:type="dxa"/>
            <w:shd w:val="clear" w:color="auto" w:fill="FFFFFF" w:themeFill="background1"/>
            <w:tcMar>
              <w:top w:w="57" w:type="dxa"/>
              <w:left w:w="57" w:type="dxa"/>
              <w:bottom w:w="57" w:type="dxa"/>
              <w:right w:w="57" w:type="dxa"/>
            </w:tcMar>
          </w:tcPr>
          <w:p w14:paraId="1CAC1F1A" w14:textId="77777777" w:rsidR="00FF449E" w:rsidRPr="00A67371" w:rsidRDefault="00FF449E" w:rsidP="006C4214">
            <w:pPr>
              <w:pStyle w:val="TableBody"/>
              <w:jc w:val="center"/>
              <w:rPr>
                <w:rFonts w:cs="Arial"/>
              </w:rPr>
            </w:pPr>
            <w:r>
              <w:rPr>
                <w:rFonts w:cs="Arial"/>
              </w:rPr>
              <w:t>3</w:t>
            </w:r>
          </w:p>
        </w:tc>
        <w:tc>
          <w:tcPr>
            <w:tcW w:w="1424" w:type="dxa"/>
            <w:shd w:val="clear" w:color="auto" w:fill="FFFFFF" w:themeFill="background1"/>
            <w:tcMar>
              <w:top w:w="57" w:type="dxa"/>
              <w:left w:w="28" w:type="dxa"/>
              <w:bottom w:w="57" w:type="dxa"/>
              <w:right w:w="28" w:type="dxa"/>
            </w:tcMar>
          </w:tcPr>
          <w:p w14:paraId="1231D8DA" w14:textId="77777777" w:rsidR="00FF449E" w:rsidRDefault="00FF449E" w:rsidP="006C4214">
            <w:pPr>
              <w:pStyle w:val="TableBody"/>
              <w:jc w:val="center"/>
              <w:rPr>
                <w:rFonts w:cs="Arial"/>
              </w:rPr>
            </w:pPr>
            <w:r>
              <w:rPr>
                <w:rFonts w:cs="Arial"/>
              </w:rPr>
              <w:t xml:space="preserve">7 </w:t>
            </w:r>
          </w:p>
          <w:p w14:paraId="1D58E3B6" w14:textId="77777777" w:rsidR="00FF449E" w:rsidRPr="00A67371" w:rsidRDefault="00FF449E" w:rsidP="006C4214">
            <w:pPr>
              <w:pStyle w:val="TableBody"/>
              <w:jc w:val="center"/>
              <w:rPr>
                <w:rFonts w:cs="Arial"/>
              </w:rPr>
            </w:pPr>
            <w:r>
              <w:rPr>
                <w:rFonts w:cs="Arial"/>
              </w:rPr>
              <w:t>(9,325 assignments)</w:t>
            </w:r>
          </w:p>
        </w:tc>
        <w:tc>
          <w:tcPr>
            <w:tcW w:w="4536" w:type="dxa"/>
            <w:shd w:val="clear" w:color="auto" w:fill="FFFFFF" w:themeFill="background1"/>
            <w:tcMar>
              <w:top w:w="57" w:type="dxa"/>
              <w:left w:w="57" w:type="dxa"/>
              <w:bottom w:w="57" w:type="dxa"/>
              <w:right w:w="57" w:type="dxa"/>
            </w:tcMar>
          </w:tcPr>
          <w:p w14:paraId="76247FA7" w14:textId="77777777" w:rsidR="00FF449E" w:rsidRPr="00A67371" w:rsidRDefault="00FF449E" w:rsidP="006C4214">
            <w:pPr>
              <w:pStyle w:val="TableBody"/>
              <w:rPr>
                <w:rFonts w:cs="Arial"/>
              </w:rPr>
            </w:pPr>
            <w:r>
              <w:rPr>
                <w:rFonts w:cs="Arial"/>
              </w:rPr>
              <w:t>NBN Co (3), Optus (2), Telstra (2)</w:t>
            </w:r>
          </w:p>
        </w:tc>
      </w:tr>
    </w:tbl>
    <w:p w14:paraId="21100746" w14:textId="77777777" w:rsidR="00FF449E" w:rsidRPr="004B50E1" w:rsidRDefault="00FF449E" w:rsidP="003C5923">
      <w:pPr>
        <w:pStyle w:val="Heading3"/>
      </w:pPr>
      <w:bookmarkStart w:id="142" w:name="_Toc5815507"/>
      <w:bookmarkStart w:id="143" w:name="_Toc5891699"/>
      <w:bookmarkStart w:id="144" w:name="_Toc6923134"/>
      <w:r>
        <w:lastRenderedPageBreak/>
        <w:t>Spectrum licences</w:t>
      </w:r>
      <w:bookmarkEnd w:id="142"/>
      <w:bookmarkEnd w:id="143"/>
      <w:bookmarkEnd w:id="144"/>
    </w:p>
    <w:p w14:paraId="7EF3C5B8" w14:textId="05036805" w:rsidR="00FF449E" w:rsidRPr="00581342" w:rsidRDefault="00FF449E" w:rsidP="00FF449E">
      <w:r w:rsidRPr="00581342">
        <w:t>Spectrum licensing was introduced into the 3400</w:t>
      </w:r>
      <w:r>
        <w:t>–</w:t>
      </w:r>
      <w:r w:rsidRPr="00581342">
        <w:t xml:space="preserve">3575 MHz band in the year 2000; with 100 MHz made available in metropolitan and </w:t>
      </w:r>
      <w:r>
        <w:t>m</w:t>
      </w:r>
      <w:r w:rsidRPr="00581342">
        <w:t xml:space="preserve">ajor regional centres and 65 MHz in regional areas. Optus, Telstra and NBN Co currently hold spectrum licences in the band. These were re-issued for 15 years in December 2015. </w:t>
      </w:r>
    </w:p>
    <w:p w14:paraId="68F51402" w14:textId="51A7FC72" w:rsidR="00FF449E" w:rsidRDefault="00FF449E" w:rsidP="00FF449E">
      <w:r>
        <w:t xml:space="preserve">The </w:t>
      </w:r>
      <w:r w:rsidR="00714F84">
        <w:t xml:space="preserve">spectrum licence </w:t>
      </w:r>
      <w:r>
        <w:t>arrangements were originally optimised for FDD wireless broadband use. This included FDD technologies that required a 50 MHz duplex split in the 3425</w:t>
      </w:r>
      <w:r w:rsidR="00864D13">
        <w:t>–</w:t>
      </w:r>
      <w:r>
        <w:t>3442.5 / 3475</w:t>
      </w:r>
      <w:r w:rsidR="00864D13">
        <w:t>–</w:t>
      </w:r>
      <w:r>
        <w:t>3492.5 MHz frequency ranges (2</w:t>
      </w:r>
      <w:r w:rsidR="00864D13">
        <w:t xml:space="preserve"> </w:t>
      </w:r>
      <w:r>
        <w:t>x</w:t>
      </w:r>
      <w:r w:rsidR="00864D13">
        <w:t xml:space="preserve"> </w:t>
      </w:r>
      <w:r>
        <w:t>17.5 MHz) and FDD technologies that required a 100 MHz duplex split in the 3442.5</w:t>
      </w:r>
      <w:r w:rsidR="00864D13">
        <w:t>–</w:t>
      </w:r>
      <w:r>
        <w:t>3475 / 3542.5</w:t>
      </w:r>
      <w:r w:rsidR="00CC33F4">
        <w:t>–</w:t>
      </w:r>
      <w:r>
        <w:t xml:space="preserve">3575 MHz frequency range (2 x 32.5 MHz). These arrangements were optimised for TDD technologies as part of the 3.4 GHz spectrum licence </w:t>
      </w:r>
      <w:r w:rsidR="00124BDA">
        <w:t xml:space="preserve">re-issue </w:t>
      </w:r>
      <w:r>
        <w:t>process in 2015.</w:t>
      </w:r>
    </w:p>
    <w:p w14:paraId="1D0D8DC9" w14:textId="77777777" w:rsidR="00FF449E" w:rsidRPr="004B50E1" w:rsidRDefault="00FF449E" w:rsidP="00FF449E">
      <w:pPr>
        <w:pStyle w:val="Heading3"/>
      </w:pPr>
      <w:bookmarkStart w:id="145" w:name="_Toc5815508"/>
      <w:bookmarkStart w:id="146" w:name="_Toc5891700"/>
      <w:bookmarkStart w:id="147" w:name="_Toc6923135"/>
      <w:r>
        <w:t>Point-to-multipoint (</w:t>
      </w:r>
      <w:r w:rsidRPr="001707B9">
        <w:t>PMP</w:t>
      </w:r>
      <w:r>
        <w:t>) Services</w:t>
      </w:r>
      <w:bookmarkEnd w:id="145"/>
      <w:bookmarkEnd w:id="146"/>
      <w:bookmarkEnd w:id="147"/>
    </w:p>
    <w:p w14:paraId="2C051191" w14:textId="1F24A3EF" w:rsidR="00FF449E" w:rsidRDefault="00FF449E" w:rsidP="00FF449E">
      <w:r w:rsidRPr="0075280B">
        <w:t>Site based PMP apparatus licensing arrangements in the 3425</w:t>
      </w:r>
      <w:r>
        <w:t>–</w:t>
      </w:r>
      <w:r w:rsidRPr="0075280B">
        <w:t xml:space="preserve">3442.5 </w:t>
      </w:r>
      <w:r>
        <w:t>MHz and</w:t>
      </w:r>
      <w:r w:rsidRPr="0075280B">
        <w:t xml:space="preserve"> 3475</w:t>
      </w:r>
      <w:r>
        <w:t>–</w:t>
      </w:r>
      <w:r w:rsidRPr="0075280B">
        <w:t>3492.5 MHz frequency range</w:t>
      </w:r>
      <w:r>
        <w:t>s</w:t>
      </w:r>
      <w:r w:rsidRPr="0075280B">
        <w:t xml:space="preserve"> were </w:t>
      </w:r>
      <w:r>
        <w:t xml:space="preserve">put in place </w:t>
      </w:r>
      <w:r w:rsidRPr="0075280B">
        <w:t>in the late 90s</w:t>
      </w:r>
      <w:r>
        <w:t>. These arrangements cover</w:t>
      </w:r>
      <w:r w:rsidRPr="0075280B">
        <w:t xml:space="preserve"> regional and remote areas. </w:t>
      </w:r>
      <w:r>
        <w:t xml:space="preserve">PMP licences </w:t>
      </w:r>
      <w:r w:rsidRPr="0075280B">
        <w:t xml:space="preserve">are typically used by </w:t>
      </w:r>
      <w:r>
        <w:t>WISPs, local councils,</w:t>
      </w:r>
      <w:r w:rsidRPr="0075280B">
        <w:t xml:space="preserve"> mining companies</w:t>
      </w:r>
      <w:r>
        <w:t xml:space="preserve"> and other localised wireless broadband operators</w:t>
      </w:r>
      <w:r w:rsidRPr="0075280B">
        <w:t>.</w:t>
      </w:r>
      <w:r>
        <w:t xml:space="preserve"> These arrangements were originally optimised for FDD wireless broadband systems operating in integer multiples of 1.75 MHz bandwidths. </w:t>
      </w:r>
    </w:p>
    <w:p w14:paraId="597FAE55" w14:textId="77777777" w:rsidR="00FF449E" w:rsidRPr="004B50E1" w:rsidRDefault="00FF449E" w:rsidP="00FF449E">
      <w:pPr>
        <w:pStyle w:val="Heading3"/>
      </w:pPr>
      <w:bookmarkStart w:id="148" w:name="_Toc5815509"/>
      <w:bookmarkStart w:id="149" w:name="_Toc5891701"/>
      <w:bookmarkStart w:id="150" w:name="_Toc6923136"/>
      <w:r>
        <w:t>Public Telecommunications Services (PTS)</w:t>
      </w:r>
      <w:bookmarkEnd w:id="148"/>
      <w:bookmarkEnd w:id="149"/>
      <w:bookmarkEnd w:id="150"/>
    </w:p>
    <w:p w14:paraId="124FD7BC" w14:textId="4D8B0AEE" w:rsidR="00FF449E" w:rsidRDefault="00FF449E" w:rsidP="00FF449E">
      <w:pPr>
        <w:rPr>
          <w:rFonts w:cs="Arial"/>
        </w:rPr>
      </w:pPr>
      <w:r>
        <w:rPr>
          <w:rFonts w:cs="Arial"/>
        </w:rPr>
        <w:t xml:space="preserve">In October 2014, the </w:t>
      </w:r>
      <w:r w:rsidR="006C5CDE">
        <w:rPr>
          <w:rFonts w:cs="Arial"/>
        </w:rPr>
        <w:t>m</w:t>
      </w:r>
      <w:r>
        <w:rPr>
          <w:rFonts w:cs="Arial"/>
        </w:rPr>
        <w:t xml:space="preserve">inister made the </w:t>
      </w:r>
      <w:hyperlink r:id="rId88" w:history="1">
        <w:r w:rsidRPr="00AA1589">
          <w:rPr>
            <w:rStyle w:val="Hyperlink"/>
            <w:rFonts w:cs="Arial"/>
            <w:i/>
          </w:rPr>
          <w:t xml:space="preserve">Australian Communications and Media Authority (3.5 GHz frequency band) </w:t>
        </w:r>
        <w:r w:rsidR="007752C5">
          <w:rPr>
            <w:rStyle w:val="Hyperlink"/>
            <w:rFonts w:cs="Arial"/>
            <w:i/>
          </w:rPr>
          <w:t>D</w:t>
        </w:r>
        <w:r w:rsidRPr="00AA1589">
          <w:rPr>
            <w:rStyle w:val="Hyperlink"/>
            <w:rFonts w:cs="Arial"/>
            <w:i/>
          </w:rPr>
          <w:t>irection 2014</w:t>
        </w:r>
      </w:hyperlink>
      <w:r>
        <w:rPr>
          <w:rFonts w:cs="Arial"/>
        </w:rPr>
        <w:t xml:space="preserve">. This direction required the ACMA to make 75 MHz of spectrum in the 3400–3425 MHz and 3492.5–3542.5 MHz frequency ranges available </w:t>
      </w:r>
      <w:r w:rsidRPr="00AA1589">
        <w:rPr>
          <w:rFonts w:cs="Arial"/>
        </w:rPr>
        <w:t>for the National Broadband Network via apparatus licence arrangements.</w:t>
      </w:r>
      <w:r>
        <w:rPr>
          <w:rFonts w:cs="Arial"/>
        </w:rPr>
        <w:t xml:space="preserve"> </w:t>
      </w:r>
      <w:r w:rsidRPr="00DA551E">
        <w:rPr>
          <w:rFonts w:cs="Arial"/>
        </w:rPr>
        <w:t xml:space="preserve">The intent of the </w:t>
      </w:r>
      <w:r>
        <w:rPr>
          <w:rFonts w:cs="Arial"/>
        </w:rPr>
        <w:t xml:space="preserve">2014 Ministerial direction </w:t>
      </w:r>
      <w:r w:rsidRPr="00DA551E">
        <w:rPr>
          <w:rFonts w:cs="Arial"/>
        </w:rPr>
        <w:t xml:space="preserve">was to </w:t>
      </w:r>
      <w:r>
        <w:rPr>
          <w:rFonts w:cs="Arial"/>
        </w:rPr>
        <w:t xml:space="preserve">make spectrum available for use by NBN Co </w:t>
      </w:r>
      <w:r w:rsidRPr="00DA551E">
        <w:rPr>
          <w:rFonts w:cs="Arial"/>
        </w:rPr>
        <w:t xml:space="preserve">in areas where they </w:t>
      </w:r>
      <w:r>
        <w:rPr>
          <w:rFonts w:cs="Arial"/>
        </w:rPr>
        <w:t xml:space="preserve">either </w:t>
      </w:r>
      <w:r w:rsidRPr="00DA551E">
        <w:rPr>
          <w:rFonts w:cs="Arial"/>
        </w:rPr>
        <w:t>did not have spectrum or were limited in using existing holdings (e.g. due to technical restrictions that limit the levels of emissions leaving their licence area).</w:t>
      </w:r>
    </w:p>
    <w:p w14:paraId="1C140D82" w14:textId="6A2F2A32" w:rsidR="00FF449E" w:rsidRDefault="00FF449E" w:rsidP="00FF449E">
      <w:pPr>
        <w:rPr>
          <w:rFonts w:cs="Arial"/>
        </w:rPr>
      </w:pPr>
      <w:r>
        <w:rPr>
          <w:rFonts w:cs="Arial"/>
        </w:rPr>
        <w:t xml:space="preserve">As a result of the 2014 Ministerial direction, NBN Co was issued with PTS licences covering </w:t>
      </w:r>
      <w:r w:rsidRPr="00AA1589">
        <w:rPr>
          <w:rFonts w:cs="Arial"/>
        </w:rPr>
        <w:t xml:space="preserve">Adelaide, Brisbane, Canberra, Melbourne, Perth and Sydney as well as the </w:t>
      </w:r>
      <w:r>
        <w:rPr>
          <w:rFonts w:cs="Arial"/>
        </w:rPr>
        <w:t xml:space="preserve">some of the </w:t>
      </w:r>
      <w:r w:rsidRPr="005450A7">
        <w:rPr>
          <w:rFonts w:cs="Arial"/>
        </w:rPr>
        <w:t xml:space="preserve">surrounding regional areas. The areas covered by NBN Co’s PTS licences are defined in </w:t>
      </w:r>
      <w:r w:rsidRPr="003C5923">
        <w:rPr>
          <w:rFonts w:cs="Arial"/>
        </w:rPr>
        <w:t>Appendix B</w:t>
      </w:r>
      <w:r w:rsidRPr="005450A7">
        <w:rPr>
          <w:rFonts w:cs="Arial"/>
        </w:rPr>
        <w:t>.</w:t>
      </w:r>
      <w:r>
        <w:rPr>
          <w:rFonts w:cs="Arial"/>
        </w:rPr>
        <w:t xml:space="preserve"> </w:t>
      </w:r>
      <w:r w:rsidRPr="00AA1589">
        <w:rPr>
          <w:rFonts w:cs="Arial"/>
        </w:rPr>
        <w:t xml:space="preserve"> </w:t>
      </w:r>
      <w:r>
        <w:rPr>
          <w:rFonts w:cs="Arial"/>
        </w:rPr>
        <w:t xml:space="preserve"> </w:t>
      </w:r>
    </w:p>
    <w:p w14:paraId="4856EF45" w14:textId="77777777" w:rsidR="00FF449E" w:rsidRPr="004B50E1" w:rsidRDefault="00FF449E" w:rsidP="00FF449E">
      <w:pPr>
        <w:pStyle w:val="Heading3"/>
      </w:pPr>
      <w:bookmarkStart w:id="151" w:name="_Toc5815510"/>
      <w:bookmarkStart w:id="152" w:name="_Toc5891702"/>
      <w:bookmarkStart w:id="153" w:name="_Toc6923137"/>
      <w:r w:rsidRPr="001707B9">
        <w:t>Fixed</w:t>
      </w:r>
      <w:r w:rsidRPr="004B50E1">
        <w:t>-satellite service (FSS)</w:t>
      </w:r>
      <w:bookmarkEnd w:id="151"/>
      <w:bookmarkEnd w:id="152"/>
      <w:bookmarkEnd w:id="153"/>
    </w:p>
    <w:p w14:paraId="4A260900" w14:textId="2E72A2EC" w:rsidR="00FF449E" w:rsidRPr="004B50E1" w:rsidRDefault="00FF449E" w:rsidP="00FF449E">
      <w:r w:rsidRPr="004B50E1">
        <w:t>In Australia, FSS is a secondary service in the 3400</w:t>
      </w:r>
      <w:r>
        <w:t>–</w:t>
      </w:r>
      <w:r w:rsidRPr="004B50E1">
        <w:t>3600 MHz band. Currently there is only one earth station licensed in the band</w:t>
      </w:r>
      <w:r w:rsidR="00B71E4E">
        <w:t>. This is</w:t>
      </w:r>
      <w:r w:rsidRPr="004B50E1">
        <w:t xml:space="preserve"> operated by Lockheed-Martin. </w:t>
      </w:r>
    </w:p>
    <w:p w14:paraId="30342429" w14:textId="253E55FB" w:rsidR="00FF449E" w:rsidRPr="004B50E1" w:rsidRDefault="00FF449E" w:rsidP="00FF449E">
      <w:r w:rsidRPr="004B50E1">
        <w:t>The earth station is located at the Uralla Earth station protection zone (ESPZ) defined in RALI MS44. At present no part of the 3400</w:t>
      </w:r>
      <w:r>
        <w:t>–</w:t>
      </w:r>
      <w:r w:rsidRPr="004B50E1">
        <w:t xml:space="preserve">3575 MHz band is included in the frequencies covered </w:t>
      </w:r>
      <w:r w:rsidR="00B71E4E">
        <w:t>by</w:t>
      </w:r>
      <w:r w:rsidRPr="004B50E1">
        <w:t xml:space="preserve"> this ESPZ. </w:t>
      </w:r>
    </w:p>
    <w:p w14:paraId="5B5C0698" w14:textId="77777777" w:rsidR="00FF449E" w:rsidRPr="004B50E1" w:rsidRDefault="00FF449E" w:rsidP="00FF449E">
      <w:pPr>
        <w:pStyle w:val="Heading3"/>
      </w:pPr>
      <w:bookmarkStart w:id="154" w:name="_Toc5815511"/>
      <w:bookmarkStart w:id="155" w:name="_Toc5891703"/>
      <w:bookmarkStart w:id="156" w:name="_Toc6923138"/>
      <w:r w:rsidRPr="004B50E1">
        <w:t>Amateur</w:t>
      </w:r>
      <w:r>
        <w:t xml:space="preserve"> services</w:t>
      </w:r>
      <w:bookmarkEnd w:id="154"/>
      <w:bookmarkEnd w:id="155"/>
      <w:bookmarkEnd w:id="156"/>
    </w:p>
    <w:p w14:paraId="7475DCEB" w14:textId="529648FE" w:rsidR="00FF449E" w:rsidRPr="004B50E1" w:rsidRDefault="00FF449E" w:rsidP="00FF449E">
      <w:r w:rsidRPr="004B50E1">
        <w:t xml:space="preserve">Amateur services have a secondary allocation in the 3300–3600 MHz band under the Australian </w:t>
      </w:r>
      <w:r>
        <w:t>r</w:t>
      </w:r>
      <w:r w:rsidRPr="004B50E1">
        <w:t xml:space="preserve">adiofrequency </w:t>
      </w:r>
      <w:r>
        <w:t>s</w:t>
      </w:r>
      <w:r w:rsidRPr="004B50E1">
        <w:t xml:space="preserve">pectrum </w:t>
      </w:r>
      <w:r>
        <w:t>p</w:t>
      </w:r>
      <w:r w:rsidRPr="004B50E1">
        <w:t xml:space="preserve">lan. Use of the 3300–3600 MHz band is in accordance with the </w:t>
      </w:r>
      <w:hyperlink r:id="rId89" w:history="1">
        <w:r w:rsidRPr="004B50E1">
          <w:rPr>
            <w:rStyle w:val="Hyperlink"/>
            <w:rFonts w:cs="Arial"/>
            <w:i/>
          </w:rPr>
          <w:t xml:space="preserve">Australian </w:t>
        </w:r>
        <w:r>
          <w:rPr>
            <w:rStyle w:val="Hyperlink"/>
            <w:rFonts w:cs="Arial"/>
            <w:i/>
          </w:rPr>
          <w:t>a</w:t>
        </w:r>
        <w:r w:rsidRPr="004B50E1">
          <w:rPr>
            <w:rStyle w:val="Hyperlink"/>
            <w:rFonts w:cs="Arial"/>
            <w:i/>
          </w:rPr>
          <w:t xml:space="preserve">mateur </w:t>
        </w:r>
        <w:r>
          <w:rPr>
            <w:rStyle w:val="Hyperlink"/>
            <w:rFonts w:cs="Arial"/>
            <w:i/>
          </w:rPr>
          <w:t>b</w:t>
        </w:r>
        <w:r w:rsidRPr="004B50E1">
          <w:rPr>
            <w:rStyle w:val="Hyperlink"/>
            <w:rFonts w:cs="Arial"/>
            <w:i/>
          </w:rPr>
          <w:t xml:space="preserve">and </w:t>
        </w:r>
        <w:r>
          <w:rPr>
            <w:rStyle w:val="Hyperlink"/>
            <w:rFonts w:cs="Arial"/>
            <w:i/>
          </w:rPr>
          <w:t>p</w:t>
        </w:r>
        <w:r w:rsidRPr="004B50E1">
          <w:rPr>
            <w:rStyle w:val="Hyperlink"/>
            <w:rFonts w:cs="Arial"/>
            <w:i/>
          </w:rPr>
          <w:t>lans</w:t>
        </w:r>
      </w:hyperlink>
      <w:r w:rsidRPr="004B50E1">
        <w:t xml:space="preserve">.  </w:t>
      </w:r>
    </w:p>
    <w:p w14:paraId="68A90C32" w14:textId="77777777" w:rsidR="00FF449E" w:rsidRPr="004B50E1" w:rsidRDefault="00FF449E" w:rsidP="003C5923">
      <w:pPr>
        <w:pStyle w:val="Heading3"/>
        <w:keepNext w:val="0"/>
      </w:pPr>
      <w:bookmarkStart w:id="157" w:name="_Toc5815512"/>
      <w:bookmarkStart w:id="158" w:name="_Toc5891704"/>
      <w:bookmarkStart w:id="159" w:name="_Toc6923139"/>
      <w:r w:rsidRPr="004B50E1">
        <w:t>Radiolocation</w:t>
      </w:r>
      <w:r>
        <w:t xml:space="preserve"> services</w:t>
      </w:r>
      <w:bookmarkEnd w:id="157"/>
      <w:bookmarkEnd w:id="158"/>
      <w:bookmarkEnd w:id="159"/>
    </w:p>
    <w:p w14:paraId="3845B880" w14:textId="1249C7FB" w:rsidR="00FF449E" w:rsidRPr="004B50E1" w:rsidRDefault="00FF449E" w:rsidP="003C5923">
      <w:pPr>
        <w:spacing w:after="120"/>
        <w:rPr>
          <w:rFonts w:cs="Arial"/>
        </w:rPr>
      </w:pPr>
      <w:r w:rsidRPr="004B50E1">
        <w:rPr>
          <w:rFonts w:cs="Arial"/>
        </w:rPr>
        <w:t>There is a primary allocation to the radiolocation service in Australia under the ARSP, which is in the 3400–3600 MHz band. Currently there are two licence issued in the 3400</w:t>
      </w:r>
      <w:r>
        <w:rPr>
          <w:rFonts w:cs="Arial"/>
        </w:rPr>
        <w:t>–</w:t>
      </w:r>
      <w:r w:rsidRPr="004B50E1">
        <w:rPr>
          <w:rFonts w:cs="Arial"/>
        </w:rPr>
        <w:t>3500 MHz frequency range to the Department of Defence. These licences authorise use in Australian waters as well as some regional and remote areas.</w:t>
      </w:r>
    </w:p>
    <w:p w14:paraId="65C3D446" w14:textId="77777777" w:rsidR="00FF449E" w:rsidRPr="004B50E1" w:rsidRDefault="00FF449E" w:rsidP="003C5923">
      <w:pPr>
        <w:pStyle w:val="Heading3"/>
        <w:keepLines/>
      </w:pPr>
      <w:bookmarkStart w:id="160" w:name="_Toc5815513"/>
      <w:bookmarkStart w:id="161" w:name="_Toc5891705"/>
      <w:bookmarkStart w:id="162" w:name="_Toc6923140"/>
      <w:r w:rsidRPr="004B50E1">
        <w:lastRenderedPageBreak/>
        <w:t>Low interference potential devices</w:t>
      </w:r>
      <w:bookmarkEnd w:id="160"/>
      <w:bookmarkEnd w:id="161"/>
      <w:bookmarkEnd w:id="162"/>
    </w:p>
    <w:p w14:paraId="24B3701A" w14:textId="1CF2F72C" w:rsidR="00FF449E" w:rsidRPr="004B50E1" w:rsidRDefault="00FF449E" w:rsidP="00984DF2">
      <w:pPr>
        <w:keepNext/>
        <w:keepLines/>
        <w:spacing w:after="80" w:line="80" w:lineRule="atLeast"/>
      </w:pPr>
      <w:r w:rsidRPr="004B50E1">
        <w:t xml:space="preserve">The </w:t>
      </w:r>
      <w:hyperlink r:id="rId90" w:history="1">
        <w:r w:rsidRPr="00864CBE">
          <w:rPr>
            <w:rStyle w:val="Hyperlink"/>
            <w:i/>
          </w:rPr>
          <w:t>Radiocommunications (</w:t>
        </w:r>
        <w:r w:rsidR="007752C5">
          <w:rPr>
            <w:rStyle w:val="Hyperlink"/>
            <w:i/>
          </w:rPr>
          <w:t>L</w:t>
        </w:r>
        <w:r w:rsidRPr="00864CBE">
          <w:rPr>
            <w:rStyle w:val="Hyperlink"/>
            <w:i/>
          </w:rPr>
          <w:t xml:space="preserve">ow </w:t>
        </w:r>
        <w:r w:rsidR="007752C5">
          <w:rPr>
            <w:rStyle w:val="Hyperlink"/>
            <w:i/>
          </w:rPr>
          <w:t>I</w:t>
        </w:r>
        <w:r w:rsidRPr="00864CBE">
          <w:rPr>
            <w:rStyle w:val="Hyperlink"/>
            <w:i/>
          </w:rPr>
          <w:t xml:space="preserve">nterference </w:t>
        </w:r>
        <w:r w:rsidR="007752C5">
          <w:rPr>
            <w:rStyle w:val="Hyperlink"/>
            <w:i/>
          </w:rPr>
          <w:t>P</w:t>
        </w:r>
        <w:r w:rsidRPr="00864CBE">
          <w:rPr>
            <w:rStyle w:val="Hyperlink"/>
            <w:i/>
          </w:rPr>
          <w:t xml:space="preserve">otential </w:t>
        </w:r>
        <w:r w:rsidR="007752C5">
          <w:rPr>
            <w:rStyle w:val="Hyperlink"/>
            <w:i/>
          </w:rPr>
          <w:t>D</w:t>
        </w:r>
        <w:r w:rsidRPr="00864CBE">
          <w:rPr>
            <w:rStyle w:val="Hyperlink"/>
            <w:i/>
          </w:rPr>
          <w:t xml:space="preserve">evices) </w:t>
        </w:r>
        <w:r w:rsidR="007752C5">
          <w:rPr>
            <w:rStyle w:val="Hyperlink"/>
            <w:i/>
          </w:rPr>
          <w:t>C</w:t>
        </w:r>
        <w:r w:rsidRPr="00864CBE">
          <w:rPr>
            <w:rStyle w:val="Hyperlink"/>
            <w:i/>
          </w:rPr>
          <w:t xml:space="preserve">lass </w:t>
        </w:r>
        <w:r w:rsidR="007752C5">
          <w:rPr>
            <w:rStyle w:val="Hyperlink"/>
            <w:i/>
          </w:rPr>
          <w:t>L</w:t>
        </w:r>
        <w:r w:rsidRPr="00864CBE">
          <w:rPr>
            <w:rStyle w:val="Hyperlink"/>
            <w:i/>
          </w:rPr>
          <w:t>icence 2015</w:t>
        </w:r>
      </w:hyperlink>
      <w:r w:rsidRPr="004B50E1">
        <w:t xml:space="preserve"> defines arrangements for the following devices to operate across the 3.6 GHz band:</w:t>
      </w:r>
    </w:p>
    <w:p w14:paraId="12E053CA" w14:textId="5883CEE5" w:rsidR="00FF449E" w:rsidRDefault="00FF449E" w:rsidP="003C5923">
      <w:pPr>
        <w:pStyle w:val="ListParagraph"/>
        <w:keepNext/>
        <w:keepLines/>
        <w:numPr>
          <w:ilvl w:val="0"/>
          <w:numId w:val="45"/>
        </w:numPr>
        <w:spacing w:after="80" w:line="80" w:lineRule="atLeast"/>
        <w:ind w:left="357" w:hanging="357"/>
        <w:contextualSpacing w:val="0"/>
        <w:rPr>
          <w:rFonts w:cs="Arial"/>
        </w:rPr>
      </w:pPr>
      <w:r w:rsidRPr="00887F46">
        <w:rPr>
          <w:rFonts w:cs="Arial"/>
        </w:rPr>
        <w:t>building material analysis transmitters operating in the 2200</w:t>
      </w:r>
      <w:r>
        <w:rPr>
          <w:rFonts w:cs="Arial"/>
        </w:rPr>
        <w:t>–</w:t>
      </w:r>
      <w:r w:rsidRPr="00887F46">
        <w:rPr>
          <w:rFonts w:cs="Arial"/>
        </w:rPr>
        <w:t xml:space="preserve">8500 MHz band </w:t>
      </w:r>
    </w:p>
    <w:p w14:paraId="42FB24A7" w14:textId="77777777" w:rsidR="00FF449E" w:rsidRPr="00887F46" w:rsidRDefault="00FF449E" w:rsidP="003C5923">
      <w:pPr>
        <w:pStyle w:val="ListParagraph"/>
        <w:keepNext/>
        <w:keepLines/>
        <w:numPr>
          <w:ilvl w:val="0"/>
          <w:numId w:val="45"/>
        </w:numPr>
        <w:ind w:left="357" w:hanging="357"/>
        <w:contextualSpacing w:val="0"/>
        <w:rPr>
          <w:rFonts w:cs="Arial"/>
        </w:rPr>
      </w:pPr>
      <w:r w:rsidRPr="00887F46">
        <w:rPr>
          <w:rFonts w:cs="Arial"/>
        </w:rPr>
        <w:t>ultra-wideband transmitters operating in the 3400–4800 MHz band.</w:t>
      </w:r>
    </w:p>
    <w:p w14:paraId="37BA0451" w14:textId="77777777" w:rsidR="00FF449E" w:rsidRPr="002B06BF" w:rsidRDefault="00FF449E" w:rsidP="00FF449E">
      <w:pPr>
        <w:pStyle w:val="Heading3"/>
      </w:pPr>
      <w:bookmarkStart w:id="163" w:name="_Toc479846995"/>
      <w:bookmarkStart w:id="164" w:name="_Toc482872343"/>
      <w:bookmarkStart w:id="165" w:name="_Toc482886637"/>
      <w:bookmarkStart w:id="166" w:name="_Toc482888978"/>
      <w:bookmarkStart w:id="167" w:name="_Toc482891249"/>
      <w:bookmarkStart w:id="168" w:name="_Toc482891316"/>
      <w:bookmarkStart w:id="169" w:name="_Toc5815514"/>
      <w:bookmarkStart w:id="170" w:name="_Toc5891706"/>
      <w:bookmarkStart w:id="171" w:name="_Toc6923141"/>
      <w:r w:rsidRPr="00A67371">
        <w:t>Embargo</w:t>
      </w:r>
      <w:r w:rsidRPr="002B06BF">
        <w:t>es</w:t>
      </w:r>
      <w:bookmarkEnd w:id="163"/>
      <w:bookmarkEnd w:id="164"/>
      <w:bookmarkEnd w:id="165"/>
      <w:bookmarkEnd w:id="166"/>
      <w:bookmarkEnd w:id="167"/>
      <w:bookmarkEnd w:id="168"/>
      <w:bookmarkEnd w:id="169"/>
      <w:bookmarkEnd w:id="170"/>
      <w:bookmarkEnd w:id="171"/>
    </w:p>
    <w:p w14:paraId="7644759C" w14:textId="77777777" w:rsidR="00FF449E" w:rsidRPr="00A67371" w:rsidRDefault="00FF449E" w:rsidP="003C5923">
      <w:pPr>
        <w:spacing w:after="80" w:line="80" w:lineRule="atLeast"/>
        <w:rPr>
          <w:rFonts w:cs="Arial"/>
        </w:rPr>
      </w:pPr>
      <w:r w:rsidRPr="00A67371">
        <w:rPr>
          <w:rFonts w:cs="Arial"/>
        </w:rPr>
        <w:t xml:space="preserve">There are four embargoes currently in </w:t>
      </w:r>
      <w:r>
        <w:rPr>
          <w:rFonts w:cs="Arial"/>
        </w:rPr>
        <w:t>place</w:t>
      </w:r>
      <w:r w:rsidRPr="00A67371">
        <w:rPr>
          <w:rFonts w:cs="Arial"/>
        </w:rPr>
        <w:t xml:space="preserve"> that cover all or part of the 3.6</w:t>
      </w:r>
      <w:r>
        <w:rPr>
          <w:rFonts w:cs="Arial"/>
        </w:rPr>
        <w:t> GHz</w:t>
      </w:r>
      <w:r w:rsidRPr="00A67371">
        <w:rPr>
          <w:rFonts w:cs="Arial"/>
        </w:rPr>
        <w:t xml:space="preserve"> band</w:t>
      </w:r>
      <w:r>
        <w:rPr>
          <w:rFonts w:cs="Arial"/>
        </w:rPr>
        <w:t xml:space="preserve"> in specified areas</w:t>
      </w:r>
      <w:r w:rsidRPr="00A67371">
        <w:rPr>
          <w:rFonts w:cs="Arial"/>
        </w:rPr>
        <w:t>:</w:t>
      </w:r>
    </w:p>
    <w:p w14:paraId="3B60C7E0" w14:textId="77777777" w:rsidR="00FF449E" w:rsidRPr="00887F46" w:rsidRDefault="00E87AA7" w:rsidP="003C5923">
      <w:pPr>
        <w:pStyle w:val="ListParagraph"/>
        <w:numPr>
          <w:ilvl w:val="0"/>
          <w:numId w:val="45"/>
        </w:numPr>
        <w:spacing w:after="80" w:line="80" w:lineRule="atLeast"/>
        <w:ind w:left="357"/>
        <w:contextualSpacing w:val="0"/>
        <w:rPr>
          <w:rFonts w:cs="Arial"/>
        </w:rPr>
      </w:pPr>
      <w:hyperlink r:id="rId91" w:history="1">
        <w:r w:rsidR="00FF449E" w:rsidRPr="00887F46">
          <w:rPr>
            <w:rStyle w:val="Hyperlink"/>
            <w:rFonts w:cs="Arial"/>
          </w:rPr>
          <w:t>Embargo 41</w:t>
        </w:r>
      </w:hyperlink>
      <w:r w:rsidR="00FF449E" w:rsidRPr="00887F46">
        <w:rPr>
          <w:rFonts w:cs="Arial"/>
        </w:rPr>
        <w:t>—covers the 70 MHz–25.25 GHz band. It was established to create a radio quiet zone near Boolardy Station in Western Australia to facilitate the development and use of new radio astronomy technologies.</w:t>
      </w:r>
    </w:p>
    <w:p w14:paraId="0AE0ACED" w14:textId="77777777" w:rsidR="00FF449E" w:rsidRPr="00887F46" w:rsidRDefault="00E87AA7" w:rsidP="003C5923">
      <w:pPr>
        <w:pStyle w:val="ListParagraph"/>
        <w:numPr>
          <w:ilvl w:val="0"/>
          <w:numId w:val="45"/>
        </w:numPr>
        <w:spacing w:after="80"/>
        <w:ind w:left="357"/>
        <w:contextualSpacing w:val="0"/>
        <w:rPr>
          <w:rFonts w:cs="Arial"/>
        </w:rPr>
      </w:pPr>
      <w:hyperlink r:id="rId92" w:history="1">
        <w:r w:rsidR="00FF449E" w:rsidRPr="00887F46">
          <w:rPr>
            <w:rStyle w:val="Hyperlink"/>
            <w:rFonts w:cs="Arial"/>
          </w:rPr>
          <w:t>Embargo 49</w:t>
        </w:r>
      </w:hyperlink>
      <w:r w:rsidR="00FF449E" w:rsidRPr="00887F46">
        <w:rPr>
          <w:rFonts w:cs="Arial"/>
        </w:rPr>
        <w:t>—covers numerous bands used by satellite, space research and radio astronomy services. This includes the 3400–4200 MHz band. The embargo limits the deployment of services other than satellite, space research and radio astronomy services operating in the 3400–4200 MHz band, within 150 kilometres of a location near Mingenew in Western Australia.</w:t>
      </w:r>
    </w:p>
    <w:p w14:paraId="6856BDB0" w14:textId="77777777" w:rsidR="00FF449E" w:rsidRDefault="00E87AA7" w:rsidP="003C5923">
      <w:pPr>
        <w:pStyle w:val="ListParagraph"/>
        <w:numPr>
          <w:ilvl w:val="0"/>
          <w:numId w:val="45"/>
        </w:numPr>
        <w:spacing w:after="80"/>
        <w:ind w:left="357"/>
        <w:contextualSpacing w:val="0"/>
        <w:rPr>
          <w:rFonts w:cs="Arial"/>
        </w:rPr>
      </w:pPr>
      <w:hyperlink r:id="rId93" w:history="1">
        <w:r w:rsidR="00FF449E" w:rsidRPr="00887F46">
          <w:rPr>
            <w:rStyle w:val="Hyperlink"/>
            <w:rFonts w:cs="Arial"/>
          </w:rPr>
          <w:t>Embargo 52</w:t>
        </w:r>
      </w:hyperlink>
      <w:r w:rsidR="00FF449E" w:rsidRPr="00887F46">
        <w:rPr>
          <w:rFonts w:cs="Arial"/>
        </w:rPr>
        <w:t>—covers the 3400–3575 MHz and 3600–3700 MHz bands within the Woomera Prohibited Area (WPA). It was created to facilitate the ongoing use of the WPA by the Department of Defence.</w:t>
      </w:r>
    </w:p>
    <w:p w14:paraId="4549E988" w14:textId="77777777" w:rsidR="00FF449E" w:rsidRPr="00887F46" w:rsidRDefault="00FF449E" w:rsidP="003C5923">
      <w:pPr>
        <w:pStyle w:val="ListParagraph"/>
        <w:spacing w:after="80"/>
        <w:ind w:left="357"/>
        <w:contextualSpacing w:val="0"/>
        <w:rPr>
          <w:rFonts w:cs="Arial"/>
        </w:rPr>
      </w:pPr>
    </w:p>
    <w:p w14:paraId="3F90E0D8" w14:textId="77777777" w:rsidR="00FF449E" w:rsidRPr="004B50E1" w:rsidRDefault="00FF449E" w:rsidP="00FF449E">
      <w:pPr>
        <w:pStyle w:val="ListBulletLast"/>
        <w:ind w:left="295" w:hanging="295"/>
      </w:pPr>
    </w:p>
    <w:p w14:paraId="340EA186" w14:textId="188BA9DA" w:rsidR="00FF449E" w:rsidRPr="00112FF6" w:rsidRDefault="00FF449E" w:rsidP="00FF449E">
      <w:pPr>
        <w:pStyle w:val="Heading1"/>
      </w:pPr>
      <w:bookmarkStart w:id="172" w:name="_Toc6923142"/>
      <w:r w:rsidRPr="00112FF6">
        <w:lastRenderedPageBreak/>
        <w:t>Appendix B—</w:t>
      </w:r>
      <w:r w:rsidR="004A2F7F">
        <w:t>G</w:t>
      </w:r>
      <w:r w:rsidRPr="00112FF6">
        <w:t>eographical area definitions</w:t>
      </w:r>
      <w:bookmarkEnd w:id="172"/>
    </w:p>
    <w:p w14:paraId="30577077" w14:textId="77777777" w:rsidR="00FF449E" w:rsidRDefault="00FF449E" w:rsidP="003C5923">
      <w:pPr>
        <w:spacing w:after="80" w:line="80" w:lineRule="atLeast"/>
      </w:pPr>
      <w:r>
        <w:t>This appendix provides a definition for the following areas used in this paper:</w:t>
      </w:r>
    </w:p>
    <w:p w14:paraId="25825674" w14:textId="6797A9B9" w:rsidR="00FF449E" w:rsidRPr="00887F46" w:rsidRDefault="00FF449E" w:rsidP="003C5923">
      <w:pPr>
        <w:pStyle w:val="ListParagraph"/>
        <w:numPr>
          <w:ilvl w:val="0"/>
          <w:numId w:val="45"/>
        </w:numPr>
        <w:spacing w:after="80" w:line="80" w:lineRule="atLeast"/>
        <w:ind w:left="357" w:hanging="357"/>
        <w:contextualSpacing w:val="0"/>
      </w:pPr>
      <w:r w:rsidRPr="003C5923">
        <w:t>Metropolitan areas:</w:t>
      </w:r>
      <w:r w:rsidRPr="00887F46">
        <w:t xml:space="preserve"> These areas cover the </w:t>
      </w:r>
      <w:r>
        <w:t>c</w:t>
      </w:r>
      <w:r w:rsidRPr="00887F46">
        <w:t xml:space="preserve">apital cities of Adelaide, Brisbane, Canberra, Melbourne, Perth, Sydney. The exact areas mirror the </w:t>
      </w:r>
      <w:hyperlink r:id="rId94" w:history="1">
        <w:r w:rsidRPr="00887F46">
          <w:rPr>
            <w:rStyle w:val="Hyperlink"/>
          </w:rPr>
          <w:t>capital city areas that formed part of the year 2000 auction</w:t>
        </w:r>
      </w:hyperlink>
      <w:r w:rsidRPr="00887F46">
        <w:t xml:space="preserve"> of spectrum licenses in the 3425</w:t>
      </w:r>
      <w:r>
        <w:t>–</w:t>
      </w:r>
      <w:r w:rsidRPr="00887F46">
        <w:t>3492.5 GHz and 3542.5</w:t>
      </w:r>
      <w:r>
        <w:t>–</w:t>
      </w:r>
      <w:r w:rsidRPr="00887F46">
        <w:t>3575 MHz bands</w:t>
      </w:r>
      <w:r>
        <w:t>.</w:t>
      </w:r>
    </w:p>
    <w:p w14:paraId="143B7616" w14:textId="7B5B19F5" w:rsidR="00FF449E" w:rsidRPr="00887F46" w:rsidRDefault="00FF449E" w:rsidP="003C5923">
      <w:pPr>
        <w:pStyle w:val="ListParagraph"/>
        <w:numPr>
          <w:ilvl w:val="0"/>
          <w:numId w:val="45"/>
        </w:numPr>
        <w:spacing w:after="80"/>
        <w:ind w:left="357" w:hanging="357"/>
        <w:contextualSpacing w:val="0"/>
      </w:pPr>
      <w:r w:rsidRPr="003C5923">
        <w:t>Major regional centres:</w:t>
      </w:r>
      <w:r w:rsidRPr="00887F46">
        <w:t xml:space="preserve"> These areas cover the cities of Albury, Ballarat, Bendigo, Cairns, Rockhampton, Hobart, Launceston, Toowoomba and Townsville. The exact areas mirror the </w:t>
      </w:r>
      <w:hyperlink r:id="rId95" w:history="1">
        <w:r w:rsidRPr="00887F46">
          <w:rPr>
            <w:rStyle w:val="Hyperlink"/>
          </w:rPr>
          <w:t>major regional centres that formed part of the year 2000 auction</w:t>
        </w:r>
      </w:hyperlink>
      <w:r w:rsidRPr="00887F46">
        <w:t xml:space="preserve"> of spectrum licenses in the 3425</w:t>
      </w:r>
      <w:r>
        <w:t>–</w:t>
      </w:r>
      <w:r w:rsidRPr="00887F46">
        <w:t>3492.5 GHz and 3542.5</w:t>
      </w:r>
      <w:r>
        <w:t>–</w:t>
      </w:r>
      <w:r w:rsidRPr="00887F46">
        <w:t>3575 MHz bands</w:t>
      </w:r>
      <w:r>
        <w:t>.</w:t>
      </w:r>
    </w:p>
    <w:p w14:paraId="482DEA95" w14:textId="0D721C81" w:rsidR="00FF449E" w:rsidRPr="00887F46" w:rsidRDefault="00FF449E" w:rsidP="003C5923">
      <w:pPr>
        <w:pStyle w:val="ListParagraph"/>
        <w:numPr>
          <w:ilvl w:val="0"/>
          <w:numId w:val="45"/>
        </w:numPr>
        <w:spacing w:after="80"/>
        <w:ind w:left="357" w:hanging="357"/>
        <w:contextualSpacing w:val="0"/>
      </w:pPr>
      <w:r w:rsidRPr="003C5923">
        <w:t>Regional areas:</w:t>
      </w:r>
      <w:r w:rsidRPr="00887F46">
        <w:t xml:space="preserve"> This area cover</w:t>
      </w:r>
      <w:r>
        <w:t>s</w:t>
      </w:r>
      <w:r w:rsidRPr="00887F46">
        <w:t xml:space="preserve"> the regional areas defined in the</w:t>
      </w:r>
      <w:r>
        <w:t xml:space="preserve"> </w:t>
      </w:r>
      <w:hyperlink r:id="rId96" w:history="1">
        <w:r w:rsidRPr="009531CB">
          <w:rPr>
            <w:rStyle w:val="Hyperlink"/>
            <w:i/>
          </w:rPr>
          <w:t>Radiocommunications (</w:t>
        </w:r>
        <w:r>
          <w:rPr>
            <w:rStyle w:val="Hyperlink"/>
            <w:i/>
          </w:rPr>
          <w:t>S</w:t>
        </w:r>
        <w:r w:rsidRPr="009531CB">
          <w:rPr>
            <w:rStyle w:val="Hyperlink"/>
            <w:i/>
          </w:rPr>
          <w:t xml:space="preserve">pectrum </w:t>
        </w:r>
        <w:r>
          <w:rPr>
            <w:rStyle w:val="Hyperlink"/>
            <w:i/>
          </w:rPr>
          <w:t>R</w:t>
        </w:r>
        <w:r w:rsidRPr="009531CB">
          <w:rPr>
            <w:rStyle w:val="Hyperlink"/>
            <w:i/>
          </w:rPr>
          <w:t>e</w:t>
        </w:r>
        <w:r>
          <w:rPr>
            <w:rStyle w:val="Hyperlink"/>
            <w:i/>
          </w:rPr>
          <w:t>-</w:t>
        </w:r>
        <w:r w:rsidRPr="009531CB">
          <w:rPr>
            <w:rStyle w:val="Hyperlink"/>
            <w:i/>
          </w:rPr>
          <w:t xml:space="preserve">allocation—3.6 GHz </w:t>
        </w:r>
        <w:r>
          <w:rPr>
            <w:rStyle w:val="Hyperlink"/>
            <w:i/>
          </w:rPr>
          <w:t>B</w:t>
        </w:r>
        <w:r w:rsidRPr="009531CB">
          <w:rPr>
            <w:rStyle w:val="Hyperlink"/>
            <w:i/>
          </w:rPr>
          <w:t xml:space="preserve">and for </w:t>
        </w:r>
        <w:r>
          <w:rPr>
            <w:rStyle w:val="Hyperlink"/>
            <w:i/>
          </w:rPr>
          <w:t>R</w:t>
        </w:r>
        <w:r w:rsidRPr="009531CB">
          <w:rPr>
            <w:rStyle w:val="Hyperlink"/>
            <w:i/>
          </w:rPr>
          <w:t xml:space="preserve">egional Australia) </w:t>
        </w:r>
        <w:r>
          <w:rPr>
            <w:rStyle w:val="Hyperlink"/>
            <w:i/>
          </w:rPr>
          <w:t>D</w:t>
        </w:r>
        <w:r w:rsidRPr="009531CB">
          <w:rPr>
            <w:rStyle w:val="Hyperlink"/>
            <w:i/>
          </w:rPr>
          <w:t>eclaration 2018</w:t>
        </w:r>
      </w:hyperlink>
      <w:r w:rsidRPr="009531CB">
        <w:t xml:space="preserve"> </w:t>
      </w:r>
      <w:r>
        <w:t>with</w:t>
      </w:r>
      <w:r w:rsidRPr="00887F46">
        <w:t xml:space="preserve"> those areas </w:t>
      </w:r>
      <w:r>
        <w:t>encompassed in the definition of</w:t>
      </w:r>
      <w:r w:rsidRPr="00887F46">
        <w:t xml:space="preserve"> </w:t>
      </w:r>
      <w:r>
        <w:t>m</w:t>
      </w:r>
      <w:r w:rsidRPr="00887F46">
        <w:t>ajor regional centres removed</w:t>
      </w:r>
      <w:r>
        <w:t>.</w:t>
      </w:r>
    </w:p>
    <w:p w14:paraId="248D1FA3" w14:textId="6DBC2799" w:rsidR="00FF449E" w:rsidRDefault="00FF449E" w:rsidP="003C5923">
      <w:pPr>
        <w:pStyle w:val="ListParagraph"/>
        <w:numPr>
          <w:ilvl w:val="0"/>
          <w:numId w:val="45"/>
        </w:numPr>
        <w:spacing w:after="80"/>
        <w:ind w:left="357" w:hanging="357"/>
        <w:contextualSpacing w:val="0"/>
      </w:pPr>
      <w:r w:rsidRPr="003C5923">
        <w:t>Remote areas:</w:t>
      </w:r>
      <w:r>
        <w:t xml:space="preserve"> This includes all those areas not encompassed in the definition of metropolitan, major regional centres </w:t>
      </w:r>
      <w:r w:rsidRPr="00887F46">
        <w:t>and</w:t>
      </w:r>
      <w:r>
        <w:t xml:space="preserve"> regional areas.</w:t>
      </w:r>
    </w:p>
    <w:p w14:paraId="55036AF5" w14:textId="77777777" w:rsidR="00FF449E" w:rsidRDefault="00FF449E" w:rsidP="003C5923">
      <w:pPr>
        <w:pStyle w:val="ListParagraph"/>
        <w:numPr>
          <w:ilvl w:val="0"/>
          <w:numId w:val="45"/>
        </w:numPr>
        <w:ind w:left="357" w:hanging="357"/>
        <w:contextualSpacing w:val="0"/>
      </w:pPr>
      <w:r w:rsidRPr="003C5923">
        <w:t>Areas covered by NBN Co’s 3.5 GHz PTS licences</w:t>
      </w:r>
      <w:r w:rsidRPr="00112FF6">
        <w:t>:</w:t>
      </w:r>
      <w:r>
        <w:t xml:space="preserve"> These areas encompass all metropolitan areas, the major regional centres of Ballarat, Bendigo and Toowoomba as well as part of the </w:t>
      </w:r>
      <w:r w:rsidRPr="00887F46">
        <w:rPr>
          <w:rFonts w:cs="Arial"/>
        </w:rPr>
        <w:t>defined</w:t>
      </w:r>
      <w:r>
        <w:t xml:space="preserve"> regional areas.</w:t>
      </w:r>
    </w:p>
    <w:p w14:paraId="7F2B226D" w14:textId="77777777" w:rsidR="00FF449E" w:rsidRDefault="00FF449E" w:rsidP="003C5923">
      <w:pPr>
        <w:spacing w:after="80" w:line="80" w:lineRule="atLeast"/>
      </w:pPr>
      <w:r>
        <w:t>For each area the following is provided:</w:t>
      </w:r>
    </w:p>
    <w:p w14:paraId="34D49F3E" w14:textId="0AC5F6D5" w:rsidR="00FF449E" w:rsidRPr="009531CB" w:rsidRDefault="00474060" w:rsidP="003C5923">
      <w:pPr>
        <w:pStyle w:val="ListParagraph"/>
        <w:numPr>
          <w:ilvl w:val="0"/>
          <w:numId w:val="45"/>
        </w:numPr>
        <w:spacing w:after="80" w:line="80" w:lineRule="atLeast"/>
        <w:ind w:left="357" w:hanging="357"/>
        <w:contextualSpacing w:val="0"/>
      </w:pPr>
      <w:r w:rsidRPr="009531CB">
        <w:t>A</w:t>
      </w:r>
      <w:r>
        <w:t>n illustr</w:t>
      </w:r>
      <w:r w:rsidR="00240162">
        <w:t>a</w:t>
      </w:r>
      <w:r>
        <w:t>tion</w:t>
      </w:r>
      <w:r w:rsidR="00FF449E" w:rsidRPr="009531CB">
        <w:t xml:space="preserve"> of the area (refer to Figure 16 and Figure 17)</w:t>
      </w:r>
    </w:p>
    <w:p w14:paraId="5BEDD9E0" w14:textId="77777777" w:rsidR="00FF449E" w:rsidRPr="009531CB" w:rsidRDefault="00FF449E" w:rsidP="00FF449E">
      <w:pPr>
        <w:pStyle w:val="ListParagraph"/>
        <w:numPr>
          <w:ilvl w:val="0"/>
          <w:numId w:val="45"/>
        </w:numPr>
      </w:pPr>
      <w:r w:rsidRPr="009531CB">
        <w:t>HCIS identifiers describing the area (refer to Tables 5-8).</w:t>
      </w:r>
    </w:p>
    <w:p w14:paraId="4ECC43BC" w14:textId="73B30E43" w:rsidR="00FF449E" w:rsidRDefault="00FF449E" w:rsidP="00FF449E">
      <w:pPr>
        <w:spacing w:before="240"/>
        <w:rPr>
          <w:rFonts w:cs="Arial"/>
          <w:szCs w:val="20"/>
        </w:rPr>
      </w:pPr>
      <w:r>
        <w:rPr>
          <w:rFonts w:cs="Arial"/>
        </w:rPr>
        <w:t xml:space="preserve">The Australian Spectrum Map Grid (ASMG) is </w:t>
      </w:r>
      <w:r w:rsidR="006B55C0">
        <w:rPr>
          <w:rFonts w:cs="Arial"/>
        </w:rPr>
        <w:t xml:space="preserve">often used by the ACMA </w:t>
      </w:r>
      <w:r w:rsidR="00240162">
        <w:rPr>
          <w:rFonts w:cs="Arial"/>
        </w:rPr>
        <w:t xml:space="preserve">to define </w:t>
      </w:r>
      <w:r>
        <w:rPr>
          <w:rFonts w:cs="Arial"/>
        </w:rPr>
        <w:t xml:space="preserve">geographical areas. The Hierarchical Cell Identification Scheme (HCIS) is a naming convention developed by the ACMA that applies unique ‘names’ to each of the cells that make up the ASMG. The ASMG and HCIS are described in detail in the document: </w:t>
      </w:r>
      <w:hyperlink r:id="rId97" w:history="1">
        <w:r>
          <w:rPr>
            <w:rStyle w:val="Hyperlink"/>
            <w:rFonts w:cs="Arial"/>
            <w:i/>
          </w:rPr>
          <w:t>The Australian spectrum map grid 2012</w:t>
        </w:r>
      </w:hyperlink>
      <w:r>
        <w:rPr>
          <w:rFonts w:cs="Arial"/>
        </w:rPr>
        <w:t>.</w:t>
      </w:r>
    </w:p>
    <w:p w14:paraId="0D4F6994" w14:textId="373BBCC9" w:rsidR="00FF449E" w:rsidRDefault="00FF449E" w:rsidP="00FF449E">
      <w:r>
        <w:t xml:space="preserve">The HCIS coordinates in this </w:t>
      </w:r>
      <w:r w:rsidR="004A2F7F">
        <w:t>a</w:t>
      </w:r>
      <w:r>
        <w:t xml:space="preserve">ppendix can be converted into a Placemark file (viewable in Google Earth) through a facility on the </w:t>
      </w:r>
      <w:hyperlink r:id="rId98" w:history="1">
        <w:r w:rsidR="004A2F7F">
          <w:rPr>
            <w:rStyle w:val="Hyperlink"/>
          </w:rPr>
          <w:t>ACMA website</w:t>
        </w:r>
      </w:hyperlink>
      <w:r w:rsidR="004A2F7F">
        <w:rPr>
          <w:rFonts w:cs="Arial"/>
        </w:rPr>
        <w:t>.</w:t>
      </w:r>
      <w:r>
        <w:t xml:space="preserve"> </w:t>
      </w:r>
    </w:p>
    <w:p w14:paraId="3A9203EB" w14:textId="77777777" w:rsidR="00FF449E" w:rsidRDefault="00FF449E" w:rsidP="00FF449E">
      <w:pPr>
        <w:spacing w:after="0" w:line="240" w:lineRule="auto"/>
      </w:pPr>
      <w:r>
        <w:br w:type="page"/>
      </w:r>
    </w:p>
    <w:p w14:paraId="0EAD2E35" w14:textId="6375443D" w:rsidR="00FF449E" w:rsidRDefault="00FF449E" w:rsidP="003C5923">
      <w:pPr>
        <w:pStyle w:val="ACMAFigureHeader"/>
      </w:pPr>
      <w:r>
        <w:lastRenderedPageBreak/>
        <w:t xml:space="preserve">Illustration of metropolitan </w:t>
      </w:r>
      <w:r w:rsidRPr="00984DF2">
        <w:t>areas</w:t>
      </w:r>
      <w:r>
        <w:t xml:space="preserve"> (yellow areas), major regional centres (orange areas), regional areas (blue areas) and remote areas (all other areas)</w:t>
      </w:r>
    </w:p>
    <w:p w14:paraId="24D266F2" w14:textId="77777777" w:rsidR="00FF449E" w:rsidRDefault="00FF449E" w:rsidP="00FF449E">
      <w:pPr>
        <w:rPr>
          <w:highlight w:val="yellow"/>
        </w:rPr>
      </w:pPr>
      <w:r>
        <w:rPr>
          <w:noProof/>
        </w:rPr>
        <w:drawing>
          <wp:inline distT="0" distB="0" distL="0" distR="0" wp14:anchorId="682F21A3" wp14:editId="732A63BF">
            <wp:extent cx="5911702" cy="5476281"/>
            <wp:effectExtent l="0" t="0" r="0" b="0"/>
            <wp:docPr id="14" name="Picture 14" descr="Illustration of metropolitan areas (yellow areas) areas, major regional centres (orange areas), regional areas (blue areas) and remote areas (all other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9"/>
                    <a:stretch>
                      <a:fillRect/>
                    </a:stretch>
                  </pic:blipFill>
                  <pic:spPr>
                    <a:xfrm>
                      <a:off x="0" y="0"/>
                      <a:ext cx="5921931" cy="5485756"/>
                    </a:xfrm>
                    <a:prstGeom prst="rect">
                      <a:avLst/>
                    </a:prstGeom>
                  </pic:spPr>
                </pic:pic>
              </a:graphicData>
            </a:graphic>
          </wp:inline>
        </w:drawing>
      </w:r>
    </w:p>
    <w:p w14:paraId="36C41487" w14:textId="77777777" w:rsidR="00FF449E" w:rsidRDefault="00FF449E" w:rsidP="00FF449E">
      <w:pPr>
        <w:spacing w:after="0" w:line="240" w:lineRule="auto"/>
        <w:rPr>
          <w:highlight w:val="yellow"/>
        </w:rPr>
      </w:pPr>
      <w:r>
        <w:rPr>
          <w:highlight w:val="yellow"/>
        </w:rPr>
        <w:br w:type="page"/>
      </w:r>
    </w:p>
    <w:p w14:paraId="1B5444E1" w14:textId="77777777" w:rsidR="00FF449E" w:rsidRDefault="00FF449E" w:rsidP="003C5923">
      <w:pPr>
        <w:pStyle w:val="ACMAFigureHeader"/>
      </w:pPr>
      <w:r>
        <w:lastRenderedPageBreak/>
        <w:t xml:space="preserve">Areas covered by NBN Co’s 3.5 GHz PTS licences (purple areas) </w:t>
      </w:r>
    </w:p>
    <w:p w14:paraId="0AE32A4F" w14:textId="77777777" w:rsidR="00FF449E" w:rsidRDefault="00FF449E" w:rsidP="00FF449E">
      <w:pPr>
        <w:rPr>
          <w:highlight w:val="yellow"/>
        </w:rPr>
      </w:pPr>
      <w:r>
        <w:rPr>
          <w:noProof/>
        </w:rPr>
        <w:drawing>
          <wp:inline distT="0" distB="0" distL="0" distR="0" wp14:anchorId="3C41880E" wp14:editId="390D49B1">
            <wp:extent cx="5975498" cy="5543168"/>
            <wp:effectExtent l="0" t="0" r="6350" b="635"/>
            <wp:docPr id="7" name="Picture 7" descr="Areas covered by NBN Co’s 3.5 GHz PTS licences (purple are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0"/>
                    <a:stretch>
                      <a:fillRect/>
                    </a:stretch>
                  </pic:blipFill>
                  <pic:spPr>
                    <a:xfrm>
                      <a:off x="0" y="0"/>
                      <a:ext cx="5979119" cy="5546527"/>
                    </a:xfrm>
                    <a:prstGeom prst="rect">
                      <a:avLst/>
                    </a:prstGeom>
                  </pic:spPr>
                </pic:pic>
              </a:graphicData>
            </a:graphic>
          </wp:inline>
        </w:drawing>
      </w:r>
    </w:p>
    <w:p w14:paraId="47DABF83" w14:textId="77777777" w:rsidR="00FF449E" w:rsidRDefault="00FF449E" w:rsidP="00FF449E">
      <w:pPr>
        <w:rPr>
          <w:highlight w:val="yellow"/>
        </w:rPr>
      </w:pPr>
    </w:p>
    <w:p w14:paraId="2DF1E1E1" w14:textId="77777777" w:rsidR="00FF449E" w:rsidRDefault="00FF449E" w:rsidP="00FF449E">
      <w:pPr>
        <w:rPr>
          <w:highlight w:val="yellow"/>
        </w:rPr>
      </w:pPr>
    </w:p>
    <w:p w14:paraId="33732DAF" w14:textId="77777777" w:rsidR="00FF449E" w:rsidRDefault="00FF449E" w:rsidP="00FF449E">
      <w:pPr>
        <w:spacing w:after="0" w:line="240" w:lineRule="auto"/>
        <w:rPr>
          <w:highlight w:val="yellow"/>
        </w:rPr>
      </w:pPr>
      <w:r>
        <w:rPr>
          <w:highlight w:val="yellow"/>
        </w:rPr>
        <w:br w:type="page"/>
      </w:r>
    </w:p>
    <w:p w14:paraId="64AC6E36" w14:textId="77777777" w:rsidR="00FF449E" w:rsidRDefault="00FF449E" w:rsidP="00FF449E">
      <w:pPr>
        <w:pStyle w:val="ACMATableHeader"/>
        <w:numPr>
          <w:ilvl w:val="0"/>
          <w:numId w:val="26"/>
        </w:numPr>
      </w:pPr>
      <w:r>
        <w:lastRenderedPageBreak/>
        <w:t>HCIS description of metropolitan areas</w:t>
      </w:r>
    </w:p>
    <w:tbl>
      <w:tblPr>
        <w:tblStyle w:val="TableGrid"/>
        <w:tblW w:w="8365" w:type="dxa"/>
        <w:tblLayout w:type="fixed"/>
        <w:tblLook w:val="04A0" w:firstRow="1" w:lastRow="0" w:firstColumn="1" w:lastColumn="0" w:noHBand="0" w:noVBand="1"/>
        <w:tblCaption w:val="HCIS description of areas"/>
        <w:tblDescription w:val="Table containing a descirption of the different area re-farming options "/>
      </w:tblPr>
      <w:tblGrid>
        <w:gridCol w:w="1460"/>
        <w:gridCol w:w="6905"/>
      </w:tblGrid>
      <w:tr w:rsidR="00FF449E" w14:paraId="24C3AE8A" w14:textId="77777777" w:rsidTr="006C4214">
        <w:trPr>
          <w:cantSplit/>
          <w:tblHeader/>
        </w:trPr>
        <w:tc>
          <w:tcPr>
            <w:tcW w:w="146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460CED13" w14:textId="77777777" w:rsidR="00FF449E" w:rsidRDefault="00FF449E" w:rsidP="006C4214">
            <w:pPr>
              <w:pStyle w:val="TableHeading"/>
              <w:rPr>
                <w:color w:val="FFFFFF" w:themeColor="background1"/>
              </w:rPr>
            </w:pPr>
            <w:r>
              <w:rPr>
                <w:color w:val="FFFFFF" w:themeColor="background1"/>
              </w:rPr>
              <w:t>Sub-area name</w:t>
            </w:r>
          </w:p>
        </w:tc>
        <w:tc>
          <w:tcPr>
            <w:tcW w:w="6905"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78EFDB79" w14:textId="77777777" w:rsidR="00FF449E" w:rsidRDefault="00FF449E" w:rsidP="006C4214">
            <w:pPr>
              <w:pStyle w:val="TableHeading"/>
              <w:rPr>
                <w:color w:val="FFFFFF" w:themeColor="background1"/>
              </w:rPr>
            </w:pPr>
            <w:r>
              <w:rPr>
                <w:color w:val="FFFFFF" w:themeColor="background1"/>
              </w:rPr>
              <w:t>HCIS</w:t>
            </w:r>
          </w:p>
        </w:tc>
      </w:tr>
      <w:tr w:rsidR="00FF449E" w14:paraId="6DC3C24E" w14:textId="77777777" w:rsidTr="006C4214">
        <w:trPr>
          <w:cantSplit/>
        </w:trPr>
        <w:tc>
          <w:tcPr>
            <w:tcW w:w="1460" w:type="dxa"/>
            <w:tcBorders>
              <w:top w:val="single" w:sz="4" w:space="0" w:color="auto"/>
              <w:left w:val="single" w:sz="4" w:space="0" w:color="auto"/>
              <w:bottom w:val="single" w:sz="4" w:space="0" w:color="auto"/>
              <w:right w:val="single" w:sz="4" w:space="0" w:color="auto"/>
            </w:tcBorders>
            <w:hideMark/>
          </w:tcPr>
          <w:p w14:paraId="020BA819" w14:textId="77777777" w:rsidR="00FF449E" w:rsidRDefault="00FF449E" w:rsidP="006C4214">
            <w:pPr>
              <w:pStyle w:val="TableBody"/>
              <w:spacing w:line="240" w:lineRule="atLeast"/>
            </w:pPr>
            <w:r>
              <w:t>Adelaide A</w:t>
            </w:r>
          </w:p>
        </w:tc>
        <w:tc>
          <w:tcPr>
            <w:tcW w:w="6905" w:type="dxa"/>
            <w:tcBorders>
              <w:top w:val="single" w:sz="4" w:space="0" w:color="auto"/>
              <w:left w:val="single" w:sz="4" w:space="0" w:color="auto"/>
              <w:bottom w:val="single" w:sz="4" w:space="0" w:color="auto"/>
              <w:right w:val="single" w:sz="4" w:space="0" w:color="auto"/>
            </w:tcBorders>
          </w:tcPr>
          <w:p w14:paraId="143C70E5" w14:textId="77777777" w:rsidR="00FF449E" w:rsidRDefault="00FF449E" w:rsidP="006C4214">
            <w:pPr>
              <w:pStyle w:val="TableBody"/>
              <w:spacing w:line="240" w:lineRule="atLeast"/>
            </w:pPr>
            <w:r w:rsidRPr="00E56778">
              <w:t>IW3J, IW3K, IW3L, IW3N, IW3O, IW3P, IW6B, IW6C, IW6D, IW6F, IW6G, IW6H, IW3E5, IW3E6, IW3E8, IW3E9, IW3F4, IW3F5, IW3F6, IW3F7, IW3F8, IW3F9, IW3G4, IW3G5, IW3G6, IW3G7, IW3G8, IW3G9, IW3H4, IW3H5, IW3H6, IW3H7, IW3H8, IW3H9, IW3I2, IW3I3, IW3I5, IW3I6, IW3I8, IW3I9, IW3M2, IW3M3, IW3M5, IW3M6, IW3M8, IW3M9, IW6A2, IW6A3, IW6A5, IW6A6, IW6A8, IW6A9, IW6E2, IW6E3, IW6E5, IW6E6, IW6E8, IW6E9, JW1E4, JW1E7, JW1I1, JW1I4, JW1I7, JW1M1, JW1M4</w:t>
            </w:r>
          </w:p>
        </w:tc>
      </w:tr>
      <w:tr w:rsidR="00FF449E" w14:paraId="63CB3C25" w14:textId="77777777" w:rsidTr="006C4214">
        <w:trPr>
          <w:cantSplit/>
        </w:trPr>
        <w:tc>
          <w:tcPr>
            <w:tcW w:w="1460" w:type="dxa"/>
            <w:tcBorders>
              <w:top w:val="single" w:sz="4" w:space="0" w:color="auto"/>
              <w:left w:val="single" w:sz="4" w:space="0" w:color="auto"/>
              <w:bottom w:val="single" w:sz="4" w:space="0" w:color="auto"/>
              <w:right w:val="single" w:sz="4" w:space="0" w:color="auto"/>
            </w:tcBorders>
            <w:hideMark/>
          </w:tcPr>
          <w:p w14:paraId="0A021543" w14:textId="77777777" w:rsidR="00FF449E" w:rsidRDefault="00FF449E" w:rsidP="006C4214">
            <w:pPr>
              <w:pStyle w:val="TableBody"/>
              <w:spacing w:line="240" w:lineRule="atLeast"/>
            </w:pPr>
            <w:r>
              <w:t>Brisbane A</w:t>
            </w:r>
          </w:p>
        </w:tc>
        <w:tc>
          <w:tcPr>
            <w:tcW w:w="6905" w:type="dxa"/>
            <w:tcBorders>
              <w:top w:val="single" w:sz="4" w:space="0" w:color="auto"/>
              <w:left w:val="single" w:sz="4" w:space="0" w:color="auto"/>
              <w:bottom w:val="single" w:sz="4" w:space="0" w:color="auto"/>
              <w:right w:val="single" w:sz="4" w:space="0" w:color="auto"/>
            </w:tcBorders>
          </w:tcPr>
          <w:p w14:paraId="0CF6669D" w14:textId="77777777" w:rsidR="00FF449E" w:rsidRDefault="00FF449E" w:rsidP="006C4214">
            <w:pPr>
              <w:pStyle w:val="TableBody"/>
              <w:spacing w:line="240" w:lineRule="atLeast"/>
            </w:pPr>
            <w:r w:rsidRPr="00E56778">
              <w:t>NT9, NT8C, NT8D, NT8G, NT8H, NT8K, NT8L, NT8O, NT8P, NU3A, NU3B, NU3C, NU3D, NU3F, NU3G, NU3H, NT5O4, NT5O5, NT5O6, NT5O7, NT5O8, NT5O9, NT5P4, NT5P5, NT5P6, NT5P7, NT5P8, NT5P9, NT6M4, NT6M5, NT6M6, NT6M7, NT6M8, NT6M9, NT6N4, NT6N5, NT6N6, NT6N7, NT6N8, NT6N9, NT6O4, NT6O5, NT6O6, NT6O7, NT6O8, NT6O9, NT6P4, NT6P5, NT6P6, NT6P7, NT6P8, NT6P9, NU2C1, NU2C2, NU2C3, NU2D1, NU2D2, NU2D3, NU2D5, NU2D6, NU2D8, NU2D9, NU2H2, NU2H3, NU3E1, NU3E2, NU3E3, NU3E5, NU3E6, NU3E8, NU3E9, NU3I2, NU3I3, NU3J1, NU3J2, NU3J3, NU3K1, NU3K2, NU3K3, NU3L1, NU3L2, NU3L3</w:t>
            </w:r>
          </w:p>
        </w:tc>
      </w:tr>
      <w:tr w:rsidR="00FF449E" w14:paraId="61954CB3" w14:textId="77777777" w:rsidTr="006C4214">
        <w:trPr>
          <w:cantSplit/>
        </w:trPr>
        <w:tc>
          <w:tcPr>
            <w:tcW w:w="1460" w:type="dxa"/>
            <w:tcBorders>
              <w:top w:val="single" w:sz="4" w:space="0" w:color="auto"/>
              <w:left w:val="single" w:sz="4" w:space="0" w:color="auto"/>
              <w:bottom w:val="single" w:sz="4" w:space="0" w:color="auto"/>
              <w:right w:val="single" w:sz="4" w:space="0" w:color="auto"/>
            </w:tcBorders>
            <w:hideMark/>
          </w:tcPr>
          <w:p w14:paraId="06CF509B" w14:textId="77777777" w:rsidR="00FF449E" w:rsidRDefault="00FF449E" w:rsidP="006C4214">
            <w:pPr>
              <w:pStyle w:val="TableBody"/>
              <w:spacing w:line="240" w:lineRule="atLeast"/>
            </w:pPr>
            <w:r>
              <w:t>Canberra A</w:t>
            </w:r>
          </w:p>
        </w:tc>
        <w:tc>
          <w:tcPr>
            <w:tcW w:w="6905" w:type="dxa"/>
            <w:tcBorders>
              <w:top w:val="single" w:sz="4" w:space="0" w:color="auto"/>
              <w:left w:val="single" w:sz="4" w:space="0" w:color="auto"/>
              <w:bottom w:val="single" w:sz="4" w:space="0" w:color="auto"/>
              <w:right w:val="single" w:sz="4" w:space="0" w:color="auto"/>
            </w:tcBorders>
          </w:tcPr>
          <w:p w14:paraId="5A53F2C5" w14:textId="77777777" w:rsidR="00FF449E" w:rsidRDefault="00FF449E" w:rsidP="006C4214">
            <w:pPr>
              <w:pStyle w:val="TableBody"/>
              <w:spacing w:line="240" w:lineRule="atLeast"/>
            </w:pPr>
            <w:r>
              <w:t>MW4D, MW4H, MW4L, MW5A, MW5B, MW5E, MW5F, MW5I, MW5J, MW1P4, MW1P5, MW1P6, MW1P7, MW1P8, MW1P9, MW2M4, MW2M5, MW2M6, MW2M7, MW2M8, MW2M9, MW2N4, MW2N5, MW2N6, MW2N7, MW2N8, MW2N9, MW4P1, MW4P2, MW4P3, MW5M1, MW5M2, MW5M3, MW5N1, MW5N2, MW5N3</w:t>
            </w:r>
          </w:p>
        </w:tc>
      </w:tr>
      <w:tr w:rsidR="00FF449E" w14:paraId="5146B38D" w14:textId="77777777" w:rsidTr="006C4214">
        <w:trPr>
          <w:cantSplit/>
          <w:trHeight w:val="1772"/>
        </w:trPr>
        <w:tc>
          <w:tcPr>
            <w:tcW w:w="1460" w:type="dxa"/>
            <w:tcBorders>
              <w:top w:val="single" w:sz="4" w:space="0" w:color="auto"/>
              <w:left w:val="single" w:sz="4" w:space="0" w:color="auto"/>
              <w:bottom w:val="single" w:sz="4" w:space="0" w:color="auto"/>
              <w:right w:val="single" w:sz="4" w:space="0" w:color="auto"/>
            </w:tcBorders>
            <w:hideMark/>
          </w:tcPr>
          <w:p w14:paraId="37AC66C3" w14:textId="77777777" w:rsidR="00FF449E" w:rsidRDefault="00FF449E" w:rsidP="006C4214">
            <w:pPr>
              <w:pStyle w:val="TableBody"/>
              <w:spacing w:line="240" w:lineRule="atLeast"/>
            </w:pPr>
            <w:r>
              <w:t>Melbourne A</w:t>
            </w:r>
          </w:p>
        </w:tc>
        <w:tc>
          <w:tcPr>
            <w:tcW w:w="6905" w:type="dxa"/>
            <w:tcBorders>
              <w:top w:val="single" w:sz="4" w:space="0" w:color="auto"/>
              <w:left w:val="single" w:sz="4" w:space="0" w:color="auto"/>
              <w:bottom w:val="single" w:sz="4" w:space="0" w:color="auto"/>
              <w:right w:val="single" w:sz="4" w:space="0" w:color="auto"/>
            </w:tcBorders>
          </w:tcPr>
          <w:p w14:paraId="6BEF2AB8" w14:textId="77777777" w:rsidR="00FF449E" w:rsidRDefault="00FF449E" w:rsidP="006C4214">
            <w:pPr>
              <w:pStyle w:val="TableBody"/>
              <w:spacing w:line="240" w:lineRule="atLeast"/>
            </w:pPr>
            <w:r>
              <w:t>KX3J, KX3K, KX3L, KX3N, KX3O, KX3P, KX6A, KX6B, KX6C, KX6D, KX6E, KX6F, KX6G, KX6H, KX6I, KX6J, KX6K, KX6L, LX1I, LX1M, LX1N, LX1O, LX4A, LX4B, LX4C, LX4E, LX4I, KX3E9, KX3F5, KX3F6, KX3F7, KX3F8, KX3F9, KX3G1, KX3G2, KX3G4, KX3G5, KX3G6, KX3G7, KX3G8, KX3G9, KX3H4, KX3H5, KX3H6, KX3H7, KX3H8, KX3H9, KX3I3, KX3I6, KX3I8, KX3I9, KX3M2, KX3M3, KX3M4, KX3M5, KX3M6, KX3M7, KX3M8, KX3M9, LX1E4, LX1E7, LX1E8, LX1E9, LX1J1, LX1J4, LX1J5, LX1J6, LX1J7, LX1J8, LX1J9, LX1K4, LX1K7, LX4F1, LX4F2, LX4F4, LX4F5, LX4F7, LX4F8, LX4J1, LX4J2, LX4J4, LX4J5, LX4J7, LX4J8</w:t>
            </w:r>
          </w:p>
        </w:tc>
      </w:tr>
      <w:tr w:rsidR="00FF449E" w14:paraId="29A4BA33" w14:textId="77777777" w:rsidTr="006C4214">
        <w:trPr>
          <w:cantSplit/>
        </w:trPr>
        <w:tc>
          <w:tcPr>
            <w:tcW w:w="1460" w:type="dxa"/>
            <w:tcBorders>
              <w:top w:val="single" w:sz="4" w:space="0" w:color="auto"/>
              <w:left w:val="single" w:sz="4" w:space="0" w:color="auto"/>
              <w:bottom w:val="single" w:sz="4" w:space="0" w:color="auto"/>
              <w:right w:val="single" w:sz="4" w:space="0" w:color="auto"/>
            </w:tcBorders>
            <w:hideMark/>
          </w:tcPr>
          <w:p w14:paraId="206318D8" w14:textId="77777777" w:rsidR="00FF449E" w:rsidRDefault="00FF449E" w:rsidP="006C4214">
            <w:pPr>
              <w:pStyle w:val="TableBody"/>
              <w:spacing w:line="240" w:lineRule="atLeast"/>
            </w:pPr>
            <w:r>
              <w:t>Perth A</w:t>
            </w:r>
          </w:p>
        </w:tc>
        <w:tc>
          <w:tcPr>
            <w:tcW w:w="6905" w:type="dxa"/>
            <w:tcBorders>
              <w:top w:val="single" w:sz="4" w:space="0" w:color="auto"/>
              <w:left w:val="single" w:sz="4" w:space="0" w:color="auto"/>
              <w:bottom w:val="single" w:sz="4" w:space="0" w:color="auto"/>
              <w:right w:val="single" w:sz="4" w:space="0" w:color="auto"/>
            </w:tcBorders>
          </w:tcPr>
          <w:p w14:paraId="14BCCA2C" w14:textId="77777777" w:rsidR="00FF449E" w:rsidRDefault="00FF449E" w:rsidP="006C4214">
            <w:pPr>
              <w:pStyle w:val="TableBody"/>
              <w:spacing w:line="240" w:lineRule="atLeast"/>
            </w:pPr>
            <w:r w:rsidRPr="00AB3A67">
              <w:t>BV1I, BV1J, BV1K, BV1L, BV1M, BV1N, BV1O, BV1P, BV2I, BV2J, BV2M, BV2N, BV4A, BV4B, BV4C, BV4D, BV4E, BV4F, BV4G, BV4H, BV4I, BV4J, BV4K, BV4L, BV5A, BV5B, BV5E, BV5F, BV5I, BV5J, BV1E7, BV1E8, BV1E9, BV1F7, BV1F8, BV1F9, BV1G7, BV1G8, BV1G9, BV1H7, BV1H8, BV1H9, BV2E7, BV2E8, BV2E9, BV2F7, BV2F8, BV2F9, BV4M1, BV4M2, BV4M3, BV4N1, BV4N2, BV4N3, BV4O1, BV4O2, BV4O3, BV4P1, BV4P2, BV4P3, BV5M1, BV5M2, BV5M3, BV5N1, BV5N2, BV5N3</w:t>
            </w:r>
          </w:p>
        </w:tc>
      </w:tr>
      <w:tr w:rsidR="00FF449E" w14:paraId="7ED8115F" w14:textId="77777777" w:rsidTr="006C4214">
        <w:trPr>
          <w:cantSplit/>
        </w:trPr>
        <w:tc>
          <w:tcPr>
            <w:tcW w:w="1460" w:type="dxa"/>
            <w:tcBorders>
              <w:top w:val="single" w:sz="4" w:space="0" w:color="auto"/>
              <w:left w:val="single" w:sz="4" w:space="0" w:color="auto"/>
              <w:bottom w:val="single" w:sz="4" w:space="0" w:color="auto"/>
              <w:right w:val="single" w:sz="4" w:space="0" w:color="auto"/>
            </w:tcBorders>
            <w:hideMark/>
          </w:tcPr>
          <w:p w14:paraId="2F88038E" w14:textId="77777777" w:rsidR="00FF449E" w:rsidRDefault="00FF449E" w:rsidP="006C4214">
            <w:pPr>
              <w:pStyle w:val="TableBody"/>
              <w:spacing w:line="240" w:lineRule="atLeast"/>
            </w:pPr>
            <w:r>
              <w:lastRenderedPageBreak/>
              <w:t>Sydney A</w:t>
            </w:r>
          </w:p>
        </w:tc>
        <w:tc>
          <w:tcPr>
            <w:tcW w:w="6905" w:type="dxa"/>
            <w:tcBorders>
              <w:top w:val="single" w:sz="4" w:space="0" w:color="auto"/>
              <w:left w:val="single" w:sz="4" w:space="0" w:color="auto"/>
              <w:bottom w:val="single" w:sz="4" w:space="0" w:color="auto"/>
              <w:right w:val="single" w:sz="4" w:space="0" w:color="auto"/>
            </w:tcBorders>
          </w:tcPr>
          <w:p w14:paraId="0FFD2DF0" w14:textId="77777777" w:rsidR="00FF449E" w:rsidRDefault="00FF449E" w:rsidP="006C4214">
            <w:pPr>
              <w:pStyle w:val="TableBody"/>
              <w:spacing w:line="240" w:lineRule="atLeast"/>
            </w:pPr>
            <w:r w:rsidRPr="003F795A">
              <w:t>MV9I, MV9J, MV9K, MV9L, MV9M, MV9N, MV9O, MV9P, MW3C, MW3D, MW3G, MW3H, MW3K, MW3L, NV4N, NV4O, NV4P, NV5M, NV5N, NV5O, NV5P, NV7B, NV7C, NV7D, NV7E, NV7F, NV7G, NV7H, NV7I, NV7J, NV7K, NV7L, NV7M, NV7N, NV7O, NV7P, NW1A, NW1B, NW1C, NW1D, NW1E, NW1F, NW1G, NW1H, NW1I, NW1J, NW1K, NW1L, MV9D6, MV9D9, MV9E4, MV9E5, MV9E6, MV9E7, MV9E8, MV9E9, MV9F4, MV9F5, MV9F6, MV9F7, MV9F8, MV9F9, MV9G4, MV9G5, MV9G6, MV9G7, MV9G8, MV9G9, MV9H3, MV9H4, MV9H5, MV9H6, MV9H7, MV9H8, MV9H9, MW3B2, MW3B3, MW3B5, MW3B6, MW3B8, MW3B9, MW3F2, MW3F3, MW3F5, MW3F6, MW3F8, MW3F9, MW3J2, MW3J3, MW3O1, MW3O2, MW3O3, MW3P1, MW3P2, MW3P3, NV4I5, NV4I6, NV4I8, NV4I9, NV4J4, NV4J5, NV4J6, NV4J7, NV4J8, NV4J9, NV4K4, NV4K5, NV4K6, NV4K7, NV4K8, NV4K9, NV4L4, NV4L5, NV4L6, NV4L7, NV4L8, NV4L9, NV4M2, NV4M3, NV4M5, NV4M6, NV4M8, NV4M9, NV5I4, NV5I5, NV5I6, NV5I7, NV5I8, NV5I9, NV5J4, NV5J5, NV5J6, NV5J7, NV5J8, NV5J9, NV5K4, NV5K5, NV5K6, NV5K7, NV5K8, NV5K9, NV5L4, NV5L5, NV5L6, NV5L7, NV5L8, NV5L9, NV7A2, NV7A3, NV7A4, NV7A5, NV7A6, NV7A7, NV7A8, NV7A9, NW1M1, NW1M2, NW1M3, NW1N1, NW1N2, NW1N3, NW1O1, NW1O2, NW1O3, NW1P1, NW1P2, NW1P3</w:t>
            </w:r>
          </w:p>
        </w:tc>
      </w:tr>
    </w:tbl>
    <w:p w14:paraId="421F6AC3" w14:textId="77777777" w:rsidR="00FF449E" w:rsidRDefault="00FF449E" w:rsidP="00FF449E">
      <w:pPr>
        <w:spacing w:after="120"/>
      </w:pPr>
    </w:p>
    <w:p w14:paraId="4A4FA16B" w14:textId="77777777" w:rsidR="00FF449E" w:rsidRDefault="00FF449E" w:rsidP="00FF449E">
      <w:pPr>
        <w:pStyle w:val="ACMATableHeader"/>
        <w:numPr>
          <w:ilvl w:val="0"/>
          <w:numId w:val="26"/>
        </w:numPr>
      </w:pPr>
      <w:r>
        <w:t xml:space="preserve">HCIS description of major regional centres </w:t>
      </w:r>
    </w:p>
    <w:tbl>
      <w:tblPr>
        <w:tblStyle w:val="TableGrid"/>
        <w:tblW w:w="8365" w:type="dxa"/>
        <w:tblLayout w:type="fixed"/>
        <w:tblLook w:val="04A0" w:firstRow="1" w:lastRow="0" w:firstColumn="1" w:lastColumn="0" w:noHBand="0" w:noVBand="1"/>
        <w:tblCaption w:val="HCIS description of areas"/>
        <w:tblDescription w:val="Table containing a descirption of the different area re-farming options "/>
      </w:tblPr>
      <w:tblGrid>
        <w:gridCol w:w="1460"/>
        <w:gridCol w:w="6905"/>
      </w:tblGrid>
      <w:tr w:rsidR="00FF449E" w14:paraId="59FA558B" w14:textId="77777777" w:rsidTr="006C4214">
        <w:trPr>
          <w:cantSplit/>
          <w:tblHeader/>
        </w:trPr>
        <w:tc>
          <w:tcPr>
            <w:tcW w:w="146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6BF052E5" w14:textId="77777777" w:rsidR="00FF449E" w:rsidRDefault="00FF449E" w:rsidP="006C4214">
            <w:pPr>
              <w:pStyle w:val="TableHeading"/>
              <w:rPr>
                <w:color w:val="FFFFFF" w:themeColor="background1"/>
              </w:rPr>
            </w:pPr>
            <w:r>
              <w:rPr>
                <w:color w:val="FFFFFF" w:themeColor="background1"/>
              </w:rPr>
              <w:t>Sub-area name</w:t>
            </w:r>
          </w:p>
        </w:tc>
        <w:tc>
          <w:tcPr>
            <w:tcW w:w="6905"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7DA910E6" w14:textId="77777777" w:rsidR="00FF449E" w:rsidRDefault="00FF449E" w:rsidP="006C4214">
            <w:pPr>
              <w:pStyle w:val="TableHeading"/>
              <w:rPr>
                <w:color w:val="FFFFFF" w:themeColor="background1"/>
              </w:rPr>
            </w:pPr>
            <w:r>
              <w:rPr>
                <w:color w:val="FFFFFF" w:themeColor="background1"/>
              </w:rPr>
              <w:t>HCIS</w:t>
            </w:r>
          </w:p>
        </w:tc>
      </w:tr>
      <w:tr w:rsidR="00FF449E" w14:paraId="2A2641BE" w14:textId="77777777" w:rsidTr="006C4214">
        <w:trPr>
          <w:cantSplit/>
        </w:trPr>
        <w:tc>
          <w:tcPr>
            <w:tcW w:w="1460" w:type="dxa"/>
            <w:tcBorders>
              <w:top w:val="single" w:sz="4" w:space="0" w:color="auto"/>
              <w:left w:val="single" w:sz="4" w:space="0" w:color="auto"/>
              <w:bottom w:val="single" w:sz="4" w:space="0" w:color="auto"/>
              <w:right w:val="single" w:sz="4" w:space="0" w:color="auto"/>
            </w:tcBorders>
          </w:tcPr>
          <w:p w14:paraId="73B0976D" w14:textId="77777777" w:rsidR="00FF449E" w:rsidRDefault="00FF449E" w:rsidP="006C4214">
            <w:pPr>
              <w:pStyle w:val="TableBody"/>
              <w:spacing w:line="240" w:lineRule="atLeast"/>
            </w:pPr>
            <w:r>
              <w:t>Albury</w:t>
            </w:r>
          </w:p>
        </w:tc>
        <w:tc>
          <w:tcPr>
            <w:tcW w:w="6905" w:type="dxa"/>
            <w:tcBorders>
              <w:top w:val="single" w:sz="4" w:space="0" w:color="auto"/>
              <w:left w:val="single" w:sz="4" w:space="0" w:color="auto"/>
              <w:bottom w:val="single" w:sz="4" w:space="0" w:color="auto"/>
              <w:right w:val="single" w:sz="4" w:space="0" w:color="auto"/>
            </w:tcBorders>
            <w:vAlign w:val="center"/>
          </w:tcPr>
          <w:p w14:paraId="58AE19F2" w14:textId="77777777" w:rsidR="00FF449E" w:rsidRDefault="00FF449E" w:rsidP="006C4214">
            <w:pPr>
              <w:pStyle w:val="TableBody"/>
              <w:spacing w:line="240" w:lineRule="atLeast"/>
            </w:pPr>
            <w:r>
              <w:t>LW5P, LW6M, LW8D, LW8H, LW9A, LW9E, LW5O2, LW5O3, LW5O5, LW5O6, LW5O8, LW5O9, LW8C2, LW8C3, LW8C5, LW8C6, LW8C8, LW8C9, LW8G2, LW8G3, LW8G5, LW8G6, LW8G8, LW8G9</w:t>
            </w:r>
          </w:p>
        </w:tc>
      </w:tr>
      <w:tr w:rsidR="00FF449E" w14:paraId="7544A9EC" w14:textId="77777777" w:rsidTr="006C4214">
        <w:trPr>
          <w:cantSplit/>
          <w:trHeight w:val="2811"/>
        </w:trPr>
        <w:tc>
          <w:tcPr>
            <w:tcW w:w="1460" w:type="dxa"/>
            <w:tcBorders>
              <w:top w:val="single" w:sz="4" w:space="0" w:color="auto"/>
              <w:left w:val="single" w:sz="4" w:space="0" w:color="auto"/>
              <w:bottom w:val="single" w:sz="4" w:space="0" w:color="auto"/>
              <w:right w:val="single" w:sz="4" w:space="0" w:color="auto"/>
            </w:tcBorders>
          </w:tcPr>
          <w:p w14:paraId="18B4CDEC" w14:textId="77777777" w:rsidR="00FF449E" w:rsidRDefault="00FF449E" w:rsidP="006C4214">
            <w:pPr>
              <w:pStyle w:val="TableBody"/>
              <w:spacing w:line="240" w:lineRule="atLeast"/>
            </w:pPr>
            <w:r>
              <w:t>Bendigo and Ballarat</w:t>
            </w:r>
          </w:p>
        </w:tc>
        <w:tc>
          <w:tcPr>
            <w:tcW w:w="6905" w:type="dxa"/>
            <w:tcBorders>
              <w:top w:val="single" w:sz="4" w:space="0" w:color="auto"/>
              <w:left w:val="single" w:sz="4" w:space="0" w:color="auto"/>
              <w:bottom w:val="single" w:sz="4" w:space="0" w:color="auto"/>
              <w:right w:val="single" w:sz="4" w:space="0" w:color="auto"/>
            </w:tcBorders>
            <w:vAlign w:val="center"/>
          </w:tcPr>
          <w:p w14:paraId="6B4C9D8A" w14:textId="77777777" w:rsidR="00FF449E" w:rsidRPr="00F064AB" w:rsidRDefault="00FF449E" w:rsidP="006C4214">
            <w:pPr>
              <w:spacing w:after="0"/>
              <w:rPr>
                <w:rFonts w:ascii="Calibri" w:hAnsi="Calibri"/>
              </w:rPr>
            </w:pPr>
            <w:r>
              <w:t>KW9I, KW9J, KW9M, KW9N, KX2G, KX2H, KX2K, KX2L, KX3A, KX3B, KW8H6, KW8H9, KW8L3, KW8L6, KW8L9, KW8P3, KW8P6, KW8P9, KW9E4, KW9E5, KW9E6, KW9E7, KW9E8, KW9E9, KW9F4, KW9F5, KW9F6, KW9F7, KW9F8, KW9F9, KW9G4, KW9G5, KW9G7, KW9G8, KW9K1, KW9K2, KW9K4, KW9K5, KW9K7, KW9K8, KW9O1, KW9O2, KW9O4, KW9O5, KW9O7, KW9O8, KX2C7, KX2C8, KX2C9, KX2D3, KX2D6, KX2D7, KX2D8, KX2D9, KX2O1, KX2O2, KX2O3, KX2O4, KX2O5, KX2O6, KX2P1, KX2P2, KX2P3, KX2P4, KX2P5, KX2P6, KX3C1, KX3C2, KX3C4, KX3C5, KX3C7, KX3C8, KX3E1, KX3E2, KX3E3, KX3E4, KX3E5, KX3E6, KX3E7, KX3E8, KX3F1, KX3F2, KX3F3, KX3F4, KX3I1, KX3I2, KX3I4, KX3I5, KX3I7, KX3M1</w:t>
            </w:r>
          </w:p>
        </w:tc>
      </w:tr>
      <w:tr w:rsidR="00FF449E" w14:paraId="2548CBDB" w14:textId="77777777" w:rsidTr="006C4214">
        <w:trPr>
          <w:cantSplit/>
        </w:trPr>
        <w:tc>
          <w:tcPr>
            <w:tcW w:w="1460" w:type="dxa"/>
            <w:tcBorders>
              <w:top w:val="single" w:sz="4" w:space="0" w:color="auto"/>
              <w:left w:val="single" w:sz="4" w:space="0" w:color="auto"/>
              <w:bottom w:val="single" w:sz="4" w:space="0" w:color="auto"/>
              <w:right w:val="single" w:sz="4" w:space="0" w:color="auto"/>
            </w:tcBorders>
          </w:tcPr>
          <w:p w14:paraId="6637A710" w14:textId="77777777" w:rsidR="00FF449E" w:rsidRDefault="00FF449E" w:rsidP="006C4214">
            <w:pPr>
              <w:pStyle w:val="TableBody"/>
              <w:spacing w:line="240" w:lineRule="atLeast"/>
            </w:pPr>
            <w:r>
              <w:t>Cairns</w:t>
            </w:r>
          </w:p>
        </w:tc>
        <w:tc>
          <w:tcPr>
            <w:tcW w:w="6905" w:type="dxa"/>
            <w:tcBorders>
              <w:top w:val="single" w:sz="4" w:space="0" w:color="auto"/>
              <w:left w:val="single" w:sz="4" w:space="0" w:color="auto"/>
              <w:bottom w:val="single" w:sz="4" w:space="0" w:color="auto"/>
              <w:right w:val="single" w:sz="4" w:space="0" w:color="auto"/>
            </w:tcBorders>
            <w:vAlign w:val="bottom"/>
          </w:tcPr>
          <w:p w14:paraId="0010F30C" w14:textId="77777777" w:rsidR="00FF449E" w:rsidRDefault="00FF449E" w:rsidP="006C4214">
            <w:pPr>
              <w:pStyle w:val="TableBody"/>
              <w:spacing w:line="240" w:lineRule="atLeast"/>
            </w:pPr>
            <w:r>
              <w:t>LQ1K, LQ1L, LQ1O, LQ1P, LQ1J2, LQ1J3, LQ1J5, LQ1J6, LQ1J8, LQ1J9, LQ1N2, LQ1N3, LQ1N5, LQ1N6, LQ1N8, LQ1N9, LQ4B2, LQ4B3, LQ4B5, LQ4B6, LQ4C1, LQ4C2, LQ4C3, LQ4C4, LQ4C5, LQ4C6, LQ4D1, LQ4D2, LQ4D3, LQ4D4, LQ4D5, LQ4D6</w:t>
            </w:r>
          </w:p>
        </w:tc>
      </w:tr>
      <w:tr w:rsidR="00FF449E" w14:paraId="355673FB" w14:textId="77777777" w:rsidTr="006C4214">
        <w:trPr>
          <w:cantSplit/>
          <w:trHeight w:val="1772"/>
        </w:trPr>
        <w:tc>
          <w:tcPr>
            <w:tcW w:w="1460" w:type="dxa"/>
            <w:tcBorders>
              <w:top w:val="single" w:sz="4" w:space="0" w:color="auto"/>
              <w:left w:val="single" w:sz="4" w:space="0" w:color="auto"/>
              <w:bottom w:val="single" w:sz="4" w:space="0" w:color="auto"/>
              <w:right w:val="single" w:sz="4" w:space="0" w:color="auto"/>
            </w:tcBorders>
          </w:tcPr>
          <w:p w14:paraId="74C168BF" w14:textId="77777777" w:rsidR="00FF449E" w:rsidRDefault="00FF449E" w:rsidP="006C4214">
            <w:pPr>
              <w:pStyle w:val="TableBody"/>
              <w:spacing w:line="240" w:lineRule="atLeast"/>
            </w:pPr>
            <w:r>
              <w:t>Hobart</w:t>
            </w:r>
          </w:p>
        </w:tc>
        <w:tc>
          <w:tcPr>
            <w:tcW w:w="6905" w:type="dxa"/>
            <w:tcBorders>
              <w:top w:val="single" w:sz="4" w:space="0" w:color="auto"/>
              <w:left w:val="single" w:sz="4" w:space="0" w:color="auto"/>
              <w:bottom w:val="single" w:sz="4" w:space="0" w:color="auto"/>
              <w:right w:val="single" w:sz="4" w:space="0" w:color="auto"/>
            </w:tcBorders>
          </w:tcPr>
          <w:p w14:paraId="3ADC6D36" w14:textId="77777777" w:rsidR="00FF449E" w:rsidRPr="00F064AB" w:rsidRDefault="00FF449E" w:rsidP="006C4214">
            <w:pPr>
              <w:spacing w:after="0"/>
              <w:rPr>
                <w:rFonts w:ascii="Calibri" w:hAnsi="Calibri"/>
              </w:rPr>
            </w:pPr>
            <w:r>
              <w:t>LY8L, LY8P, LY9I, LY9J, LY9K, LY9L, LY9M, LY9N, LY9O, LY9P, LZ2D, LZ2H, LZ3A, LZ3B, LZ3C, LZ3D, LZ3E, LZ3F, LZ3G, LZ3H, LY8H4, LY8H5, LY8H6, LY8H7, LY8H8, LY8H9, LY9E4, LY9E5, LY9E6, LY9E7, LY9E8, LY9E9, LY9F4, LY9F5, LY9F6, LY9F7, LY9F8, LY9F9, LY9G4, LY9G5, LY9G6, LY9G7, LY9G8, LY9G9, LY9H4, LY9H5, LY9H6, LY9H7, LY9H8, LY9H9, LZ2L1, LZ2L2, LZ2L3, LZ3I1, LZ3I2, LZ3I3, LZ3J1, LZ3J2, LZ3J3, LZ3K1, LZ3K2, LZ3K3, LZ3L1, LZ3L2, LZ3L3</w:t>
            </w:r>
          </w:p>
        </w:tc>
      </w:tr>
      <w:tr w:rsidR="00FF449E" w14:paraId="3A0A5B0E" w14:textId="77777777" w:rsidTr="006C4214">
        <w:trPr>
          <w:cantSplit/>
        </w:trPr>
        <w:tc>
          <w:tcPr>
            <w:tcW w:w="1460" w:type="dxa"/>
            <w:tcBorders>
              <w:top w:val="single" w:sz="4" w:space="0" w:color="auto"/>
              <w:left w:val="single" w:sz="4" w:space="0" w:color="auto"/>
              <w:bottom w:val="single" w:sz="4" w:space="0" w:color="auto"/>
              <w:right w:val="single" w:sz="4" w:space="0" w:color="auto"/>
            </w:tcBorders>
          </w:tcPr>
          <w:p w14:paraId="50AC22F9" w14:textId="77777777" w:rsidR="00FF449E" w:rsidRDefault="00FF449E" w:rsidP="006C4214">
            <w:pPr>
              <w:pStyle w:val="TableBody"/>
              <w:spacing w:line="240" w:lineRule="atLeast"/>
            </w:pPr>
            <w:r>
              <w:t>Launceston</w:t>
            </w:r>
          </w:p>
        </w:tc>
        <w:tc>
          <w:tcPr>
            <w:tcW w:w="6905" w:type="dxa"/>
            <w:tcBorders>
              <w:top w:val="single" w:sz="4" w:space="0" w:color="auto"/>
              <w:left w:val="single" w:sz="4" w:space="0" w:color="auto"/>
              <w:bottom w:val="single" w:sz="4" w:space="0" w:color="auto"/>
              <w:right w:val="single" w:sz="4" w:space="0" w:color="auto"/>
            </w:tcBorders>
            <w:vAlign w:val="center"/>
          </w:tcPr>
          <w:p w14:paraId="76C68C89" w14:textId="77777777" w:rsidR="00FF449E" w:rsidRDefault="00FF449E" w:rsidP="006C4214">
            <w:pPr>
              <w:pStyle w:val="TableBody"/>
              <w:spacing w:line="240" w:lineRule="atLeast"/>
            </w:pPr>
            <w:r>
              <w:t>LY5C, LY5D, LY5G, LY5H, LY6A, LY6B, LY6E, LY6F, LY5K1, LY5K2, LY5K3, LY5K4, LY5K5, LY5K6, LY5L1, LY5L2, LY5L3, LY5L4, LY5L5, LY5L6, LY6I1, LY6I2, LY6I3, LY6I4, LY6I5, LY6I6, LY6J1, LY6J2, LY6J3, LY6J4, LY6J5, LY6J6</w:t>
            </w:r>
          </w:p>
        </w:tc>
      </w:tr>
      <w:tr w:rsidR="00FF449E" w14:paraId="203D6F56" w14:textId="77777777" w:rsidTr="006C4214">
        <w:trPr>
          <w:cantSplit/>
        </w:trPr>
        <w:tc>
          <w:tcPr>
            <w:tcW w:w="1460" w:type="dxa"/>
            <w:tcBorders>
              <w:top w:val="single" w:sz="4" w:space="0" w:color="auto"/>
              <w:left w:val="single" w:sz="4" w:space="0" w:color="auto"/>
              <w:bottom w:val="single" w:sz="4" w:space="0" w:color="auto"/>
              <w:right w:val="single" w:sz="4" w:space="0" w:color="auto"/>
            </w:tcBorders>
          </w:tcPr>
          <w:p w14:paraId="3A540885" w14:textId="77777777" w:rsidR="00FF449E" w:rsidRDefault="00FF449E" w:rsidP="006C4214">
            <w:pPr>
              <w:pStyle w:val="TableBody"/>
              <w:spacing w:line="240" w:lineRule="atLeast"/>
            </w:pPr>
            <w:r>
              <w:t>Rockhampton</w:t>
            </w:r>
          </w:p>
        </w:tc>
        <w:tc>
          <w:tcPr>
            <w:tcW w:w="6905" w:type="dxa"/>
            <w:tcBorders>
              <w:top w:val="single" w:sz="4" w:space="0" w:color="auto"/>
              <w:left w:val="single" w:sz="4" w:space="0" w:color="auto"/>
              <w:bottom w:val="single" w:sz="4" w:space="0" w:color="auto"/>
              <w:right w:val="single" w:sz="4" w:space="0" w:color="auto"/>
            </w:tcBorders>
            <w:vAlign w:val="center"/>
          </w:tcPr>
          <w:p w14:paraId="44D7A764" w14:textId="77777777" w:rsidR="00FF449E" w:rsidRPr="00F064AB" w:rsidRDefault="00FF449E" w:rsidP="006C4214">
            <w:pPr>
              <w:spacing w:after="0"/>
              <w:rPr>
                <w:rFonts w:ascii="Calibri" w:hAnsi="Calibri"/>
              </w:rPr>
            </w:pPr>
            <w:r>
              <w:t>MS6A, MS6B, MS6C, MS6D, MS6E, MS6F, MS6G, MS6H, MS6I, MS6J, MS6K, MS6L</w:t>
            </w:r>
          </w:p>
        </w:tc>
      </w:tr>
      <w:tr w:rsidR="00FF449E" w14:paraId="6DC8C941" w14:textId="77777777" w:rsidTr="006C4214">
        <w:trPr>
          <w:cantSplit/>
        </w:trPr>
        <w:tc>
          <w:tcPr>
            <w:tcW w:w="1460" w:type="dxa"/>
            <w:tcBorders>
              <w:top w:val="single" w:sz="4" w:space="0" w:color="auto"/>
              <w:left w:val="single" w:sz="4" w:space="0" w:color="auto"/>
              <w:bottom w:val="single" w:sz="4" w:space="0" w:color="auto"/>
              <w:right w:val="single" w:sz="4" w:space="0" w:color="auto"/>
            </w:tcBorders>
          </w:tcPr>
          <w:p w14:paraId="6FE4FF12" w14:textId="77777777" w:rsidR="00FF449E" w:rsidRDefault="00FF449E" w:rsidP="006C4214">
            <w:pPr>
              <w:pStyle w:val="TableBody"/>
              <w:spacing w:line="240" w:lineRule="atLeast"/>
            </w:pPr>
            <w:r>
              <w:lastRenderedPageBreak/>
              <w:t>Toowoomba</w:t>
            </w:r>
          </w:p>
        </w:tc>
        <w:tc>
          <w:tcPr>
            <w:tcW w:w="6905" w:type="dxa"/>
            <w:tcBorders>
              <w:top w:val="single" w:sz="4" w:space="0" w:color="auto"/>
              <w:left w:val="single" w:sz="4" w:space="0" w:color="auto"/>
              <w:bottom w:val="single" w:sz="4" w:space="0" w:color="auto"/>
              <w:right w:val="single" w:sz="4" w:space="0" w:color="auto"/>
            </w:tcBorders>
            <w:vAlign w:val="center"/>
          </w:tcPr>
          <w:p w14:paraId="3F1A44A8" w14:textId="77777777" w:rsidR="00FF449E" w:rsidRPr="00F064AB" w:rsidRDefault="00FF449E" w:rsidP="006C4214">
            <w:pPr>
              <w:spacing w:after="0"/>
              <w:rPr>
                <w:rFonts w:ascii="Calibri" w:hAnsi="Calibri"/>
              </w:rPr>
            </w:pPr>
            <w:r>
              <w:t>NT7H, NT7L, NT8E, NT8F, NT8I, NT8J, NT7G2, NT7G3, NT7G5, NT7G6, NT7G8, NT7G9, NT7K2, NT7K3, NT7K5, NT7K6, NT7K8, NT7K9, NT7O2, NT7O3, NT7O5, NT7O6, NT7P1, NT7P2, NT7P3, NT7P4, NT7P5, NT7P6, NT8M1, NT8M2, NT8M3, NT8M4, NT8M5, NT8M6, NT8N1, NT8N1, NT8N2, NT8N3, NT8N4, NT8N5, NT8N6</w:t>
            </w:r>
          </w:p>
        </w:tc>
      </w:tr>
      <w:tr w:rsidR="00FF449E" w14:paraId="402600A1" w14:textId="77777777" w:rsidTr="006C4214">
        <w:trPr>
          <w:cantSplit/>
        </w:trPr>
        <w:tc>
          <w:tcPr>
            <w:tcW w:w="1460" w:type="dxa"/>
            <w:tcBorders>
              <w:top w:val="single" w:sz="4" w:space="0" w:color="auto"/>
              <w:left w:val="single" w:sz="4" w:space="0" w:color="auto"/>
              <w:bottom w:val="single" w:sz="4" w:space="0" w:color="auto"/>
              <w:right w:val="single" w:sz="4" w:space="0" w:color="auto"/>
            </w:tcBorders>
          </w:tcPr>
          <w:p w14:paraId="4ADDB5DA" w14:textId="77777777" w:rsidR="00FF449E" w:rsidRDefault="00FF449E" w:rsidP="006C4214">
            <w:pPr>
              <w:pStyle w:val="TableBody"/>
              <w:spacing w:line="240" w:lineRule="atLeast"/>
            </w:pPr>
            <w:r>
              <w:t>Townsville</w:t>
            </w:r>
          </w:p>
        </w:tc>
        <w:tc>
          <w:tcPr>
            <w:tcW w:w="6905" w:type="dxa"/>
            <w:tcBorders>
              <w:top w:val="single" w:sz="4" w:space="0" w:color="auto"/>
              <w:left w:val="single" w:sz="4" w:space="0" w:color="auto"/>
              <w:bottom w:val="single" w:sz="4" w:space="0" w:color="auto"/>
              <w:right w:val="single" w:sz="4" w:space="0" w:color="auto"/>
            </w:tcBorders>
            <w:vAlign w:val="center"/>
          </w:tcPr>
          <w:p w14:paraId="3696541F" w14:textId="77777777" w:rsidR="00FF449E" w:rsidRPr="00F064AB" w:rsidRDefault="00FF449E" w:rsidP="006C4214">
            <w:pPr>
              <w:spacing w:after="0"/>
              <w:rPr>
                <w:rFonts w:ascii="Calibri" w:hAnsi="Calibri"/>
              </w:rPr>
            </w:pPr>
            <w:r>
              <w:t>LR2C, LR2D, LR2G, LR2H, LQ8N8, LQ8N9, LQ8O7, LQ8O8, LQ8O9, LQ8P7, LQ8P8, LQ8P9, LR2B2, LR2B3, LR2B5, LR2B6, LR2B8, LR2B9, LR2F2, LR2F3, LR2F5, LR2F6, LR2F8, LR2F9, LR2J2, LR2J3, LR2J5, LR2J6, LR2K1, LR2K2, LR2K3, LR2K4, LR2K5, LR2K6, LR2L1, LR2L2, LR2L3, LR2L4, LR2L5, LR2L6, LR3A1, LR3A2, LR3A4, LR3A5, LR3A7, LR3A8, LR3E1, LR3E2, LR3E4, LR3E5, LR3E7, LR3E8, LR3I1, LR3I2, LR3I4, LR3I5</w:t>
            </w:r>
          </w:p>
        </w:tc>
      </w:tr>
    </w:tbl>
    <w:p w14:paraId="0CF2F263" w14:textId="77777777" w:rsidR="00FF449E" w:rsidRDefault="00FF449E" w:rsidP="00FF449E">
      <w:pPr>
        <w:spacing w:after="0" w:line="240" w:lineRule="auto"/>
      </w:pPr>
    </w:p>
    <w:p w14:paraId="5F4987E5" w14:textId="77777777" w:rsidR="00FF449E" w:rsidRDefault="00FF449E" w:rsidP="00FF449E">
      <w:pPr>
        <w:pStyle w:val="ACMATableHeader"/>
        <w:numPr>
          <w:ilvl w:val="0"/>
          <w:numId w:val="26"/>
        </w:numPr>
      </w:pPr>
      <w:r>
        <w:t>HCIS description of regional areas</w:t>
      </w:r>
    </w:p>
    <w:tbl>
      <w:tblPr>
        <w:tblStyle w:val="TableGrid"/>
        <w:tblW w:w="8222" w:type="dxa"/>
        <w:tblInd w:w="-5" w:type="dxa"/>
        <w:tblLook w:val="04A0" w:firstRow="1" w:lastRow="0" w:firstColumn="1" w:lastColumn="0" w:noHBand="0" w:noVBand="1"/>
      </w:tblPr>
      <w:tblGrid>
        <w:gridCol w:w="1418"/>
        <w:gridCol w:w="6804"/>
      </w:tblGrid>
      <w:tr w:rsidR="00FF449E" w14:paraId="0B514C2A" w14:textId="77777777" w:rsidTr="006C4214">
        <w:tc>
          <w:tcPr>
            <w:tcW w:w="1418" w:type="dxa"/>
            <w:shd w:val="clear" w:color="auto" w:fill="404040" w:themeFill="text1" w:themeFillTint="BF"/>
            <w:vAlign w:val="center"/>
          </w:tcPr>
          <w:p w14:paraId="22EF446B" w14:textId="77777777" w:rsidR="00FF449E" w:rsidRDefault="00FF449E" w:rsidP="006C4214">
            <w:pPr>
              <w:pStyle w:val="ACMATableHeader"/>
              <w:numPr>
                <w:ilvl w:val="0"/>
                <w:numId w:val="0"/>
              </w:numPr>
            </w:pPr>
            <w:r>
              <w:rPr>
                <w:color w:val="FFFFFF" w:themeColor="background1"/>
              </w:rPr>
              <w:t>Sub-area name</w:t>
            </w:r>
          </w:p>
        </w:tc>
        <w:tc>
          <w:tcPr>
            <w:tcW w:w="6804" w:type="dxa"/>
            <w:shd w:val="clear" w:color="auto" w:fill="404040" w:themeFill="text1" w:themeFillTint="BF"/>
            <w:vAlign w:val="center"/>
          </w:tcPr>
          <w:p w14:paraId="502089BF" w14:textId="77777777" w:rsidR="00FF449E" w:rsidRDefault="00FF449E" w:rsidP="006C4214">
            <w:pPr>
              <w:pStyle w:val="ACMATableHeader"/>
              <w:numPr>
                <w:ilvl w:val="0"/>
                <w:numId w:val="0"/>
              </w:numPr>
            </w:pPr>
            <w:r>
              <w:rPr>
                <w:color w:val="FFFFFF" w:themeColor="background1"/>
              </w:rPr>
              <w:t>HCIS</w:t>
            </w:r>
          </w:p>
        </w:tc>
      </w:tr>
      <w:tr w:rsidR="00FF449E" w14:paraId="6EA10872" w14:textId="77777777" w:rsidTr="006C4214">
        <w:tc>
          <w:tcPr>
            <w:tcW w:w="1418" w:type="dxa"/>
          </w:tcPr>
          <w:p w14:paraId="48E3B0B0" w14:textId="77777777" w:rsidR="00FF449E" w:rsidRPr="003C5923" w:rsidRDefault="00FF449E" w:rsidP="006C4214">
            <w:pPr>
              <w:pStyle w:val="ACMATableHeader"/>
              <w:numPr>
                <w:ilvl w:val="0"/>
                <w:numId w:val="0"/>
              </w:numPr>
              <w:rPr>
                <w:b w:val="0"/>
              </w:rPr>
            </w:pPr>
            <w:r w:rsidRPr="003C5923">
              <w:rPr>
                <w:b w:val="0"/>
              </w:rPr>
              <w:t>Regional</w:t>
            </w:r>
          </w:p>
        </w:tc>
        <w:tc>
          <w:tcPr>
            <w:tcW w:w="6804" w:type="dxa"/>
          </w:tcPr>
          <w:p w14:paraId="61FE2A13" w14:textId="77777777" w:rsidR="00FF449E" w:rsidRPr="00D16367" w:rsidRDefault="00FF449E" w:rsidP="006C4214">
            <w:pPr>
              <w:pStyle w:val="ACMATableHeader"/>
              <w:numPr>
                <w:ilvl w:val="0"/>
                <w:numId w:val="0"/>
              </w:numPr>
              <w:spacing w:after="0"/>
              <w:rPr>
                <w:b w:val="0"/>
              </w:rPr>
            </w:pPr>
            <w:r w:rsidRPr="00D16367">
              <w:rPr>
                <w:b w:val="0"/>
              </w:rPr>
              <w:t xml:space="preserve">CV, DV, IV, JV, KQ, KV, LV, MT, MU, AU9, AV9, AW3, BU7, BU8, BV3, BV6, BV7, BV8, BV9, BW1, BW2, BW3, BW5, BW6, CW1, CW2, CW3, CW4, DW1, DW2, DW3, EV1, EV2, EV3, EV4, EV5, EV6, EV7, FV1, FV2, FV3, FV4, FV5, GV1, GV2, GV3, GV6, HV1, HV2, HV3, HV4, HV5, HV6, HV8, HV9, HW3, HW6, IW1, IW2, IW4, IW5, IW7, IW8, IW9, JW2, JW3, JW4, JW5, JW6, JW7, JW8, JW9, JX1, JX2, JX3, JX5, JX6, KO1, KO4, KO5, KO7, KO8, KP1, KP2, KP4, KP5, KP6, KP7, KP8, KP9, KW1, KW2, KW3, KW4, KW5, KW6, KW7, KX1, KX4, KX5, KX8, KX9, KY2, KY3, KY6, LP4, LP7, LQ2, LQ5, LQ7, LR1, LR4, LR5, LR6, LR7, LR8, LR9, LW1, LW2, LW3, LW4, LW7, LX2, LX3, LX5, LX6, LX7, LX8, LX9, LY1, LY2, LY3, LY4, LY7, LZ1, MR1, MR4, MR5, MR7, MR8, MR9, MS1, MS2, MS3, MS4, MS5, MS7, MS8, MS9, MV1, MV2, MV3, MV4, MV5, MV6, MV7, MV8, MW6, MW7, MW8, MW9, MX1, MX2, MX3, MX4, MX7, MY1, MY4, MY7, MZ1, NS4, NS7, NS8, NS9, NT1, NT2, NT3, NT4, NU1, NU4, NU5, NU6, NU7, NU8, NU9, NV1, NV2, NV3, AU6I, AU6J, AU6K, AU6L, AU6M, AU6N, AU6O, AU6P, BU4H, BU4I, BU4J, BU4K, BU4L, BU4M, BU4N, BU4O, BU4P, BU5E, BU5F, BU5G, BU5H, BU5I, BU5J, BU5K, BU5L, BU5M, BU5N, BU5O, BU5P, BU9A, BU9B, BU9E, BU9F, BU9I, BU9J, BU9M, BU9N, BV1A, BV1B, BV1C, BV1D, BV2A, BV2B, BV2C, BV2D, BV2G, BV2H, BV2K, BV2L, BV2O, BV2P, BV5C, BV5D, BV5G, BV5H, BV5K, BV5L, BV5O, BV5P, IW3A, IW3B, IW3C, IW3D, IW6I, IW6J, IW6K, IW6L, IW6M, IW6N, IW6O, IW6P, JW1A, JW1B, JW1C, JW1D, JW1F, JW1G, JW1H, JW1J, JW1K, JW1L, JW1N, JW1O, JW1P, KW8A, KW8B, KW8C, KW8D, KW8E, KW8F, KW8G, KW8I, KW8J, KW8K, KW8M, KW8N, KW8O, KW9A, KW9B, KW9C, KW9D, KW9H, KW9L, KW9P, KX2A, KX2B, KX2E, KX2F, KX2I, KX2J, KX2M, KX2N, KX3D, KX6M, KX6N, KX6O, KX6P, LQ1A, LQ1B, LQ1C, LQ1D, LQ1E, LQ1F, LQ1G, LQ1H, LQ1I, LQ1M, LQ4A, LQ4E, LQ4F, LQ4G, LQ4H, LQ4I, LQ4J, LQ4K, LQ4L, LQ4M, LQ4N, LQ4O, LQ4P, LQ8A, LQ8B, LQ8C, LQ8D, LQ8E, LQ8F, LQ8G, LQ8H, LQ8I, LQ8J, LQ8K, LQ8L, LQ8M, LR2A, LR2E, LR2I, LR2M, LR2N, LR2O, LR2P, LR3B, LR3C, LR3D, LR3F, LR3G, LR3H, LR3J, LR3K, LR3L, LR3M, LR3N, LR3O, LR3P, LW5A, LW5B, LW5C, LW5D, LW5E, LW5F, LW5G, LW5H, LW5I, LW5J, LW5K, LW5L, LW5M, LW5N, LW6A, LW6B, LW6C, LW6D, LW6E, LW6F, LW6G, LW6H, LW6I, LW6J, LW6K, LW6L, LW6N, LW6O, LW6P, LW8A, LW8B, LW8E, LW8F, LW8I, LW8J, LW8K, LW8L, LW8M, LW8N, LW8O, LW8P, LW9B, LW9C, LW9D, LW9F, LW9G, LW9H, LW9I, LW9J, LW9K, LW9L, LW9M, LW9N, LW9O, LW9P, LX1A, LX1B, LX1C, LX1D, LX1F, LX1G, LX1H, LX1L, LX1P, LX4D, LX4G, LX4H, LX4K, LX4L, LX4M, LX4N, LX4O, LX4P, LY5A, LY5B, LY5E, LY5F, LY5I, LY5J, LY5M, LY5N, LY5O, LY5P, LY6C, LY6D, LY6G, LY6H, LY6K, LY6L, LY6M, LY6N, LY6O, </w:t>
            </w:r>
            <w:r w:rsidRPr="00D16367">
              <w:rPr>
                <w:b w:val="0"/>
              </w:rPr>
              <w:lastRenderedPageBreak/>
              <w:t xml:space="preserve">LY6P, LY8A, LY8B, LY8C, LY8D, LY8E, LY8F, LY8G, LY8I, LY8J, LY8K, LY8M, LY8N, LY8O, LY9A, LY9B, LY9C, LY9D, LZ2A, LZ2B, LZ2C, LZ2E, LZ2F, LZ2G, LZ2I, LZ2J, LZ2K, LZ2M, LZ2N, LZ2O, LZ2P, LZ3M, LZ3N, LZ3O, LZ3P, MS6M, MS6N, MS6O, MS6P, MV9A, MV9B, MV9C, MW1A, MW1B, MW1C, MW1D, MW1E, MW1F, MW1G, MW1H, MW1I, MW1J, MW1K, MW1L, MW1M, MW1N, MW1O, MW2A, MW2B, MW2C, MW2D, MW2E, MW2F, MW2G, MW2H, MW2I, MW2J, MW2K, MW2L, MW2O, MW2P, MW3A, MW3E, MW3I, MW3M, MW3N, MW4A, MW4B, MW4C, MW4E, MW4F, MW4G, MW4I, MW4J, MW4K, MW4M, MW4N, MW4O, MW5C, MW5D, MW5G, MW5H, MW5K, MW5L, MW5O, MW5P, NT5A, NT5B, NT5C, NT5D, NT5E, NT5F, NT5G, NT5H, NT5I, NT5J, NT5K, NT5L, NT5M, NT5N, NT6A, NT6B, NT6C, NT6D, NT6E, NT6F, NT6G, NT6H, NT6I, NT6J, NT6K, NT6L, NT7A, NT7B, NT7C, NT7D, NT7E, NT7F, NT7I, NT7J, NT7M, NT7N, NT8A, NT8B, NU2A, NU2B, NU2E, NU2F, NU2G, NU2I, NU2J, NU2K, NU2L, NU2M, NU2N, NU2O, NU2P, NU3M, NU3N, NU3O, NU3P, NV4A, NV4B, NV4C, NV4D, NV4E, NV4F, NV4G, NV4H, NV5A, NV5B, NV5C, NV5D, NV5E, NV5F, NV5G, NV5H, BV1E1, BV1E2, BV1E3, BV1E4, BV1E5, BV1E6, BV1F1, BV1F2, BV1F3, BV1F4, BV1F5, BV1F6, BV1G1, BV1G2, BV1G3, BV1G4, BV1G5, BV1G6, BV1H1, BV1H2, BV1H3, BV1H4, BV1H5, BV1H6, BV2E1, BV2E2, BV2E3, BV2E4, BV2E5, BV2E6, BV2F1, BV2F2, BV2F3, BV2F4, BV2F5, BV2F6, BV4M4, BV4M5, BV4M6, BV4M7, BV4M8, BV4M9, BV4N4, BV4N5, BV4N6, BV4N7, BV4N8, BV4N9, BV4O4, BV4O5, BV4O6, BV4O7, BV4O8, BV4O9, BV4P4, BV4P5, BV4P6, BV4P7, BV4P8, BV4P9, BV5M4, BV5M5, BV5M6, BV5M7, BV5M8, BV5M9, BV5N4, BV5N5, BV5N6, BV5N7, BV5N8, BV5N9, IW3E1, IW3E2, IW3E3, IW3E4, IW3E7, IW3F1, IW3F2, IW3F3, IW3G1, IW3G2, IW3G3, IW3H1, IW3H2, IW3H3, IW3I1, IW3I4, IW3I7, IW3M1, IW3M4, IW3M7, IW6A1, IW6A4, IW6A7, IW6E1, IW6E4, IW6E7, JW1E1, JW1E2, JW1E3, JW1E5, JW1E6, JW1E8, JW1E9, JW1I2, JW1I3, JW1I5, JW1I6, JW1I8, JW1I9, JW1M2, JW1M3, JW1M5, JW1M6, JW1M7, JW1M8, JW1M9, KW8H1, KW8H2, KW8H3, KW8H4, KW8H5, KW8H7, KW8H8, KW8L1, KW8L2, KW8L4, KW8L5, KW8L7, KW8L8, KW8P1, KW8P2, KW8P4, KW8P5, KW8P7, KW8P8, KW9E1, KW9E2, KW9E3, KW9F1, KW9F2, KW9F3, KW9G1, KW9G2, KW9G3, KW9G6, KW9G9, KW9K3, KW9K6, KW9K9, KW9O3, KW9O6, KW9O9, KX2C1, KX2C2, KX2C3, KX2C4, KX2C5, KX2C6, KX2D1, KX2D2, KX2D4, KX2D5, KX2O7, KX2O8, KX2O9, KX2P7, KX2P8, KX2P9, KX3C3, KX3C6, KX3C9, KX3G3, KX3H1, KX3H2, KX3H3, LQ1J1, LQ1J4, LQ1J7, LQ1N1, LQ1N4, LQ1N7, LQ4B1, LQ4B4, LQ4B7, LQ4B8, LQ4B9, LQ4C7, LQ4C8, LQ4C9, LQ4D7, LQ4D8, LQ4D9, LQ8N1, LQ8N2, LQ8N3, LQ8N4, LQ8N5, LQ8N6, LQ8N7, LQ8O1, LQ8O2, LQ8O3, LQ8O4, LQ8O5, LQ8O6, LQ8P1, LQ8P2, LQ8P3, LQ8P4, LQ8P5, LQ8P6, LR2B1, LR2B4, LR2B7, LR2F1, LR2F4, LR2F7, LR2J1, LR2J4, LR2J7, LR2J8, LR2J9, LR2K7, LR2K8, LR2K9, LR2L7, LR2L8, LR2L9, LR3A3, LR3A6, LR3A9, LR3E3, LR3E6, LR3E9, LR3I3, LR3I6, LR3I7, LR3I8, LR3I9, LW5O1, LW5O4, LW5O7, LW8C1, LW8C4, LW8C7, LW8G1, LW8G4, LW8G7, LX1E1, LX1E2, LX1E3, LX1E5, LX1E6, LX1J2, LX1J3, LX1K1, LX1K2, LX1K3, LX1K5, LX1K6, LX1K8, LX1K9, LX4F3, LX4F6, LX4F9, LX4J3, LX4J6, LX4J9, LY5K7, LY5K8, LY5K9, LY5L7, LY5L8, LY5L9, LY6I7, LY6I8, LY6I9, LY6J7, LY6J8, LY6J9, LY8H1, LY8H2, LY8H3, LY9E1, LY9E2, LY9E3, LY9F1, LY9F2, LY9F3, LY9G1, LY9G2, LY9G3, LY9H1, LY9H2, LY9H3, LZ2L4, LZ2L5, LZ2L6, LZ2L7, LZ2L8, LZ2L9, LZ3I4, LZ3I5, LZ3I6, LZ3I7, LZ3I8, LZ3I9, LZ3J4, LZ3J5, LZ3J6, LZ3J7, LZ3J8, LZ3J9, LZ3K4, LZ3K5, LZ3K6, LZ3K7, LZ3K8, LZ3K9, LZ3L4, LZ3L5, LZ3L6, LZ3L7, LZ3L8, LZ3L9, MV9D1, MV9D2, MV9D3, MV9D4, MV9D5, MV9D7, MV9D8, MV9E1, MV9E2, MV9E3, MV9F1, MV9F2, MV9F3, MV9G1, MV9G2, MV9G3, MV9H1, MV9H2, MW1P1, MW1P2, MW1P3, MW2M1, MW2M2, MW2M3, MW2N1, MW2N2, MW2N3, MW3B1, MW3B4, MW3B7, MW3F1, MW3F4, MW3F7, MW3J1, MW3J4, MW3J5, </w:t>
            </w:r>
            <w:r w:rsidRPr="00D16367">
              <w:rPr>
                <w:b w:val="0"/>
              </w:rPr>
              <w:lastRenderedPageBreak/>
              <w:t>MW3J6, MW3J7, MW3J8, MW3J9, MW3O4, MW3O5, MW3O6, MW3O7, MW3O8, MW3O9, MW3P4, MW3P5, MW3P6, MW3P7, MW3P8, MW3P9, MW4P4, MW4P5, MW4P6, MW4P7, MW4P8, MW4P9, MW5M4, MW5M5, MW5M6, MW5M7, MW5M8, MW5M9, MW5N4, MW5N5, MW5N6, MW5N7, MW5N8, MW5N9, NT5O1, NT5O2, NT5O3, NT5P1, NT5P2, NT5P3, NT6M1, NT6M2, NT6M3, NT6N1, NT6N2, NT6N3, NT6O1, NT6O2, NT6O3, NT6P1, NT6P2, NT6P3, NT7G1, NT7G4, NT7G7, NT7K1, NT7K4, NT7K7, NT7O1, NT7O4, NT7O7, NT7O8, NT7O9, NT7P7, NT7P8, NT7P9, NT8M7, NT8M8, NT8M9, NT8N7, NT8N8, NT8N9, NU2C4, NU2C5, NU2C6, NU2C7, NU2C8, NU2C9, NU2D4, NU2D7, NU2H1, NU2H4, NU2H5, NU2H6, NU2H7, NU2H8, NU2H9, NU3E4, NU3E7, NU3I1, NU3I4, NU3I5, NU3I6, NU3I7, NU3I8, NU3I9, NU3J4, NU3J5, NU3J6, NU3J7, NU3J8, NU3J9, NU3K4, NU3K5, NU3K6, NU3K7, NU3K8, NU3K9, NU3L4, NU3L5, NU3L6, NU3L7, NU3L8, NU3L9, NV4I1, NV4I2, NV4I3, NV4I4, NV4I7, NV4J1, NV4J2, NV4J3, NV4K1, NV4K2, NV4K3, NV4L1, NV4L2, NV4L3, NV4M1, NV4M4, NV4M7, NV5I1, NV5I2, NV5I3, NV5J1, NV5J2, NV5J3, NV5K1, NV5K2, NV5K3, NV5L1, NV5L2, NV5L3, NV7A1, NW1M4, NW1M5, NW1M6, NW1M7, NW1M8, NW1M9, NW1N4, NW1N5, NW1N6, NW1N7, NW1N8, NW1N9, NW1O4, NW1O5, NW1O6, NW1O7, NW1O8, NW1O9, NW1P4, NW1P5, NW1P6, NW1P7, NW1P8, NW1P9</w:t>
            </w:r>
          </w:p>
        </w:tc>
      </w:tr>
    </w:tbl>
    <w:p w14:paraId="32CDECAF" w14:textId="77777777" w:rsidR="00FF449E" w:rsidRDefault="00FF449E" w:rsidP="00FF449E">
      <w:pPr>
        <w:pStyle w:val="ACMATableHeader"/>
        <w:numPr>
          <w:ilvl w:val="0"/>
          <w:numId w:val="0"/>
        </w:numPr>
        <w:ind w:left="964" w:hanging="964"/>
      </w:pPr>
    </w:p>
    <w:p w14:paraId="20FDC560" w14:textId="77777777" w:rsidR="00FF449E" w:rsidRDefault="00FF449E" w:rsidP="00FF449E">
      <w:pPr>
        <w:pStyle w:val="ACMATableHeader"/>
        <w:numPr>
          <w:ilvl w:val="0"/>
          <w:numId w:val="26"/>
        </w:numPr>
      </w:pPr>
      <w:r>
        <w:t>HCIS description of the areas covered by NBN Co’s 3.5 GHz PTS licences</w:t>
      </w:r>
    </w:p>
    <w:tbl>
      <w:tblPr>
        <w:tblStyle w:val="TableGrid"/>
        <w:tblW w:w="8365" w:type="dxa"/>
        <w:tblLayout w:type="fixed"/>
        <w:tblLook w:val="04A0" w:firstRow="1" w:lastRow="0" w:firstColumn="1" w:lastColumn="0" w:noHBand="0" w:noVBand="1"/>
        <w:tblCaption w:val="HCIS description of areas"/>
        <w:tblDescription w:val="Table containing a descirption of the different area re-farming options "/>
      </w:tblPr>
      <w:tblGrid>
        <w:gridCol w:w="1460"/>
        <w:gridCol w:w="6905"/>
      </w:tblGrid>
      <w:tr w:rsidR="00FF449E" w14:paraId="77991D7F" w14:textId="77777777" w:rsidTr="006C4214">
        <w:trPr>
          <w:cantSplit/>
          <w:tblHeader/>
        </w:trPr>
        <w:tc>
          <w:tcPr>
            <w:tcW w:w="1460"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4289B882" w14:textId="77777777" w:rsidR="00FF449E" w:rsidRDefault="00FF449E" w:rsidP="006C4214">
            <w:pPr>
              <w:pStyle w:val="TableHeading"/>
              <w:rPr>
                <w:color w:val="FFFFFF" w:themeColor="background1"/>
              </w:rPr>
            </w:pPr>
            <w:r>
              <w:rPr>
                <w:color w:val="FFFFFF" w:themeColor="background1"/>
              </w:rPr>
              <w:t>Sub-area name</w:t>
            </w:r>
          </w:p>
        </w:tc>
        <w:tc>
          <w:tcPr>
            <w:tcW w:w="6905" w:type="dxa"/>
            <w:tcBorders>
              <w:top w:val="single" w:sz="4" w:space="0" w:color="auto"/>
              <w:left w:val="single" w:sz="4" w:space="0" w:color="auto"/>
              <w:bottom w:val="single" w:sz="4" w:space="0" w:color="auto"/>
              <w:right w:val="single" w:sz="4" w:space="0" w:color="auto"/>
            </w:tcBorders>
            <w:shd w:val="clear" w:color="auto" w:fill="404040" w:themeFill="text1" w:themeFillTint="BF"/>
            <w:vAlign w:val="center"/>
            <w:hideMark/>
          </w:tcPr>
          <w:p w14:paraId="38783BC1" w14:textId="77777777" w:rsidR="00FF449E" w:rsidRDefault="00FF449E" w:rsidP="006C4214">
            <w:pPr>
              <w:pStyle w:val="TableHeading"/>
              <w:rPr>
                <w:color w:val="FFFFFF" w:themeColor="background1"/>
              </w:rPr>
            </w:pPr>
            <w:r>
              <w:rPr>
                <w:color w:val="FFFFFF" w:themeColor="background1"/>
              </w:rPr>
              <w:t>HCIS</w:t>
            </w:r>
          </w:p>
        </w:tc>
      </w:tr>
      <w:tr w:rsidR="00FF449E" w14:paraId="6A5AB4C5" w14:textId="77777777" w:rsidTr="006C4214">
        <w:trPr>
          <w:cantSplit/>
        </w:trPr>
        <w:tc>
          <w:tcPr>
            <w:tcW w:w="1460" w:type="dxa"/>
            <w:tcBorders>
              <w:top w:val="single" w:sz="4" w:space="0" w:color="auto"/>
              <w:left w:val="single" w:sz="4" w:space="0" w:color="auto"/>
              <w:bottom w:val="single" w:sz="4" w:space="0" w:color="auto"/>
              <w:right w:val="single" w:sz="4" w:space="0" w:color="auto"/>
            </w:tcBorders>
            <w:hideMark/>
          </w:tcPr>
          <w:p w14:paraId="480D8ECB" w14:textId="77777777" w:rsidR="00FF449E" w:rsidRDefault="00FF449E" w:rsidP="006C4214">
            <w:pPr>
              <w:pStyle w:val="TableBody"/>
              <w:spacing w:line="240" w:lineRule="atLeast"/>
            </w:pPr>
            <w:r>
              <w:t>Adelaide B</w:t>
            </w:r>
          </w:p>
        </w:tc>
        <w:tc>
          <w:tcPr>
            <w:tcW w:w="6905" w:type="dxa"/>
            <w:tcBorders>
              <w:top w:val="single" w:sz="4" w:space="0" w:color="auto"/>
              <w:left w:val="single" w:sz="4" w:space="0" w:color="auto"/>
              <w:bottom w:val="single" w:sz="4" w:space="0" w:color="auto"/>
              <w:right w:val="single" w:sz="4" w:space="0" w:color="auto"/>
            </w:tcBorders>
          </w:tcPr>
          <w:p w14:paraId="4B2BCCC0" w14:textId="77777777" w:rsidR="00FF449E" w:rsidRDefault="00FF449E" w:rsidP="006C4214">
            <w:pPr>
              <w:pStyle w:val="TableBody"/>
              <w:spacing w:line="240" w:lineRule="atLeast"/>
            </w:pPr>
            <w:r>
              <w:t>IV8K, IV8L, IV8N, IV8O, IV8P, IV9I, IV9J, IV9K, IV9L, IV9M, IV9N, IV9O, IV9P, IW1P, IW2, IW3, IW4D, IW4H, IW4K, IW4L, IW4N, IW4O, IW4P, IW5, IW6, IW7, IW8, IW9, JV7M, JV7N, JV7O, JV7P, JV8M, JW1, JW2A, JW2B, JW2E, JW2F, JW2G, JW2I, JW2J, JW2K, JW2M, JW2N, JW2O, JW4, JW5A, JW5B, JW5C, JW5E, JW5F, JW5I, JW5J, JW5M, JW7A, JW7B, JW7C, JW7D, JW7E, JW7F, JW7G, JW7I</w:t>
            </w:r>
          </w:p>
        </w:tc>
      </w:tr>
      <w:tr w:rsidR="00FF449E" w14:paraId="51D55B19" w14:textId="77777777" w:rsidTr="006C4214">
        <w:trPr>
          <w:cantSplit/>
        </w:trPr>
        <w:tc>
          <w:tcPr>
            <w:tcW w:w="1460" w:type="dxa"/>
            <w:tcBorders>
              <w:top w:val="single" w:sz="4" w:space="0" w:color="auto"/>
              <w:left w:val="single" w:sz="4" w:space="0" w:color="auto"/>
              <w:bottom w:val="single" w:sz="4" w:space="0" w:color="auto"/>
              <w:right w:val="single" w:sz="4" w:space="0" w:color="auto"/>
            </w:tcBorders>
            <w:hideMark/>
          </w:tcPr>
          <w:p w14:paraId="34D5CD4C" w14:textId="77777777" w:rsidR="00FF449E" w:rsidRDefault="00FF449E" w:rsidP="006C4214">
            <w:pPr>
              <w:pStyle w:val="TableBody"/>
              <w:spacing w:line="240" w:lineRule="atLeast"/>
            </w:pPr>
            <w:r>
              <w:t>Brisbane B</w:t>
            </w:r>
          </w:p>
        </w:tc>
        <w:tc>
          <w:tcPr>
            <w:tcW w:w="6905" w:type="dxa"/>
            <w:tcBorders>
              <w:top w:val="single" w:sz="4" w:space="0" w:color="auto"/>
              <w:left w:val="single" w:sz="4" w:space="0" w:color="auto"/>
              <w:bottom w:val="single" w:sz="4" w:space="0" w:color="auto"/>
              <w:right w:val="single" w:sz="4" w:space="0" w:color="auto"/>
            </w:tcBorders>
          </w:tcPr>
          <w:p w14:paraId="0931AD63" w14:textId="77777777" w:rsidR="00FF449E" w:rsidRDefault="00FF449E" w:rsidP="006C4214">
            <w:pPr>
              <w:pStyle w:val="TableBody"/>
              <w:spacing w:line="240" w:lineRule="atLeast"/>
            </w:pPr>
            <w:r>
              <w:t>NT4G, NT4H, NT4K, NT4L, NT4O, NT4P, NT5D, NT5E, NT5F, NT5G, NT5H, NT5I, NT5J, NT5K, NT5L, NT5M, NT5N, NT5O, NT5P, NT6, NT7C, NT7D, NT7G, NT7H, NT7K, NT7L, NT7O, NT7P, NT8, NT9, NU2B, NU2C, NU2D, NU2F, NU2G, NU2H, NU2L, NU3</w:t>
            </w:r>
          </w:p>
        </w:tc>
      </w:tr>
      <w:tr w:rsidR="00FF449E" w14:paraId="502CBBF0" w14:textId="77777777" w:rsidTr="006C4214">
        <w:trPr>
          <w:cantSplit/>
        </w:trPr>
        <w:tc>
          <w:tcPr>
            <w:tcW w:w="1460" w:type="dxa"/>
            <w:tcBorders>
              <w:top w:val="single" w:sz="4" w:space="0" w:color="auto"/>
              <w:left w:val="single" w:sz="4" w:space="0" w:color="auto"/>
              <w:bottom w:val="single" w:sz="4" w:space="0" w:color="auto"/>
              <w:right w:val="single" w:sz="4" w:space="0" w:color="auto"/>
            </w:tcBorders>
            <w:hideMark/>
          </w:tcPr>
          <w:p w14:paraId="0114A767" w14:textId="77777777" w:rsidR="00FF449E" w:rsidRDefault="00FF449E" w:rsidP="006C4214">
            <w:pPr>
              <w:pStyle w:val="TableBody"/>
              <w:spacing w:line="240" w:lineRule="atLeast"/>
            </w:pPr>
            <w:r>
              <w:t>Canberra/ Sydney B</w:t>
            </w:r>
          </w:p>
        </w:tc>
        <w:tc>
          <w:tcPr>
            <w:tcW w:w="6905" w:type="dxa"/>
            <w:tcBorders>
              <w:top w:val="single" w:sz="4" w:space="0" w:color="auto"/>
              <w:left w:val="single" w:sz="4" w:space="0" w:color="auto"/>
              <w:bottom w:val="single" w:sz="4" w:space="0" w:color="auto"/>
              <w:right w:val="single" w:sz="4" w:space="0" w:color="auto"/>
            </w:tcBorders>
          </w:tcPr>
          <w:p w14:paraId="1066BB51" w14:textId="77777777" w:rsidR="00FF449E" w:rsidRDefault="00FF449E" w:rsidP="006C4214">
            <w:pPr>
              <w:pStyle w:val="TableBody"/>
              <w:spacing w:line="240" w:lineRule="atLeast"/>
            </w:pPr>
            <w:r>
              <w:t>MV2P, MV3L, MV3M, MV3N, MV3O, MV3P, MV5D, MV5H, MV5L, MV5P, MV6, MV8D, MV8H, MV8J, MV8K, MV8L, MV8N, MV8O, MV8P, MV9, MW, MX1C, MX1D, MX1H, MX2A, MX2B, MX2C, MX2D, MX2E, MX2F, MX2G, MX2H, MX3A, MX3B, MX3C, MX3D, MX3E, MX3F, MX3G, MX3H, NV1I, NV1J, NV1K, NV1L, NV1M, NV1N, NV1O, NV1P, NV2I, NV2J, NV2K, NV2L, NV2M, NV2N, NV2O, NV2P, NV3I, NV3J, NV3K, NV3L, NV3M, NV3N, NV3O, NV3P, NV4, NV5, NV7, NW1</w:t>
            </w:r>
          </w:p>
        </w:tc>
      </w:tr>
      <w:tr w:rsidR="00FF449E" w14:paraId="3BA2D44C" w14:textId="77777777" w:rsidTr="006C4214">
        <w:trPr>
          <w:cantSplit/>
          <w:trHeight w:val="1441"/>
        </w:trPr>
        <w:tc>
          <w:tcPr>
            <w:tcW w:w="1460" w:type="dxa"/>
            <w:tcBorders>
              <w:top w:val="single" w:sz="4" w:space="0" w:color="auto"/>
              <w:left w:val="single" w:sz="4" w:space="0" w:color="auto"/>
              <w:bottom w:val="single" w:sz="4" w:space="0" w:color="auto"/>
              <w:right w:val="single" w:sz="4" w:space="0" w:color="auto"/>
            </w:tcBorders>
            <w:hideMark/>
          </w:tcPr>
          <w:p w14:paraId="5F32BD4A" w14:textId="77777777" w:rsidR="00FF449E" w:rsidRDefault="00FF449E" w:rsidP="006C4214">
            <w:pPr>
              <w:pStyle w:val="TableBody"/>
              <w:spacing w:line="240" w:lineRule="atLeast"/>
            </w:pPr>
            <w:r>
              <w:t>Melbourne B</w:t>
            </w:r>
          </w:p>
        </w:tc>
        <w:tc>
          <w:tcPr>
            <w:tcW w:w="6905" w:type="dxa"/>
            <w:tcBorders>
              <w:top w:val="single" w:sz="4" w:space="0" w:color="auto"/>
              <w:left w:val="single" w:sz="4" w:space="0" w:color="auto"/>
              <w:bottom w:val="single" w:sz="4" w:space="0" w:color="auto"/>
              <w:right w:val="single" w:sz="4" w:space="0" w:color="auto"/>
            </w:tcBorders>
          </w:tcPr>
          <w:p w14:paraId="3894B2F9" w14:textId="77777777" w:rsidR="00FF449E" w:rsidRDefault="00FF449E" w:rsidP="006C4214">
            <w:pPr>
              <w:pStyle w:val="TableBody"/>
              <w:spacing w:line="240" w:lineRule="atLeast"/>
            </w:pPr>
            <w:r>
              <w:t>KW8H, KW8I, KW8J, KW8K, KW8L, KW8M, KW8N, KW8O, KW8P, KW9E, KW9F, KW9G, KW9H, KW9I, KW9J, KW9K, KW9L, KW9M, KW9N, KW9O, KW9P, KX1P, KX2, KX3, KX4D, KX4H, KX4L, KX4P, KX5, KX6, KX8, KX9, LW7I, LW7J, LW7M, LW7N, LW7O, LW7P, LX1, LX2E, LX2I, LX2M, LX2N, LX2O, LX4, LX5A, LX5B, LX5C, LX5D, LX5E, LX5F, LX5G, LX5H, LX5I, LX5J, LX5K, LX5L, LX5M, LX5N, LX5O, LX5P, LX7, LX8</w:t>
            </w:r>
          </w:p>
        </w:tc>
      </w:tr>
      <w:tr w:rsidR="00FF449E" w14:paraId="40DAC129" w14:textId="77777777" w:rsidTr="006C4214">
        <w:trPr>
          <w:cantSplit/>
        </w:trPr>
        <w:tc>
          <w:tcPr>
            <w:tcW w:w="1460" w:type="dxa"/>
            <w:tcBorders>
              <w:top w:val="single" w:sz="4" w:space="0" w:color="auto"/>
              <w:left w:val="single" w:sz="4" w:space="0" w:color="auto"/>
              <w:bottom w:val="single" w:sz="4" w:space="0" w:color="auto"/>
              <w:right w:val="single" w:sz="4" w:space="0" w:color="auto"/>
            </w:tcBorders>
            <w:hideMark/>
          </w:tcPr>
          <w:p w14:paraId="70B73947" w14:textId="77777777" w:rsidR="00FF449E" w:rsidRDefault="00FF449E" w:rsidP="006C4214">
            <w:pPr>
              <w:pStyle w:val="TableBody"/>
              <w:spacing w:line="240" w:lineRule="atLeast"/>
            </w:pPr>
            <w:r>
              <w:t>Perth B</w:t>
            </w:r>
          </w:p>
        </w:tc>
        <w:tc>
          <w:tcPr>
            <w:tcW w:w="6905" w:type="dxa"/>
            <w:tcBorders>
              <w:top w:val="single" w:sz="4" w:space="0" w:color="auto"/>
              <w:left w:val="single" w:sz="4" w:space="0" w:color="auto"/>
              <w:bottom w:val="single" w:sz="4" w:space="0" w:color="auto"/>
              <w:right w:val="single" w:sz="4" w:space="0" w:color="auto"/>
            </w:tcBorders>
          </w:tcPr>
          <w:p w14:paraId="401D588C" w14:textId="77777777" w:rsidR="00FF449E" w:rsidRDefault="00FF449E" w:rsidP="006C4214">
            <w:pPr>
              <w:pStyle w:val="TableBody"/>
              <w:spacing w:line="240" w:lineRule="atLeast"/>
            </w:pPr>
            <w:r>
              <w:t>AU6I, AU6J, AU6K, AU6L, AU6M, AU6N, AU6O, AU6P, AU9, AV9, AW3, BU4H, BU4I, BU4J, BU4K, BU4L, BU4M, BU4N, BU4O, BU4P, BU5E, BU5F, BU5G, BU5H, BU5I, BU5J, BU5K, BU5L, BU5M, BU5N, BU5O, BU5P, BU7, BU8, BU9A, BU9B, BU9E, BU9F, BU9I, BU9J, BU9M, BU9N, BV1, BV2, BV3A, BV3B, BV3E, BV3F, BV3I, BV3J, BV3M, BV3N, BV4, BV5, BV6A, BV6B, BV6E, BV6F, BV6I, BV6J, BV6M, BV6N, BV7, BV8, BV9A, BV9B, BV9E, BV9F, BV9I, BV9J, BV9M, BV9N, BW1, BW2, BW3A, BW5</w:t>
            </w:r>
          </w:p>
        </w:tc>
      </w:tr>
    </w:tbl>
    <w:p w14:paraId="2331149E" w14:textId="77777777" w:rsidR="00FF449E" w:rsidRDefault="00FF449E" w:rsidP="00FF449E"/>
    <w:p w14:paraId="2CF0B942" w14:textId="15FEE117" w:rsidR="00FF449E" w:rsidRDefault="00FF449E" w:rsidP="00FF449E">
      <w:pPr>
        <w:pStyle w:val="Heading1"/>
      </w:pPr>
      <w:bookmarkStart w:id="173" w:name="_Toc6923143"/>
      <w:r w:rsidRPr="006D46E5">
        <w:lastRenderedPageBreak/>
        <w:t xml:space="preserve">Appendix </w:t>
      </w:r>
      <w:r>
        <w:t>C</w:t>
      </w:r>
      <w:r w:rsidR="004A2F7F">
        <w:t>—</w:t>
      </w:r>
      <w:r>
        <w:t>Detailed licence arrangements and possible defrag outcome</w:t>
      </w:r>
      <w:bookmarkEnd w:id="173"/>
    </w:p>
    <w:p w14:paraId="29FFD3DF" w14:textId="78A2F42A" w:rsidR="00FF449E" w:rsidRPr="009531CB" w:rsidRDefault="00FF449E" w:rsidP="00FF449E">
      <w:r w:rsidRPr="009531CB">
        <w:t>Figure 18 provides a summary of existing spectrum licence holdings</w:t>
      </w:r>
      <w:r w:rsidR="00E55581">
        <w:t xml:space="preserve"> and apparatus licence arrangements</w:t>
      </w:r>
      <w:r w:rsidRPr="009531CB">
        <w:t xml:space="preserve"> in the 3400</w:t>
      </w:r>
      <w:r>
        <w:t>–</w:t>
      </w:r>
      <w:r w:rsidRPr="009531CB">
        <w:t xml:space="preserve">3575 MHz band. Note that the geographical area descriptors used are meant to be indicative only. A detailed description is available in Licence Schedule 1 of the </w:t>
      </w:r>
      <w:hyperlink r:id="rId101" w:history="1">
        <w:r w:rsidRPr="009531CB">
          <w:rPr>
            <w:rStyle w:val="Hyperlink"/>
          </w:rPr>
          <w:t>individual spectrum licences</w:t>
        </w:r>
      </w:hyperlink>
      <w:r w:rsidR="008B6F78" w:rsidRPr="008B6F78">
        <w:t xml:space="preserve"> </w:t>
      </w:r>
      <w:r w:rsidR="008B6F78">
        <w:t xml:space="preserve">and </w:t>
      </w:r>
      <w:r w:rsidR="008B6F78" w:rsidRPr="003C5923">
        <w:t>Appendix B</w:t>
      </w:r>
      <w:r w:rsidRPr="009531CB">
        <w:t xml:space="preserve">. </w:t>
      </w:r>
    </w:p>
    <w:p w14:paraId="566FE302" w14:textId="77777777" w:rsidR="00FF449E" w:rsidRPr="009531CB" w:rsidRDefault="00FF449E" w:rsidP="003C5923">
      <w:pPr>
        <w:spacing w:after="80"/>
      </w:pPr>
      <w:r w:rsidRPr="009531CB">
        <w:t xml:space="preserve">As shown in Figure 18: </w:t>
      </w:r>
    </w:p>
    <w:p w14:paraId="1D64AB21" w14:textId="1E7DDB62" w:rsidR="00FF449E" w:rsidRPr="002E64F5" w:rsidRDefault="00FF449E" w:rsidP="00FF449E">
      <w:pPr>
        <w:pStyle w:val="ListBullet"/>
        <w:numPr>
          <w:ilvl w:val="0"/>
          <w:numId w:val="18"/>
        </w:numPr>
        <w:tabs>
          <w:tab w:val="num" w:pos="295"/>
        </w:tabs>
        <w:spacing w:line="240" w:lineRule="auto"/>
        <w:ind w:left="295" w:hanging="295"/>
        <w:rPr>
          <w:szCs w:val="20"/>
        </w:rPr>
      </w:pPr>
      <w:r w:rsidRPr="002E64F5">
        <w:rPr>
          <w:szCs w:val="20"/>
        </w:rPr>
        <w:t>PMP arrangements are fragmented in regional areas</w:t>
      </w:r>
      <w:r>
        <w:rPr>
          <w:szCs w:val="20"/>
        </w:rPr>
        <w:t xml:space="preserve">. </w:t>
      </w:r>
    </w:p>
    <w:p w14:paraId="3A05DDF1" w14:textId="45D5B3B2" w:rsidR="00FF449E" w:rsidRPr="002E64F5" w:rsidRDefault="00FF449E" w:rsidP="00FF449E">
      <w:pPr>
        <w:pStyle w:val="ListBullet"/>
        <w:numPr>
          <w:ilvl w:val="0"/>
          <w:numId w:val="18"/>
        </w:numPr>
        <w:tabs>
          <w:tab w:val="num" w:pos="295"/>
        </w:tabs>
        <w:spacing w:line="240" w:lineRule="auto"/>
        <w:ind w:left="295" w:hanging="295"/>
        <w:rPr>
          <w:szCs w:val="20"/>
        </w:rPr>
      </w:pPr>
      <w:r w:rsidRPr="002E64F5">
        <w:rPr>
          <w:szCs w:val="20"/>
        </w:rPr>
        <w:t>There is 2.5 MHz of unallocated spectrum licence spectrum in Canberra. The ACMA is conducting a separate process to allocate this spectrum. All planning options in this paper assume this spectrum will be allocated and can therefore form part of any trading or</w:t>
      </w:r>
      <w:r>
        <w:rPr>
          <w:szCs w:val="20"/>
        </w:rPr>
        <w:t xml:space="preserve"> third-</w:t>
      </w:r>
      <w:r w:rsidRPr="002E64F5">
        <w:rPr>
          <w:szCs w:val="20"/>
        </w:rPr>
        <w:t>party authorisation discussions to facilitate defrag</w:t>
      </w:r>
      <w:r>
        <w:rPr>
          <w:szCs w:val="20"/>
        </w:rPr>
        <w:t>.</w:t>
      </w:r>
      <w:r w:rsidRPr="002E64F5">
        <w:rPr>
          <w:szCs w:val="20"/>
        </w:rPr>
        <w:t xml:space="preserve"> </w:t>
      </w:r>
    </w:p>
    <w:p w14:paraId="0E202EEF" w14:textId="325B8C75" w:rsidR="00FF449E" w:rsidRPr="002E64F5" w:rsidRDefault="00FF449E" w:rsidP="00FF449E">
      <w:pPr>
        <w:pStyle w:val="ListBullet"/>
        <w:numPr>
          <w:ilvl w:val="0"/>
          <w:numId w:val="18"/>
        </w:numPr>
        <w:tabs>
          <w:tab w:val="num" w:pos="295"/>
        </w:tabs>
        <w:spacing w:line="240" w:lineRule="auto"/>
        <w:ind w:left="295" w:hanging="295"/>
        <w:rPr>
          <w:szCs w:val="20"/>
        </w:rPr>
      </w:pPr>
      <w:r w:rsidRPr="002E64F5">
        <w:rPr>
          <w:szCs w:val="20"/>
        </w:rPr>
        <w:t>Telstra’s spectrum licence holdings are already consolidated in band</w:t>
      </w:r>
      <w:r>
        <w:rPr>
          <w:szCs w:val="20"/>
        </w:rPr>
        <w:t xml:space="preserve">. </w:t>
      </w:r>
    </w:p>
    <w:p w14:paraId="03B54C23" w14:textId="7D282158" w:rsidR="00FF449E" w:rsidRPr="002E64F5" w:rsidRDefault="00FF449E" w:rsidP="00FF449E">
      <w:pPr>
        <w:pStyle w:val="ListBullet"/>
        <w:numPr>
          <w:ilvl w:val="0"/>
          <w:numId w:val="18"/>
        </w:numPr>
        <w:tabs>
          <w:tab w:val="num" w:pos="295"/>
        </w:tabs>
        <w:spacing w:line="240" w:lineRule="auto"/>
        <w:ind w:left="295" w:hanging="295"/>
        <w:rPr>
          <w:szCs w:val="20"/>
        </w:rPr>
      </w:pPr>
      <w:r w:rsidRPr="002E64F5">
        <w:rPr>
          <w:szCs w:val="20"/>
        </w:rPr>
        <w:t>Optus spectrum licence holdings (held under AKAL and Optus Mobile) are fragmented in regional areas and numerous metropolitan areas</w:t>
      </w:r>
      <w:r>
        <w:rPr>
          <w:szCs w:val="20"/>
        </w:rPr>
        <w:t>.</w:t>
      </w:r>
    </w:p>
    <w:p w14:paraId="5D368EDD" w14:textId="77777777" w:rsidR="00FF449E" w:rsidRPr="002E64F5" w:rsidRDefault="00FF449E" w:rsidP="00FF449E">
      <w:pPr>
        <w:pStyle w:val="ListBullet"/>
        <w:numPr>
          <w:ilvl w:val="0"/>
          <w:numId w:val="18"/>
        </w:numPr>
        <w:tabs>
          <w:tab w:val="num" w:pos="295"/>
        </w:tabs>
        <w:spacing w:line="240" w:lineRule="auto"/>
        <w:ind w:left="295" w:hanging="295"/>
        <w:rPr>
          <w:szCs w:val="20"/>
        </w:rPr>
      </w:pPr>
      <w:r w:rsidRPr="002E64F5">
        <w:rPr>
          <w:szCs w:val="20"/>
        </w:rPr>
        <w:t xml:space="preserve">NBN Co’s PTS and spectrum licence holdings are fragments in metropolitan and regional areas. It is noted that NBN Co’s PTS licences only cover a portion of these regional areas (refer to </w:t>
      </w:r>
      <w:r w:rsidRPr="003C5923">
        <w:rPr>
          <w:szCs w:val="20"/>
        </w:rPr>
        <w:t>Appendix B</w:t>
      </w:r>
      <w:r w:rsidRPr="002E64F5">
        <w:rPr>
          <w:szCs w:val="20"/>
        </w:rPr>
        <w:t xml:space="preserve"> for details)</w:t>
      </w:r>
      <w:r>
        <w:rPr>
          <w:szCs w:val="20"/>
        </w:rPr>
        <w:t>.</w:t>
      </w:r>
    </w:p>
    <w:p w14:paraId="11139E50" w14:textId="77777777" w:rsidR="00FF449E" w:rsidRPr="009531CB" w:rsidRDefault="00FF449E" w:rsidP="00FF449E">
      <w:pPr>
        <w:spacing w:before="240"/>
        <w:rPr>
          <w:rFonts w:cs="Arial"/>
        </w:rPr>
      </w:pPr>
      <w:r w:rsidRPr="009531CB">
        <w:rPr>
          <w:rFonts w:cs="Arial"/>
        </w:rPr>
        <w:t xml:space="preserve">Based on the above points, Optus and NBN Co stand to benefit the most from defrag. The most significant benefits of defrag are expected to be realised in the areas covered by NBN Co’s PTS licences (which include </w:t>
      </w:r>
      <w:r>
        <w:rPr>
          <w:rFonts w:cs="Arial"/>
        </w:rPr>
        <w:t>m</w:t>
      </w:r>
      <w:r w:rsidRPr="009531CB">
        <w:rPr>
          <w:rFonts w:cs="Arial"/>
        </w:rPr>
        <w:t xml:space="preserve">etropolitan and some surrounding </w:t>
      </w:r>
      <w:r>
        <w:rPr>
          <w:rFonts w:cs="Arial"/>
        </w:rPr>
        <w:t>r</w:t>
      </w:r>
      <w:r w:rsidRPr="009531CB">
        <w:rPr>
          <w:rFonts w:cs="Arial"/>
        </w:rPr>
        <w:t xml:space="preserve">egional areas). This is because these areas encompass a significant portion of the population and are therefore expected to see the highest density of wireless broadband deployments moving into the future. </w:t>
      </w:r>
    </w:p>
    <w:p w14:paraId="38AD175D" w14:textId="2E82DA31" w:rsidR="00FF449E" w:rsidRPr="009531CB" w:rsidRDefault="00FF449E" w:rsidP="00FF449E">
      <w:pPr>
        <w:rPr>
          <w:rFonts w:cs="Arial"/>
        </w:rPr>
      </w:pPr>
      <w:r w:rsidRPr="009531CB">
        <w:rPr>
          <w:rFonts w:cs="Arial"/>
        </w:rPr>
        <w:t>The ACMA considers it important to implement arrangements that facilitate the defrag of NBN Co’s PTS licences, so they cover</w:t>
      </w:r>
      <w:r w:rsidR="001B60F4">
        <w:rPr>
          <w:rFonts w:cs="Arial"/>
        </w:rPr>
        <w:t>, at a minimum,</w:t>
      </w:r>
      <w:r w:rsidRPr="009531CB">
        <w:rPr>
          <w:rFonts w:cs="Arial"/>
        </w:rPr>
        <w:t xml:space="preserve"> the same geographical </w:t>
      </w:r>
      <w:r w:rsidR="00696313" w:rsidRPr="009531CB">
        <w:rPr>
          <w:rFonts w:cs="Arial"/>
        </w:rPr>
        <w:t xml:space="preserve">areas </w:t>
      </w:r>
      <w:r w:rsidR="00696313">
        <w:rPr>
          <w:rFonts w:cs="Arial"/>
        </w:rPr>
        <w:t>where</w:t>
      </w:r>
      <w:r w:rsidR="001A5CD4">
        <w:rPr>
          <w:rFonts w:cs="Arial"/>
        </w:rPr>
        <w:t xml:space="preserve"> services are currently deployed</w:t>
      </w:r>
      <w:r w:rsidRPr="009531CB">
        <w:rPr>
          <w:rFonts w:cs="Arial"/>
        </w:rPr>
        <w:t xml:space="preserve">. This ensures existing services can continue operating once defrag is implemented. Figure 19 provides an example of how such a defrag could be implemented under </w:t>
      </w:r>
      <w:r>
        <w:rPr>
          <w:rFonts w:cs="Arial"/>
        </w:rPr>
        <w:t>p</w:t>
      </w:r>
      <w:r w:rsidRPr="009531CB">
        <w:rPr>
          <w:rFonts w:cs="Arial"/>
        </w:rPr>
        <w:t xml:space="preserve">hase 1 of Options 3a and 3b. </w:t>
      </w:r>
    </w:p>
    <w:p w14:paraId="63661C61" w14:textId="77777777" w:rsidR="00FF449E" w:rsidRPr="009531CB" w:rsidRDefault="00FF449E" w:rsidP="00FF449E">
      <w:pPr>
        <w:rPr>
          <w:rFonts w:cs="Arial"/>
        </w:rPr>
      </w:pPr>
      <w:r w:rsidRPr="009531CB">
        <w:rPr>
          <w:rFonts w:cs="Arial"/>
        </w:rPr>
        <w:t xml:space="preserve">A defrag outcome that requires a reduction in the </w:t>
      </w:r>
      <w:r>
        <w:rPr>
          <w:rFonts w:cs="Arial"/>
        </w:rPr>
        <w:t>r</w:t>
      </w:r>
      <w:r w:rsidRPr="009531CB">
        <w:rPr>
          <w:rFonts w:cs="Arial"/>
        </w:rPr>
        <w:t xml:space="preserve">egional areas covered by NBN Co’s PTS licences could result in the cessation of services. It may be difficult to reach agreement between all licensees to defrag under such conditions. </w:t>
      </w:r>
    </w:p>
    <w:p w14:paraId="5F5BAE05" w14:textId="4D5A9695" w:rsidR="00FF449E" w:rsidRDefault="00FF449E" w:rsidP="00FF449E">
      <w:pPr>
        <w:rPr>
          <w:rFonts w:cs="Arial"/>
        </w:rPr>
      </w:pPr>
      <w:r w:rsidRPr="009531CB">
        <w:rPr>
          <w:rFonts w:cs="Arial"/>
        </w:rPr>
        <w:t>It is noted that</w:t>
      </w:r>
      <w:r>
        <w:rPr>
          <w:rFonts w:cs="Arial"/>
        </w:rPr>
        <w:t xml:space="preserve"> p</w:t>
      </w:r>
      <w:r w:rsidRPr="009531CB">
        <w:rPr>
          <w:rFonts w:cs="Arial"/>
        </w:rPr>
        <w:t xml:space="preserve">hase 2 of Options 3a and 3b are intended to facilitate a further geographical defrag of regional spectrum licence holdings. This includes the possible consolidation of more of NBN Co’s </w:t>
      </w:r>
      <w:r>
        <w:rPr>
          <w:rFonts w:cs="Arial"/>
        </w:rPr>
        <w:t>r</w:t>
      </w:r>
      <w:r w:rsidRPr="009531CB">
        <w:rPr>
          <w:rFonts w:cs="Arial"/>
        </w:rPr>
        <w:t xml:space="preserve">egional area spectrum holdings (referred to as </w:t>
      </w:r>
      <w:r>
        <w:rPr>
          <w:rFonts w:cs="Arial"/>
        </w:rPr>
        <w:t>r</w:t>
      </w:r>
      <w:r w:rsidRPr="009531CB">
        <w:rPr>
          <w:rFonts w:cs="Arial"/>
        </w:rPr>
        <w:t>egional NSW, Victoria, Queensland, SA and Tasmania in Figures 18 and 19) into</w:t>
      </w:r>
      <w:r>
        <w:rPr>
          <w:rFonts w:cs="Arial"/>
        </w:rPr>
        <w:t xml:space="preserve"> the 3400–3442.5 MHz frequency range. </w:t>
      </w:r>
    </w:p>
    <w:p w14:paraId="5B2FEE86" w14:textId="77777777" w:rsidR="00FF449E" w:rsidRDefault="00FF449E" w:rsidP="00FF449E"/>
    <w:p w14:paraId="58DE7C6B" w14:textId="77777777" w:rsidR="00FF449E" w:rsidRDefault="00FF449E" w:rsidP="00FF449E">
      <w:pPr>
        <w:sectPr w:rsidR="00FF449E" w:rsidSect="00705745">
          <w:headerReference w:type="even" r:id="rId102"/>
          <w:headerReference w:type="default" r:id="rId103"/>
          <w:footerReference w:type="even" r:id="rId104"/>
          <w:footerReference w:type="default" r:id="rId105"/>
          <w:pgSz w:w="11906" w:h="16838" w:code="9"/>
          <w:pgMar w:top="993" w:right="3101" w:bottom="1135" w:left="1134" w:header="709" w:footer="119" w:gutter="0"/>
          <w:pgNumType w:start="17"/>
          <w:cols w:space="708"/>
          <w:docGrid w:linePitch="360"/>
        </w:sectPr>
      </w:pPr>
    </w:p>
    <w:p w14:paraId="6A580ABB" w14:textId="274FBD5A" w:rsidR="00FF449E" w:rsidRDefault="00FF449E" w:rsidP="003C5923">
      <w:pPr>
        <w:pStyle w:val="ACMAFigureHeader"/>
      </w:pPr>
      <w:r>
        <w:lastRenderedPageBreak/>
        <w:t xml:space="preserve">Apparatus licence arrangements and spectrum licence </w:t>
      </w:r>
      <w:r w:rsidRPr="00984DF2">
        <w:t>holdings</w:t>
      </w:r>
      <w:r>
        <w:t xml:space="preserve"> in the 3400</w:t>
      </w:r>
      <w:r>
        <w:softHyphen/>
        <w:t xml:space="preserve">–3575 MHz band  </w:t>
      </w:r>
    </w:p>
    <w:p w14:paraId="4EA09D6C" w14:textId="33A6067D" w:rsidR="00FF449E" w:rsidRPr="00511F3C" w:rsidRDefault="00FF449E">
      <w:pPr>
        <w:pStyle w:val="ACMAFigureHeader"/>
        <w:numPr>
          <w:ilvl w:val="0"/>
          <w:numId w:val="0"/>
        </w:numPr>
        <w:spacing w:after="120"/>
        <w:rPr>
          <w:rFonts w:cs="Arial"/>
          <w:b w:val="0"/>
          <w:bCs w:val="0"/>
          <w:color w:val="auto"/>
          <w:sz w:val="16"/>
          <w:szCs w:val="16"/>
        </w:rPr>
      </w:pPr>
      <w:r w:rsidRPr="00511F3C">
        <w:rPr>
          <w:rFonts w:cs="Arial"/>
          <w:b w:val="0"/>
          <w:bCs w:val="0"/>
          <w:color w:val="auto"/>
          <w:sz w:val="16"/>
          <w:szCs w:val="16"/>
        </w:rPr>
        <w:t xml:space="preserve">SL = Spectrum </w:t>
      </w:r>
      <w:r>
        <w:rPr>
          <w:rFonts w:cs="Arial"/>
          <w:b w:val="0"/>
          <w:bCs w:val="0"/>
          <w:color w:val="auto"/>
          <w:sz w:val="16"/>
          <w:szCs w:val="16"/>
        </w:rPr>
        <w:t>l</w:t>
      </w:r>
      <w:r w:rsidRPr="00511F3C">
        <w:rPr>
          <w:rFonts w:cs="Arial"/>
          <w:b w:val="0"/>
          <w:bCs w:val="0"/>
          <w:color w:val="auto"/>
          <w:sz w:val="16"/>
          <w:szCs w:val="16"/>
        </w:rPr>
        <w:t xml:space="preserve">icence, PTS = Public </w:t>
      </w:r>
      <w:r>
        <w:rPr>
          <w:rFonts w:cs="Arial"/>
          <w:b w:val="0"/>
          <w:bCs w:val="0"/>
          <w:color w:val="auto"/>
          <w:sz w:val="16"/>
          <w:szCs w:val="16"/>
        </w:rPr>
        <w:t>t</w:t>
      </w:r>
      <w:r w:rsidRPr="00511F3C">
        <w:rPr>
          <w:rFonts w:cs="Arial"/>
          <w:b w:val="0"/>
          <w:bCs w:val="0"/>
          <w:color w:val="auto"/>
          <w:sz w:val="16"/>
          <w:szCs w:val="16"/>
        </w:rPr>
        <w:t xml:space="preserve">elecommunications </w:t>
      </w:r>
      <w:r>
        <w:rPr>
          <w:rFonts w:cs="Arial"/>
          <w:b w:val="0"/>
          <w:bCs w:val="0"/>
          <w:color w:val="auto"/>
          <w:sz w:val="16"/>
          <w:szCs w:val="16"/>
        </w:rPr>
        <w:t>s</w:t>
      </w:r>
      <w:r w:rsidRPr="00511F3C">
        <w:rPr>
          <w:rFonts w:cs="Arial"/>
          <w:b w:val="0"/>
          <w:bCs w:val="0"/>
          <w:color w:val="auto"/>
          <w:sz w:val="16"/>
          <w:szCs w:val="16"/>
        </w:rPr>
        <w:t>ervice licence, PMP = Point-to-multipoint apparatus licence</w:t>
      </w:r>
      <w:r>
        <w:rPr>
          <w:rFonts w:cs="Arial"/>
          <w:b w:val="0"/>
          <w:bCs w:val="0"/>
          <w:color w:val="auto"/>
          <w:sz w:val="16"/>
          <w:szCs w:val="16"/>
        </w:rPr>
        <w:t>, FSS = Fixed satellite service apparatus licence</w:t>
      </w:r>
    </w:p>
    <w:p w14:paraId="02C40AE2" w14:textId="77777777" w:rsidR="00FF449E" w:rsidRPr="00FB2D68" w:rsidRDefault="00FF449E" w:rsidP="00FF449E">
      <w:pPr>
        <w:spacing w:after="0"/>
        <w:ind w:left="-284"/>
        <w:jc w:val="center"/>
      </w:pPr>
      <w:r>
        <w:rPr>
          <w:noProof/>
        </w:rPr>
        <w:drawing>
          <wp:inline distT="0" distB="0" distL="0" distR="0" wp14:anchorId="4DD0E584" wp14:editId="6201C71A">
            <wp:extent cx="9342120" cy="5457825"/>
            <wp:effectExtent l="0" t="0" r="0" b="9525"/>
            <wp:docPr id="54" name="Picture 54" descr="Apparatus licence arrangements and spectrum licence holdings in the 3400–3575 MHz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6"/>
                    <a:stretch>
                      <a:fillRect/>
                    </a:stretch>
                  </pic:blipFill>
                  <pic:spPr>
                    <a:xfrm>
                      <a:off x="0" y="0"/>
                      <a:ext cx="9342120" cy="5457825"/>
                    </a:xfrm>
                    <a:prstGeom prst="rect">
                      <a:avLst/>
                    </a:prstGeom>
                  </pic:spPr>
                </pic:pic>
              </a:graphicData>
            </a:graphic>
          </wp:inline>
        </w:drawing>
      </w:r>
    </w:p>
    <w:p w14:paraId="35E240FE" w14:textId="3BA4EBE5" w:rsidR="00FF449E" w:rsidRDefault="00FF449E" w:rsidP="003C5923">
      <w:pPr>
        <w:pStyle w:val="ACMAFigureHeader"/>
      </w:pPr>
      <w:r>
        <w:lastRenderedPageBreak/>
        <w:t>Possible defragged arrangements in the 3400–3575 MHz band under Option 3a/3b phase 1</w:t>
      </w:r>
      <w:r>
        <w:rPr>
          <w:rStyle w:val="FootnoteReference"/>
        </w:rPr>
        <w:footnoteReference w:id="10"/>
      </w:r>
    </w:p>
    <w:p w14:paraId="43E40F4A" w14:textId="40FA774D" w:rsidR="00FF449E" w:rsidRPr="00511F3C" w:rsidRDefault="00FF449E" w:rsidP="003C5923">
      <w:pPr>
        <w:pStyle w:val="ACMAFigureHeader"/>
        <w:numPr>
          <w:ilvl w:val="0"/>
          <w:numId w:val="0"/>
        </w:numPr>
        <w:spacing w:after="120"/>
        <w:rPr>
          <w:rFonts w:cs="Arial"/>
          <w:b w:val="0"/>
          <w:bCs w:val="0"/>
          <w:color w:val="auto"/>
          <w:sz w:val="16"/>
          <w:szCs w:val="16"/>
        </w:rPr>
      </w:pPr>
      <w:r w:rsidRPr="00511F3C">
        <w:rPr>
          <w:rFonts w:cs="Arial"/>
          <w:b w:val="0"/>
          <w:bCs w:val="0"/>
          <w:color w:val="auto"/>
          <w:sz w:val="16"/>
          <w:szCs w:val="16"/>
        </w:rPr>
        <w:t xml:space="preserve">SL = Spectrum </w:t>
      </w:r>
      <w:r>
        <w:rPr>
          <w:rFonts w:cs="Arial"/>
          <w:b w:val="0"/>
          <w:bCs w:val="0"/>
          <w:color w:val="auto"/>
          <w:sz w:val="16"/>
          <w:szCs w:val="16"/>
        </w:rPr>
        <w:t>l</w:t>
      </w:r>
      <w:r w:rsidRPr="00511F3C">
        <w:rPr>
          <w:rFonts w:cs="Arial"/>
          <w:b w:val="0"/>
          <w:bCs w:val="0"/>
          <w:color w:val="auto"/>
          <w:sz w:val="16"/>
          <w:szCs w:val="16"/>
        </w:rPr>
        <w:t>icence, PMP = Point-to-multipoint apparatus licence</w:t>
      </w:r>
      <w:r>
        <w:rPr>
          <w:rFonts w:cs="Arial"/>
          <w:b w:val="0"/>
          <w:bCs w:val="0"/>
          <w:color w:val="auto"/>
          <w:sz w:val="16"/>
          <w:szCs w:val="16"/>
        </w:rPr>
        <w:t>, FSS = Fixed satellite service apparatus licence</w:t>
      </w:r>
    </w:p>
    <w:p w14:paraId="1F2B7183" w14:textId="77777777" w:rsidR="00FF449E" w:rsidRPr="00511F3C" w:rsidRDefault="00FF449E" w:rsidP="00FF449E">
      <w:pPr>
        <w:pStyle w:val="ACMAFigureHeader"/>
        <w:numPr>
          <w:ilvl w:val="0"/>
          <w:numId w:val="0"/>
        </w:numPr>
        <w:spacing w:after="0"/>
        <w:ind w:left="-284"/>
        <w:rPr>
          <w:noProof/>
        </w:rPr>
        <w:sectPr w:rsidR="00FF449E" w:rsidRPr="00511F3C" w:rsidSect="006D0629">
          <w:pgSz w:w="16838" w:h="11906" w:orient="landscape" w:code="9"/>
          <w:pgMar w:top="851" w:right="992" w:bottom="709" w:left="1134" w:header="709" w:footer="119" w:gutter="0"/>
          <w:cols w:space="708"/>
          <w:docGrid w:linePitch="360"/>
        </w:sectPr>
      </w:pPr>
      <w:r>
        <w:rPr>
          <w:noProof/>
        </w:rPr>
        <w:t xml:space="preserve"> </w:t>
      </w:r>
      <w:r>
        <w:rPr>
          <w:noProof/>
        </w:rPr>
        <w:drawing>
          <wp:inline distT="0" distB="0" distL="0" distR="0" wp14:anchorId="79401B97" wp14:editId="2B6F6652">
            <wp:extent cx="9342120" cy="5378450"/>
            <wp:effectExtent l="0" t="0" r="0" b="0"/>
            <wp:docPr id="55" name="Picture 55" descr="Possible defragged arrangements in the 3400–3575 MHz band under Option 3a/3b phas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7"/>
                    <a:stretch>
                      <a:fillRect/>
                    </a:stretch>
                  </pic:blipFill>
                  <pic:spPr>
                    <a:xfrm>
                      <a:off x="0" y="0"/>
                      <a:ext cx="9342120" cy="5378450"/>
                    </a:xfrm>
                    <a:prstGeom prst="rect">
                      <a:avLst/>
                    </a:prstGeom>
                  </pic:spPr>
                </pic:pic>
              </a:graphicData>
            </a:graphic>
          </wp:inline>
        </w:drawing>
      </w:r>
    </w:p>
    <w:p w14:paraId="60AE6A15" w14:textId="63BF9DE9" w:rsidR="00FF449E" w:rsidRDefault="00FF449E" w:rsidP="00FF449E">
      <w:pPr>
        <w:pStyle w:val="Heading1"/>
      </w:pPr>
      <w:bookmarkStart w:id="174" w:name="_Toc6923144"/>
      <w:r w:rsidRPr="006D46E5">
        <w:lastRenderedPageBreak/>
        <w:t xml:space="preserve">Appendix </w:t>
      </w:r>
      <w:r>
        <w:t>D—The conversion process</w:t>
      </w:r>
      <w:bookmarkEnd w:id="174"/>
    </w:p>
    <w:p w14:paraId="1E288A03" w14:textId="77777777" w:rsidR="00FF449E" w:rsidRPr="009B01B4" w:rsidRDefault="00FF449E" w:rsidP="003C5923">
      <w:pPr>
        <w:tabs>
          <w:tab w:val="left" w:pos="5529"/>
        </w:tabs>
        <w:spacing w:after="80" w:line="240" w:lineRule="auto"/>
        <w:jc w:val="both"/>
      </w:pPr>
      <w:r w:rsidRPr="009B01B4">
        <w:t xml:space="preserve">A summary of the </w:t>
      </w:r>
      <w:r>
        <w:t xml:space="preserve">process, under the </w:t>
      </w:r>
      <w:r w:rsidRPr="000A367B">
        <w:rPr>
          <w:i/>
        </w:rPr>
        <w:t>Radiocommunications Act 1992</w:t>
      </w:r>
      <w:r>
        <w:rPr>
          <w:i/>
        </w:rPr>
        <w:t xml:space="preserve"> </w:t>
      </w:r>
      <w:r>
        <w:t xml:space="preserve">(the Act), to </w:t>
      </w:r>
      <w:r w:rsidRPr="009B01B4">
        <w:t>conver</w:t>
      </w:r>
      <w:r>
        <w:t xml:space="preserve">t one or more apparatus licences to spectrum licences </w:t>
      </w:r>
      <w:r w:rsidRPr="009B01B4">
        <w:t>is as follows:</w:t>
      </w:r>
    </w:p>
    <w:p w14:paraId="14435B87" w14:textId="348C7B8E" w:rsidR="00FF449E" w:rsidRPr="009531CB" w:rsidRDefault="00FF449E" w:rsidP="003C5923">
      <w:pPr>
        <w:pStyle w:val="ListParagraph"/>
        <w:numPr>
          <w:ilvl w:val="0"/>
          <w:numId w:val="45"/>
        </w:numPr>
        <w:spacing w:after="80"/>
        <w:ind w:left="357" w:hanging="357"/>
        <w:contextualSpacing w:val="0"/>
      </w:pPr>
      <w:r w:rsidRPr="009531CB">
        <w:t xml:space="preserve">The </w:t>
      </w:r>
      <w:r w:rsidR="00984DF2">
        <w:t>m</w:t>
      </w:r>
      <w:r w:rsidRPr="009531CB">
        <w:t xml:space="preserve">inister may, after consulting with the ACMA, give the ACMA a written notice designating a specified part of the spectrum in specified areas to be allocated by issuing spectrum licences (subsections 36(1)-(2)). The ACMA may, at the </w:t>
      </w:r>
      <w:r w:rsidR="006C5CDE">
        <w:t>m</w:t>
      </w:r>
      <w:r w:rsidRPr="009531CB">
        <w:t xml:space="preserve">inister’s request or on its own initiative, make a recommendation to the </w:t>
      </w:r>
      <w:r w:rsidR="006C5CDE">
        <w:t>m</w:t>
      </w:r>
      <w:r w:rsidRPr="009531CB">
        <w:t>inister to make such a designation (subsection 36(3))</w:t>
      </w:r>
      <w:r w:rsidR="00CC33F4">
        <w:t>.</w:t>
      </w:r>
      <w:r w:rsidRPr="009531CB">
        <w:t xml:space="preserve"> Before making such a recommendation the ACMA must give members of the public reasonable opportunity to make representations about the proposed recommendation (subsection 36(4)). </w:t>
      </w:r>
    </w:p>
    <w:p w14:paraId="771AF3A0" w14:textId="77777777" w:rsidR="00FF449E" w:rsidRPr="009531CB" w:rsidRDefault="00FF449E" w:rsidP="003C5923">
      <w:pPr>
        <w:pStyle w:val="ListParagraph"/>
        <w:numPr>
          <w:ilvl w:val="0"/>
          <w:numId w:val="45"/>
        </w:numPr>
        <w:spacing w:after="80"/>
        <w:ind w:left="357" w:hanging="357"/>
        <w:contextualSpacing w:val="0"/>
      </w:pPr>
      <w:r>
        <w:t xml:space="preserve">Upon receiving a designation notice as referred to above, the ACMA must prepare </w:t>
      </w:r>
      <w:r w:rsidRPr="00515C00">
        <w:t>a conversion plan that sets out the procedures and timetable for issuing spectrum licences to replace existing apparatus licences that authorise operation of radiocommunications devices</w:t>
      </w:r>
      <w:r>
        <w:t xml:space="preserve"> at frequencies and within the areas specified in the notice </w:t>
      </w:r>
      <w:r w:rsidRPr="00F60460">
        <w:t xml:space="preserve">(section 38).  </w:t>
      </w:r>
    </w:p>
    <w:p w14:paraId="60013A0F" w14:textId="77777777" w:rsidR="00FF449E" w:rsidRPr="009531CB" w:rsidRDefault="00FF449E" w:rsidP="003C5923">
      <w:pPr>
        <w:pStyle w:val="ListParagraph"/>
        <w:numPr>
          <w:ilvl w:val="0"/>
          <w:numId w:val="45"/>
        </w:numPr>
        <w:spacing w:after="80"/>
        <w:ind w:left="357" w:hanging="357"/>
        <w:contextualSpacing w:val="0"/>
      </w:pPr>
      <w:r w:rsidRPr="009531CB">
        <w:t>After a conversion plan has been prepared, the ACMA prepares any relevant draft spectrum licence to replace each existing apparatus licence in the designated spectrum (section 53). The draft spectrum licence(s) sets out the core conditions and any other conditions that relate to spectrum use (sections 66-71).</w:t>
      </w:r>
    </w:p>
    <w:p w14:paraId="2A1D31E2" w14:textId="77777777" w:rsidR="00FF449E" w:rsidRPr="009531CB" w:rsidRDefault="00FF449E" w:rsidP="003C5923">
      <w:pPr>
        <w:pStyle w:val="ListParagraph"/>
        <w:numPr>
          <w:ilvl w:val="0"/>
          <w:numId w:val="45"/>
        </w:numPr>
        <w:spacing w:after="80"/>
        <w:ind w:left="357" w:hanging="357"/>
        <w:contextualSpacing w:val="0"/>
      </w:pPr>
      <w:r w:rsidRPr="009531CB">
        <w:t>The ACMA sends a copy of the draft spectrum licence(s) intended to replace the existing apparatus licence to an incumbent licensee and invite the licensee to make representations about it. The licensee is given at least one month to comment on the draft spectrum licence(s) (section 54).</w:t>
      </w:r>
    </w:p>
    <w:p w14:paraId="3D0F7C2D" w14:textId="77777777" w:rsidR="00FF449E" w:rsidRPr="009531CB" w:rsidRDefault="00FF449E" w:rsidP="003C5923">
      <w:pPr>
        <w:pStyle w:val="ListParagraph"/>
        <w:numPr>
          <w:ilvl w:val="0"/>
          <w:numId w:val="45"/>
        </w:numPr>
        <w:spacing w:after="80"/>
        <w:ind w:left="357" w:hanging="357"/>
        <w:contextualSpacing w:val="0"/>
      </w:pPr>
      <w:r w:rsidRPr="009531CB">
        <w:t xml:space="preserve">The ACMA must consider any representations made by a licensee about a draft licence and may change the draft licence after such consideration (section 55). </w:t>
      </w:r>
    </w:p>
    <w:p w14:paraId="161B925B" w14:textId="78985047" w:rsidR="00FF449E" w:rsidRPr="009531CB" w:rsidRDefault="00FF449E" w:rsidP="003C5923">
      <w:pPr>
        <w:pStyle w:val="ListParagraph"/>
        <w:numPr>
          <w:ilvl w:val="0"/>
          <w:numId w:val="45"/>
        </w:numPr>
        <w:spacing w:after="80"/>
        <w:ind w:left="357" w:hanging="357"/>
        <w:contextualSpacing w:val="0"/>
      </w:pPr>
      <w:r w:rsidRPr="009531CB">
        <w:t xml:space="preserve">The ACMA then offers the licensee, in writing, a spectrum licence to replace the licensee’s apparatus licence. The offer must identify the spectrum licence the ACMA proposes to issue, specify the amount of spectrum access charge the licensee must pay for the licence and specify the day on which the offer will close. (the day specified must be at least one month later than the day on which the offer is given to the licensee (section 56). The </w:t>
      </w:r>
      <w:r w:rsidR="006C5CDE">
        <w:t>m</w:t>
      </w:r>
      <w:r w:rsidRPr="009531CB">
        <w:t xml:space="preserve">inister may choose to direct the ACMA regarding the amount of the spectrum access charge (section 294). </w:t>
      </w:r>
    </w:p>
    <w:p w14:paraId="3ACA75E4" w14:textId="77777777" w:rsidR="00FF449E" w:rsidRPr="009531CB" w:rsidRDefault="00FF449E" w:rsidP="003C5923">
      <w:pPr>
        <w:pStyle w:val="ListParagraph"/>
        <w:numPr>
          <w:ilvl w:val="0"/>
          <w:numId w:val="45"/>
        </w:numPr>
        <w:spacing w:after="80"/>
        <w:ind w:left="357" w:hanging="357"/>
        <w:contextualSpacing w:val="0"/>
      </w:pPr>
      <w:r w:rsidRPr="009531CB">
        <w:t>If the licensee gives the ACMA a written notice accepting the offer and agreeing to pay the spectrum access charge, the ACMA issues the spectrum licence to the licensee (section 57).</w:t>
      </w:r>
    </w:p>
    <w:p w14:paraId="04197496" w14:textId="77777777" w:rsidR="00FF449E" w:rsidRPr="009531CB" w:rsidRDefault="00FF449E" w:rsidP="003C5923">
      <w:pPr>
        <w:pStyle w:val="ListParagraph"/>
        <w:numPr>
          <w:ilvl w:val="0"/>
          <w:numId w:val="45"/>
        </w:numPr>
        <w:spacing w:after="80"/>
        <w:ind w:left="357" w:hanging="357"/>
        <w:contextualSpacing w:val="0"/>
      </w:pPr>
      <w:r w:rsidRPr="009531CB">
        <w:t>If the licensee does not accept the ACMA’s offer, the ACMA may allocate the spectrum licence in accordance with section 60 of the Act and the apparatus licence that it replaces will then cease to be in force upon commencement of the spectrum licence (section 58).</w:t>
      </w:r>
    </w:p>
    <w:p w14:paraId="5F9A6047" w14:textId="24C7D1FF" w:rsidR="00FF449E" w:rsidRPr="009531CB" w:rsidRDefault="00FF449E" w:rsidP="003C5923">
      <w:pPr>
        <w:pStyle w:val="ListParagraph"/>
        <w:numPr>
          <w:ilvl w:val="0"/>
          <w:numId w:val="45"/>
        </w:numPr>
        <w:spacing w:after="80"/>
        <w:ind w:left="357" w:hanging="357"/>
        <w:contextualSpacing w:val="0"/>
      </w:pPr>
      <w:r w:rsidRPr="009531CB">
        <w:t xml:space="preserve">A spectrum licence comes into force on the day specified on the licence and remains </w:t>
      </w:r>
      <w:r w:rsidR="00CC33F4">
        <w:t>i</w:t>
      </w:r>
      <w:r w:rsidRPr="009531CB">
        <w:t xml:space="preserve">n force (subject to certain conditions) for the period set out in the licence (up to a maximum of 15 years (section 65). </w:t>
      </w:r>
    </w:p>
    <w:p w14:paraId="406C7011" w14:textId="77777777" w:rsidR="00FF449E" w:rsidRPr="009531CB" w:rsidRDefault="00FF449E" w:rsidP="003C5923">
      <w:pPr>
        <w:pStyle w:val="ListParagraph"/>
        <w:numPr>
          <w:ilvl w:val="0"/>
          <w:numId w:val="45"/>
        </w:numPr>
        <w:spacing w:after="80"/>
        <w:ind w:left="357" w:hanging="357"/>
        <w:contextualSpacing w:val="0"/>
      </w:pPr>
      <w:r w:rsidRPr="009531CB">
        <w:t xml:space="preserve">After issuing a spectrum licence the ACMA registers radiocommunications devices operating under the replaced apparatus licence in the Register of Radiocommunications Licences, established under section 143 of the Act. This is typically done prior to, or at the commencement of the spectrum licences to ensure continuity of service delivery. </w:t>
      </w:r>
    </w:p>
    <w:p w14:paraId="1B1401B6" w14:textId="77777777" w:rsidR="00FF449E" w:rsidRPr="009531CB" w:rsidRDefault="00FF449E" w:rsidP="003C5923">
      <w:pPr>
        <w:pStyle w:val="ListParagraph"/>
        <w:numPr>
          <w:ilvl w:val="0"/>
          <w:numId w:val="45"/>
        </w:numPr>
        <w:spacing w:after="80"/>
        <w:ind w:left="357" w:hanging="357"/>
        <w:contextualSpacing w:val="0"/>
        <w:rPr>
          <w:rFonts w:cs="Arial"/>
        </w:rPr>
      </w:pPr>
      <w:r w:rsidRPr="009531CB">
        <w:t>No new apparatus licences are issued in the designated spectrum other than in accordance with section 105 of the Act.</w:t>
      </w:r>
    </w:p>
    <w:p w14:paraId="69926C2C" w14:textId="2E7C3780" w:rsidR="00FF449E" w:rsidRDefault="00FF449E" w:rsidP="00FF449E">
      <w:pPr>
        <w:pStyle w:val="Heading1"/>
      </w:pPr>
      <w:bookmarkStart w:id="175" w:name="_Toc6923145"/>
      <w:r w:rsidRPr="006D46E5">
        <w:lastRenderedPageBreak/>
        <w:t xml:space="preserve">Appendix </w:t>
      </w:r>
      <w:r>
        <w:t>E</w:t>
      </w:r>
      <w:r w:rsidR="004A2F7F">
        <w:t>—</w:t>
      </w:r>
      <w:r>
        <w:t xml:space="preserve">Assessment of planning options against the </w:t>
      </w:r>
      <w:r w:rsidR="00301163">
        <w:t>P</w:t>
      </w:r>
      <w:r>
        <w:t>rinciples</w:t>
      </w:r>
      <w:bookmarkEnd w:id="175"/>
      <w:r>
        <w:t xml:space="preserve"> </w:t>
      </w:r>
    </w:p>
    <w:p w14:paraId="314CB1A5" w14:textId="77777777" w:rsidR="00FF449E" w:rsidRDefault="00FF449E" w:rsidP="00FF449E">
      <w:pPr>
        <w:pStyle w:val="ListNumber"/>
        <w:numPr>
          <w:ilvl w:val="0"/>
          <w:numId w:val="0"/>
        </w:numPr>
        <w:spacing w:before="240" w:after="240" w:line="240" w:lineRule="auto"/>
      </w:pPr>
      <w:r w:rsidRPr="00A05EC9">
        <w:t>A</w:t>
      </w:r>
      <w:r>
        <w:t xml:space="preserve">n </w:t>
      </w:r>
      <w:r w:rsidRPr="00A05EC9">
        <w:t xml:space="preserve">assessment of each </w:t>
      </w:r>
      <w:r>
        <w:t xml:space="preserve">of the identified planning </w:t>
      </w:r>
      <w:r w:rsidRPr="00A05EC9">
        <w:t>option</w:t>
      </w:r>
      <w:r>
        <w:t>s</w:t>
      </w:r>
      <w:r w:rsidRPr="00A05EC9">
        <w:t xml:space="preserve"> against the </w:t>
      </w:r>
      <w:r>
        <w:t>Principles</w:t>
      </w:r>
      <w:r w:rsidRPr="001E5818">
        <w:t xml:space="preserve"> </w:t>
      </w:r>
      <w:r>
        <w:t xml:space="preserve">for </w:t>
      </w:r>
      <w:r w:rsidRPr="009531CB">
        <w:t>Spectrum Management is contained in in this appendix. A high-level summary of the assessment is provided in Table 9 and a more detailed assessment is provided in Table 10.</w:t>
      </w:r>
    </w:p>
    <w:p w14:paraId="6647E2BA" w14:textId="77777777" w:rsidR="00FF449E" w:rsidRDefault="00FF449E" w:rsidP="00FF449E">
      <w:pPr>
        <w:pStyle w:val="ACMATableHeader"/>
        <w:numPr>
          <w:ilvl w:val="0"/>
          <w:numId w:val="26"/>
        </w:numPr>
        <w:spacing w:before="360" w:after="80"/>
      </w:pPr>
      <w:r>
        <w:t xml:space="preserve">Summary of assessment of planning options </w:t>
      </w:r>
      <w:r w:rsidRPr="00A05EC9">
        <w:t xml:space="preserve">against </w:t>
      </w:r>
      <w:r>
        <w:t xml:space="preserve">the </w:t>
      </w:r>
      <w:r w:rsidRPr="00A05EC9">
        <w:t>Spectrum Management Principle</w:t>
      </w:r>
      <w:r>
        <w:t xml:space="preserve">s </w:t>
      </w:r>
    </w:p>
    <w:tbl>
      <w:tblPr>
        <w:tblStyle w:val="TableGrid"/>
        <w:tblW w:w="5948" w:type="dxa"/>
        <w:jc w:val="center"/>
        <w:tblLook w:val="04A0" w:firstRow="1" w:lastRow="0" w:firstColumn="1" w:lastColumn="0" w:noHBand="0" w:noVBand="1"/>
      </w:tblPr>
      <w:tblGrid>
        <w:gridCol w:w="988"/>
        <w:gridCol w:w="992"/>
        <w:gridCol w:w="992"/>
        <w:gridCol w:w="992"/>
        <w:gridCol w:w="992"/>
        <w:gridCol w:w="992"/>
      </w:tblGrid>
      <w:tr w:rsidR="00FF449E" w:rsidRPr="00D37F16" w14:paraId="5AFB70D5" w14:textId="77777777" w:rsidTr="006C4214">
        <w:trPr>
          <w:trHeight w:val="306"/>
          <w:tblHeader/>
          <w:jc w:val="center"/>
        </w:trPr>
        <w:tc>
          <w:tcPr>
            <w:tcW w:w="988" w:type="dxa"/>
            <w:shd w:val="clear" w:color="auto" w:fill="404040" w:themeFill="text1" w:themeFillTint="BF"/>
            <w:tcMar>
              <w:left w:w="28" w:type="dxa"/>
              <w:right w:w="28" w:type="dxa"/>
            </w:tcMar>
            <w:vAlign w:val="center"/>
          </w:tcPr>
          <w:p w14:paraId="6ED1E6F7" w14:textId="77777777" w:rsidR="00FF449E" w:rsidRPr="00D37F16" w:rsidRDefault="00FF449E" w:rsidP="006C4214">
            <w:pPr>
              <w:pStyle w:val="TableHeading"/>
              <w:jc w:val="center"/>
              <w:rPr>
                <w:rFonts w:cs="Arial"/>
                <w:sz w:val="18"/>
                <w:szCs w:val="18"/>
              </w:rPr>
            </w:pPr>
            <w:r w:rsidRPr="00D37F16">
              <w:rPr>
                <w:color w:val="FFFFFF" w:themeColor="background1"/>
                <w:sz w:val="18"/>
                <w:szCs w:val="18"/>
              </w:rPr>
              <w:t>Option</w:t>
            </w:r>
          </w:p>
        </w:tc>
        <w:tc>
          <w:tcPr>
            <w:tcW w:w="992" w:type="dxa"/>
            <w:shd w:val="clear" w:color="auto" w:fill="404040" w:themeFill="text1" w:themeFillTint="BF"/>
            <w:tcMar>
              <w:left w:w="28" w:type="dxa"/>
              <w:right w:w="28" w:type="dxa"/>
            </w:tcMar>
            <w:vAlign w:val="center"/>
          </w:tcPr>
          <w:p w14:paraId="05967311" w14:textId="77777777" w:rsidR="00FF449E" w:rsidRPr="00D37F16" w:rsidRDefault="00FF449E" w:rsidP="006C4214">
            <w:pPr>
              <w:pStyle w:val="TableHeading"/>
              <w:jc w:val="center"/>
              <w:rPr>
                <w:color w:val="FFFFFF" w:themeColor="background1"/>
                <w:sz w:val="18"/>
                <w:szCs w:val="18"/>
              </w:rPr>
            </w:pPr>
            <w:r w:rsidRPr="00D37F16">
              <w:rPr>
                <w:color w:val="FFFFFF" w:themeColor="background1"/>
                <w:sz w:val="18"/>
                <w:szCs w:val="18"/>
              </w:rPr>
              <w:t>Principle 1</w:t>
            </w:r>
          </w:p>
        </w:tc>
        <w:tc>
          <w:tcPr>
            <w:tcW w:w="992" w:type="dxa"/>
            <w:shd w:val="clear" w:color="auto" w:fill="404040" w:themeFill="text1" w:themeFillTint="BF"/>
            <w:tcMar>
              <w:left w:w="28" w:type="dxa"/>
              <w:right w:w="28" w:type="dxa"/>
            </w:tcMar>
            <w:vAlign w:val="center"/>
          </w:tcPr>
          <w:p w14:paraId="77C904DA" w14:textId="77777777" w:rsidR="00FF449E" w:rsidRPr="00D37F16" w:rsidRDefault="00FF449E" w:rsidP="006C4214">
            <w:pPr>
              <w:pStyle w:val="TableHeading"/>
              <w:jc w:val="center"/>
              <w:rPr>
                <w:color w:val="FFFFFF" w:themeColor="background1"/>
                <w:sz w:val="18"/>
                <w:szCs w:val="18"/>
              </w:rPr>
            </w:pPr>
            <w:r w:rsidRPr="00D37F16">
              <w:rPr>
                <w:color w:val="FFFFFF" w:themeColor="background1"/>
                <w:sz w:val="18"/>
                <w:szCs w:val="18"/>
              </w:rPr>
              <w:t>Principle 2</w:t>
            </w:r>
          </w:p>
        </w:tc>
        <w:tc>
          <w:tcPr>
            <w:tcW w:w="992" w:type="dxa"/>
            <w:shd w:val="clear" w:color="auto" w:fill="404040" w:themeFill="text1" w:themeFillTint="BF"/>
            <w:tcMar>
              <w:left w:w="28" w:type="dxa"/>
              <w:right w:w="28" w:type="dxa"/>
            </w:tcMar>
            <w:vAlign w:val="center"/>
          </w:tcPr>
          <w:p w14:paraId="75CC0971" w14:textId="77777777" w:rsidR="00FF449E" w:rsidRPr="00D37F16" w:rsidRDefault="00FF449E" w:rsidP="006C4214">
            <w:pPr>
              <w:pStyle w:val="TableHeading"/>
              <w:jc w:val="center"/>
              <w:rPr>
                <w:color w:val="FFFFFF" w:themeColor="background1"/>
                <w:sz w:val="18"/>
                <w:szCs w:val="18"/>
              </w:rPr>
            </w:pPr>
            <w:r w:rsidRPr="00D37F16">
              <w:rPr>
                <w:color w:val="FFFFFF" w:themeColor="background1"/>
                <w:sz w:val="18"/>
                <w:szCs w:val="18"/>
              </w:rPr>
              <w:t xml:space="preserve">Principle </w:t>
            </w:r>
            <w:r>
              <w:rPr>
                <w:color w:val="FFFFFF" w:themeColor="background1"/>
                <w:sz w:val="18"/>
                <w:szCs w:val="18"/>
              </w:rPr>
              <w:t>3</w:t>
            </w:r>
          </w:p>
        </w:tc>
        <w:tc>
          <w:tcPr>
            <w:tcW w:w="992" w:type="dxa"/>
            <w:shd w:val="clear" w:color="auto" w:fill="404040" w:themeFill="text1" w:themeFillTint="BF"/>
            <w:tcMar>
              <w:left w:w="28" w:type="dxa"/>
              <w:right w:w="28" w:type="dxa"/>
            </w:tcMar>
            <w:vAlign w:val="center"/>
          </w:tcPr>
          <w:p w14:paraId="2F9323C5" w14:textId="77777777" w:rsidR="00FF449E" w:rsidRPr="00D37F16" w:rsidRDefault="00FF449E" w:rsidP="006C4214">
            <w:pPr>
              <w:pStyle w:val="TableHeading"/>
              <w:jc w:val="center"/>
              <w:rPr>
                <w:color w:val="FFFFFF" w:themeColor="background1"/>
                <w:sz w:val="18"/>
                <w:szCs w:val="18"/>
              </w:rPr>
            </w:pPr>
            <w:r w:rsidRPr="00D37F16">
              <w:rPr>
                <w:color w:val="FFFFFF" w:themeColor="background1"/>
                <w:sz w:val="18"/>
                <w:szCs w:val="18"/>
              </w:rPr>
              <w:t xml:space="preserve">Principle </w:t>
            </w:r>
            <w:r>
              <w:rPr>
                <w:color w:val="FFFFFF" w:themeColor="background1"/>
                <w:sz w:val="18"/>
                <w:szCs w:val="18"/>
              </w:rPr>
              <w:t>4</w:t>
            </w:r>
          </w:p>
        </w:tc>
        <w:tc>
          <w:tcPr>
            <w:tcW w:w="992" w:type="dxa"/>
            <w:shd w:val="clear" w:color="auto" w:fill="404040" w:themeFill="text1" w:themeFillTint="BF"/>
            <w:tcMar>
              <w:left w:w="28" w:type="dxa"/>
              <w:right w:w="28" w:type="dxa"/>
            </w:tcMar>
            <w:vAlign w:val="center"/>
          </w:tcPr>
          <w:p w14:paraId="3AD00FD0" w14:textId="77777777" w:rsidR="00FF449E" w:rsidRPr="00D37F16" w:rsidRDefault="00FF449E" w:rsidP="006C4214">
            <w:pPr>
              <w:pStyle w:val="TableHeading"/>
              <w:jc w:val="center"/>
              <w:rPr>
                <w:color w:val="FFFFFF" w:themeColor="background1"/>
                <w:sz w:val="18"/>
                <w:szCs w:val="18"/>
              </w:rPr>
            </w:pPr>
            <w:r>
              <w:rPr>
                <w:color w:val="FFFFFF" w:themeColor="background1"/>
                <w:sz w:val="18"/>
                <w:szCs w:val="18"/>
              </w:rPr>
              <w:t>Principle 5</w:t>
            </w:r>
          </w:p>
        </w:tc>
      </w:tr>
      <w:tr w:rsidR="00FF449E" w:rsidRPr="00D37F16" w14:paraId="00099DA0" w14:textId="77777777" w:rsidTr="006C4214">
        <w:trPr>
          <w:trHeight w:val="480"/>
          <w:jc w:val="center"/>
        </w:trPr>
        <w:tc>
          <w:tcPr>
            <w:tcW w:w="988" w:type="dxa"/>
            <w:tcMar>
              <w:left w:w="28" w:type="dxa"/>
              <w:right w:w="28" w:type="dxa"/>
            </w:tcMar>
            <w:vAlign w:val="center"/>
          </w:tcPr>
          <w:p w14:paraId="7B248626" w14:textId="77777777" w:rsidR="00FF449E" w:rsidRPr="00D37F16" w:rsidRDefault="00FF449E" w:rsidP="006C4214">
            <w:pPr>
              <w:spacing w:after="0" w:line="240" w:lineRule="auto"/>
              <w:jc w:val="center"/>
              <w:rPr>
                <w:rFonts w:cs="Arial"/>
                <w:b/>
                <w:sz w:val="18"/>
                <w:szCs w:val="18"/>
              </w:rPr>
            </w:pPr>
            <w:r w:rsidRPr="00D37F16">
              <w:rPr>
                <w:rFonts w:cs="Arial"/>
                <w:b/>
                <w:sz w:val="18"/>
                <w:szCs w:val="18"/>
              </w:rPr>
              <w:t>Option 1</w:t>
            </w:r>
          </w:p>
        </w:tc>
        <w:tc>
          <w:tcPr>
            <w:tcW w:w="992" w:type="dxa"/>
            <w:tcMar>
              <w:left w:w="28" w:type="dxa"/>
              <w:right w:w="28" w:type="dxa"/>
            </w:tcMar>
            <w:vAlign w:val="center"/>
          </w:tcPr>
          <w:p w14:paraId="433B59CA" w14:textId="77777777" w:rsidR="00FF449E" w:rsidRPr="00D37F16" w:rsidRDefault="00FF449E" w:rsidP="006C4214">
            <w:pPr>
              <w:spacing w:after="0"/>
              <w:jc w:val="center"/>
              <w:rPr>
                <w:sz w:val="18"/>
                <w:szCs w:val="18"/>
              </w:rPr>
            </w:pPr>
            <w:r w:rsidRPr="001A4BD5">
              <w:rPr>
                <w:color w:val="FF0000"/>
                <w:sz w:val="40"/>
                <w:szCs w:val="18"/>
              </w:rPr>
              <w:sym w:font="Wingdings" w:char="F0FB"/>
            </w:r>
          </w:p>
        </w:tc>
        <w:tc>
          <w:tcPr>
            <w:tcW w:w="992" w:type="dxa"/>
            <w:tcMar>
              <w:left w:w="28" w:type="dxa"/>
              <w:right w:w="28" w:type="dxa"/>
            </w:tcMar>
          </w:tcPr>
          <w:p w14:paraId="56F06922" w14:textId="77777777" w:rsidR="00FF449E" w:rsidRPr="00D37F16" w:rsidRDefault="00FF449E" w:rsidP="006C4214">
            <w:pPr>
              <w:spacing w:after="0"/>
              <w:jc w:val="center"/>
              <w:rPr>
                <w:sz w:val="18"/>
                <w:szCs w:val="18"/>
              </w:rPr>
            </w:pPr>
            <w:r w:rsidRPr="009A5E2B">
              <w:rPr>
                <w:color w:val="FF0000"/>
                <w:sz w:val="40"/>
                <w:szCs w:val="18"/>
              </w:rPr>
              <w:sym w:font="Wingdings" w:char="F0FB"/>
            </w:r>
          </w:p>
        </w:tc>
        <w:tc>
          <w:tcPr>
            <w:tcW w:w="992" w:type="dxa"/>
            <w:tcMar>
              <w:left w:w="28" w:type="dxa"/>
              <w:right w:w="28" w:type="dxa"/>
            </w:tcMar>
          </w:tcPr>
          <w:p w14:paraId="5FFE1384" w14:textId="77777777" w:rsidR="00FF449E" w:rsidRPr="00D37F16" w:rsidRDefault="00FF449E" w:rsidP="006C4214">
            <w:pPr>
              <w:spacing w:after="0"/>
              <w:jc w:val="center"/>
              <w:rPr>
                <w:sz w:val="18"/>
                <w:szCs w:val="18"/>
              </w:rPr>
            </w:pPr>
            <w:r w:rsidRPr="009A5E2B">
              <w:rPr>
                <w:color w:val="FF0000"/>
                <w:sz w:val="40"/>
                <w:szCs w:val="18"/>
              </w:rPr>
              <w:sym w:font="Wingdings" w:char="F0FB"/>
            </w:r>
          </w:p>
        </w:tc>
        <w:tc>
          <w:tcPr>
            <w:tcW w:w="992" w:type="dxa"/>
            <w:tcMar>
              <w:left w:w="28" w:type="dxa"/>
              <w:right w:w="28" w:type="dxa"/>
            </w:tcMar>
            <w:vAlign w:val="center"/>
          </w:tcPr>
          <w:p w14:paraId="313FAAD0" w14:textId="77777777" w:rsidR="00FF449E" w:rsidRPr="00D37F16" w:rsidRDefault="00FF449E" w:rsidP="006C4214">
            <w:pPr>
              <w:spacing w:after="0"/>
              <w:jc w:val="center"/>
              <w:rPr>
                <w:sz w:val="18"/>
                <w:szCs w:val="18"/>
              </w:rPr>
            </w:pPr>
            <w:r w:rsidRPr="001A4BD5">
              <w:rPr>
                <w:color w:val="00B050"/>
                <w:sz w:val="40"/>
                <w:szCs w:val="18"/>
              </w:rPr>
              <w:sym w:font="Wingdings" w:char="F0FC"/>
            </w:r>
          </w:p>
        </w:tc>
        <w:tc>
          <w:tcPr>
            <w:tcW w:w="992" w:type="dxa"/>
            <w:tcMar>
              <w:left w:w="28" w:type="dxa"/>
              <w:right w:w="28" w:type="dxa"/>
            </w:tcMar>
            <w:vAlign w:val="center"/>
          </w:tcPr>
          <w:p w14:paraId="7288AAB4" w14:textId="77777777" w:rsidR="00FF449E" w:rsidRPr="00D37F16" w:rsidRDefault="00FF449E" w:rsidP="006C4214">
            <w:pPr>
              <w:spacing w:after="0"/>
              <w:jc w:val="center"/>
              <w:rPr>
                <w:sz w:val="18"/>
                <w:szCs w:val="18"/>
              </w:rPr>
            </w:pPr>
            <w:r w:rsidRPr="001A4BD5">
              <w:rPr>
                <w:color w:val="FF0000"/>
                <w:sz w:val="40"/>
                <w:szCs w:val="18"/>
              </w:rPr>
              <w:sym w:font="Wingdings" w:char="F0FB"/>
            </w:r>
          </w:p>
        </w:tc>
      </w:tr>
      <w:tr w:rsidR="00FF449E" w:rsidRPr="00D37F16" w14:paraId="77ABB0A0" w14:textId="77777777" w:rsidTr="006C4214">
        <w:trPr>
          <w:trHeight w:val="480"/>
          <w:jc w:val="center"/>
        </w:trPr>
        <w:tc>
          <w:tcPr>
            <w:tcW w:w="988" w:type="dxa"/>
            <w:tcMar>
              <w:left w:w="28" w:type="dxa"/>
              <w:right w:w="28" w:type="dxa"/>
            </w:tcMar>
            <w:vAlign w:val="center"/>
          </w:tcPr>
          <w:p w14:paraId="0BF0BBB3" w14:textId="77777777" w:rsidR="00FF449E" w:rsidRPr="00D37F16" w:rsidRDefault="00FF449E" w:rsidP="006C4214">
            <w:pPr>
              <w:spacing w:after="0" w:line="240" w:lineRule="auto"/>
              <w:jc w:val="center"/>
              <w:rPr>
                <w:rFonts w:cs="Arial"/>
                <w:b/>
                <w:sz w:val="18"/>
                <w:szCs w:val="18"/>
              </w:rPr>
            </w:pPr>
            <w:r>
              <w:rPr>
                <w:rFonts w:cs="Arial"/>
                <w:b/>
                <w:sz w:val="18"/>
                <w:szCs w:val="18"/>
              </w:rPr>
              <w:t>Option 2a</w:t>
            </w:r>
          </w:p>
        </w:tc>
        <w:tc>
          <w:tcPr>
            <w:tcW w:w="992" w:type="dxa"/>
            <w:tcMar>
              <w:left w:w="28" w:type="dxa"/>
              <w:right w:w="28" w:type="dxa"/>
            </w:tcMar>
          </w:tcPr>
          <w:p w14:paraId="2D5D7AD3" w14:textId="77777777" w:rsidR="00FF449E" w:rsidRPr="00D37F16" w:rsidRDefault="00FF449E" w:rsidP="006C4214">
            <w:pPr>
              <w:spacing w:after="0"/>
              <w:jc w:val="center"/>
              <w:rPr>
                <w:sz w:val="18"/>
                <w:szCs w:val="18"/>
              </w:rPr>
            </w:pPr>
            <w:r w:rsidRPr="001A4BD5">
              <w:rPr>
                <w:color w:val="FFC000"/>
                <w:sz w:val="40"/>
                <w:szCs w:val="18"/>
              </w:rPr>
              <w:sym w:font="Wingdings" w:char="F0FC"/>
            </w:r>
          </w:p>
        </w:tc>
        <w:tc>
          <w:tcPr>
            <w:tcW w:w="992" w:type="dxa"/>
            <w:tcMar>
              <w:left w:w="28" w:type="dxa"/>
              <w:right w:w="28" w:type="dxa"/>
            </w:tcMar>
          </w:tcPr>
          <w:p w14:paraId="763DCC01" w14:textId="77777777" w:rsidR="00FF449E" w:rsidRPr="00D37F16" w:rsidRDefault="00FF449E" w:rsidP="006C4214">
            <w:pPr>
              <w:spacing w:after="0"/>
              <w:jc w:val="center"/>
              <w:rPr>
                <w:sz w:val="18"/>
                <w:szCs w:val="18"/>
              </w:rPr>
            </w:pPr>
            <w:r w:rsidRPr="001A4BD5">
              <w:rPr>
                <w:color w:val="00B050"/>
                <w:sz w:val="40"/>
                <w:szCs w:val="18"/>
              </w:rPr>
              <w:sym w:font="Wingdings" w:char="F0FC"/>
            </w:r>
          </w:p>
        </w:tc>
        <w:tc>
          <w:tcPr>
            <w:tcW w:w="992" w:type="dxa"/>
            <w:tcMar>
              <w:left w:w="28" w:type="dxa"/>
              <w:right w:w="28" w:type="dxa"/>
            </w:tcMar>
          </w:tcPr>
          <w:p w14:paraId="3BC84ACF" w14:textId="77777777" w:rsidR="00FF449E" w:rsidRPr="001A4BD5" w:rsidRDefault="00FF449E" w:rsidP="006C4214">
            <w:pPr>
              <w:spacing w:after="0"/>
              <w:jc w:val="center"/>
              <w:rPr>
                <w:color w:val="FFC000"/>
                <w:sz w:val="18"/>
                <w:szCs w:val="18"/>
              </w:rPr>
            </w:pPr>
            <w:r w:rsidRPr="001A4BD5">
              <w:rPr>
                <w:color w:val="FFC000"/>
                <w:sz w:val="40"/>
                <w:szCs w:val="18"/>
              </w:rPr>
              <w:sym w:font="Wingdings" w:char="F0FC"/>
            </w:r>
          </w:p>
        </w:tc>
        <w:tc>
          <w:tcPr>
            <w:tcW w:w="992" w:type="dxa"/>
            <w:tcMar>
              <w:left w:w="28" w:type="dxa"/>
              <w:right w:w="28" w:type="dxa"/>
            </w:tcMar>
          </w:tcPr>
          <w:p w14:paraId="0DEAB833" w14:textId="77777777" w:rsidR="00FF449E" w:rsidRPr="00D37F16" w:rsidRDefault="00FF449E" w:rsidP="006C4214">
            <w:pPr>
              <w:spacing w:after="0"/>
              <w:jc w:val="center"/>
              <w:rPr>
                <w:sz w:val="18"/>
                <w:szCs w:val="18"/>
              </w:rPr>
            </w:pPr>
            <w:r w:rsidRPr="001A4BD5">
              <w:rPr>
                <w:color w:val="00B050"/>
                <w:sz w:val="40"/>
                <w:szCs w:val="18"/>
              </w:rPr>
              <w:sym w:font="Wingdings" w:char="F0FC"/>
            </w:r>
          </w:p>
        </w:tc>
        <w:tc>
          <w:tcPr>
            <w:tcW w:w="992" w:type="dxa"/>
            <w:tcMar>
              <w:left w:w="28" w:type="dxa"/>
              <w:right w:w="28" w:type="dxa"/>
            </w:tcMar>
          </w:tcPr>
          <w:p w14:paraId="00A93D92" w14:textId="77777777" w:rsidR="00FF449E" w:rsidRPr="00D37F16" w:rsidRDefault="00FF449E" w:rsidP="006C4214">
            <w:pPr>
              <w:spacing w:after="0"/>
              <w:jc w:val="center"/>
              <w:rPr>
                <w:sz w:val="18"/>
                <w:szCs w:val="18"/>
              </w:rPr>
            </w:pPr>
            <w:r w:rsidRPr="001A4BD5">
              <w:rPr>
                <w:color w:val="00B050"/>
                <w:sz w:val="40"/>
                <w:szCs w:val="18"/>
              </w:rPr>
              <w:sym w:font="Wingdings" w:char="F0FC"/>
            </w:r>
          </w:p>
        </w:tc>
      </w:tr>
      <w:tr w:rsidR="00FF449E" w:rsidRPr="00D37F16" w14:paraId="36172689" w14:textId="77777777" w:rsidTr="006C4214">
        <w:trPr>
          <w:trHeight w:val="480"/>
          <w:jc w:val="center"/>
        </w:trPr>
        <w:tc>
          <w:tcPr>
            <w:tcW w:w="988" w:type="dxa"/>
            <w:tcMar>
              <w:left w:w="28" w:type="dxa"/>
              <w:right w:w="28" w:type="dxa"/>
            </w:tcMar>
            <w:vAlign w:val="center"/>
          </w:tcPr>
          <w:p w14:paraId="10A3D8E0" w14:textId="77777777" w:rsidR="00FF449E" w:rsidRPr="00D37F16" w:rsidRDefault="00FF449E" w:rsidP="006C4214">
            <w:pPr>
              <w:spacing w:after="0" w:line="240" w:lineRule="auto"/>
              <w:jc w:val="center"/>
              <w:rPr>
                <w:rFonts w:cs="Arial"/>
                <w:b/>
                <w:sz w:val="18"/>
                <w:szCs w:val="18"/>
              </w:rPr>
            </w:pPr>
            <w:r>
              <w:rPr>
                <w:rFonts w:cs="Arial"/>
                <w:b/>
                <w:sz w:val="18"/>
                <w:szCs w:val="18"/>
              </w:rPr>
              <w:t>Option 2b</w:t>
            </w:r>
          </w:p>
        </w:tc>
        <w:tc>
          <w:tcPr>
            <w:tcW w:w="992" w:type="dxa"/>
            <w:tcMar>
              <w:left w:w="28" w:type="dxa"/>
              <w:right w:w="28" w:type="dxa"/>
            </w:tcMar>
          </w:tcPr>
          <w:p w14:paraId="78C3B3DB" w14:textId="77777777" w:rsidR="00FF449E" w:rsidRPr="00D37F16" w:rsidRDefault="00FF449E" w:rsidP="006C4214">
            <w:pPr>
              <w:spacing w:after="0"/>
              <w:jc w:val="center"/>
              <w:rPr>
                <w:sz w:val="18"/>
                <w:szCs w:val="18"/>
              </w:rPr>
            </w:pPr>
            <w:r w:rsidRPr="001A4BD5">
              <w:rPr>
                <w:color w:val="FFC000"/>
                <w:sz w:val="40"/>
                <w:szCs w:val="18"/>
              </w:rPr>
              <w:sym w:font="Wingdings" w:char="F0FC"/>
            </w:r>
          </w:p>
        </w:tc>
        <w:tc>
          <w:tcPr>
            <w:tcW w:w="992" w:type="dxa"/>
            <w:tcMar>
              <w:left w:w="28" w:type="dxa"/>
              <w:right w:w="28" w:type="dxa"/>
            </w:tcMar>
          </w:tcPr>
          <w:p w14:paraId="06D7D864" w14:textId="77777777" w:rsidR="00FF449E" w:rsidRPr="00D37F16" w:rsidRDefault="00FF449E" w:rsidP="006C4214">
            <w:pPr>
              <w:spacing w:after="0"/>
              <w:jc w:val="center"/>
              <w:rPr>
                <w:sz w:val="18"/>
                <w:szCs w:val="18"/>
              </w:rPr>
            </w:pPr>
            <w:r w:rsidRPr="001A4BD5">
              <w:rPr>
                <w:color w:val="00B050"/>
                <w:sz w:val="40"/>
                <w:szCs w:val="18"/>
              </w:rPr>
              <w:sym w:font="Wingdings" w:char="F0FC"/>
            </w:r>
          </w:p>
        </w:tc>
        <w:tc>
          <w:tcPr>
            <w:tcW w:w="992" w:type="dxa"/>
            <w:tcMar>
              <w:left w:w="28" w:type="dxa"/>
              <w:right w:w="28" w:type="dxa"/>
            </w:tcMar>
          </w:tcPr>
          <w:p w14:paraId="2195234F" w14:textId="77777777" w:rsidR="00FF449E" w:rsidRPr="00D37F16" w:rsidRDefault="00FF449E" w:rsidP="006C4214">
            <w:pPr>
              <w:spacing w:after="0"/>
              <w:jc w:val="center"/>
              <w:rPr>
                <w:sz w:val="18"/>
                <w:szCs w:val="18"/>
              </w:rPr>
            </w:pPr>
            <w:r w:rsidRPr="001A4BD5">
              <w:rPr>
                <w:color w:val="FFC000"/>
                <w:sz w:val="40"/>
                <w:szCs w:val="18"/>
              </w:rPr>
              <w:sym w:font="Wingdings" w:char="F0FC"/>
            </w:r>
          </w:p>
        </w:tc>
        <w:tc>
          <w:tcPr>
            <w:tcW w:w="992" w:type="dxa"/>
            <w:tcMar>
              <w:left w:w="28" w:type="dxa"/>
              <w:right w:w="28" w:type="dxa"/>
            </w:tcMar>
          </w:tcPr>
          <w:p w14:paraId="71786344" w14:textId="77777777" w:rsidR="00FF449E" w:rsidRPr="00D37F16" w:rsidRDefault="00FF449E" w:rsidP="006C4214">
            <w:pPr>
              <w:spacing w:after="0"/>
              <w:jc w:val="center"/>
              <w:rPr>
                <w:sz w:val="18"/>
                <w:szCs w:val="18"/>
              </w:rPr>
            </w:pPr>
            <w:r w:rsidRPr="001A4BD5">
              <w:rPr>
                <w:color w:val="00B050"/>
                <w:sz w:val="40"/>
                <w:szCs w:val="18"/>
              </w:rPr>
              <w:sym w:font="Wingdings" w:char="F0FC"/>
            </w:r>
          </w:p>
        </w:tc>
        <w:tc>
          <w:tcPr>
            <w:tcW w:w="992" w:type="dxa"/>
            <w:tcMar>
              <w:left w:w="28" w:type="dxa"/>
              <w:right w:w="28" w:type="dxa"/>
            </w:tcMar>
          </w:tcPr>
          <w:p w14:paraId="3285122D" w14:textId="77777777" w:rsidR="00FF449E" w:rsidRPr="00D37F16" w:rsidRDefault="00FF449E" w:rsidP="006C4214">
            <w:pPr>
              <w:spacing w:after="0"/>
              <w:jc w:val="center"/>
              <w:rPr>
                <w:sz w:val="18"/>
                <w:szCs w:val="18"/>
              </w:rPr>
            </w:pPr>
            <w:r w:rsidRPr="001A4BD5">
              <w:rPr>
                <w:color w:val="00B050"/>
                <w:sz w:val="40"/>
                <w:szCs w:val="18"/>
              </w:rPr>
              <w:sym w:font="Wingdings" w:char="F0FC"/>
            </w:r>
          </w:p>
        </w:tc>
      </w:tr>
      <w:tr w:rsidR="00FF449E" w:rsidRPr="00D37F16" w14:paraId="36EFF8E2" w14:textId="77777777" w:rsidTr="006C4214">
        <w:trPr>
          <w:trHeight w:val="480"/>
          <w:jc w:val="center"/>
        </w:trPr>
        <w:tc>
          <w:tcPr>
            <w:tcW w:w="988" w:type="dxa"/>
            <w:tcMar>
              <w:left w:w="28" w:type="dxa"/>
              <w:right w:w="28" w:type="dxa"/>
            </w:tcMar>
            <w:vAlign w:val="center"/>
          </w:tcPr>
          <w:p w14:paraId="312E159C" w14:textId="77777777" w:rsidR="00FF449E" w:rsidRPr="00D37F16" w:rsidRDefault="00FF449E" w:rsidP="006C4214">
            <w:pPr>
              <w:spacing w:after="0" w:line="240" w:lineRule="auto"/>
              <w:jc w:val="center"/>
              <w:rPr>
                <w:rFonts w:cs="Arial"/>
                <w:b/>
                <w:sz w:val="18"/>
                <w:szCs w:val="18"/>
              </w:rPr>
            </w:pPr>
            <w:r>
              <w:rPr>
                <w:rFonts w:cs="Arial"/>
                <w:b/>
                <w:sz w:val="18"/>
                <w:szCs w:val="18"/>
              </w:rPr>
              <w:t>Option 3a</w:t>
            </w:r>
          </w:p>
        </w:tc>
        <w:tc>
          <w:tcPr>
            <w:tcW w:w="992" w:type="dxa"/>
            <w:tcMar>
              <w:left w:w="28" w:type="dxa"/>
              <w:right w:w="28" w:type="dxa"/>
            </w:tcMar>
          </w:tcPr>
          <w:p w14:paraId="4FFFD238" w14:textId="77777777" w:rsidR="00FF449E" w:rsidRPr="001A4BD5" w:rsidRDefault="00FF449E" w:rsidP="006C4214">
            <w:pPr>
              <w:spacing w:after="0"/>
              <w:jc w:val="center"/>
              <w:rPr>
                <w:sz w:val="40"/>
                <w:szCs w:val="18"/>
              </w:rPr>
            </w:pPr>
            <w:r w:rsidRPr="001A4BD5">
              <w:rPr>
                <w:color w:val="00B050"/>
                <w:sz w:val="40"/>
                <w:szCs w:val="18"/>
              </w:rPr>
              <w:sym w:font="Wingdings" w:char="F0FC"/>
            </w:r>
          </w:p>
        </w:tc>
        <w:tc>
          <w:tcPr>
            <w:tcW w:w="992" w:type="dxa"/>
            <w:tcMar>
              <w:left w:w="28" w:type="dxa"/>
              <w:right w:w="28" w:type="dxa"/>
            </w:tcMar>
          </w:tcPr>
          <w:p w14:paraId="2430924D" w14:textId="77777777" w:rsidR="00FF449E" w:rsidRPr="001A4BD5" w:rsidRDefault="00FF449E" w:rsidP="006C4214">
            <w:pPr>
              <w:spacing w:after="0"/>
              <w:jc w:val="center"/>
              <w:rPr>
                <w:color w:val="FFC000"/>
                <w:sz w:val="40"/>
                <w:szCs w:val="18"/>
              </w:rPr>
            </w:pPr>
            <w:r w:rsidRPr="001A4BD5">
              <w:rPr>
                <w:color w:val="FFC000"/>
                <w:sz w:val="40"/>
                <w:szCs w:val="18"/>
              </w:rPr>
              <w:sym w:font="Wingdings" w:char="F0FC"/>
            </w:r>
          </w:p>
        </w:tc>
        <w:tc>
          <w:tcPr>
            <w:tcW w:w="992" w:type="dxa"/>
            <w:tcMar>
              <w:left w:w="28" w:type="dxa"/>
              <w:right w:w="28" w:type="dxa"/>
            </w:tcMar>
          </w:tcPr>
          <w:p w14:paraId="76695349" w14:textId="77777777" w:rsidR="00FF449E" w:rsidRPr="001A4BD5" w:rsidRDefault="00FF449E" w:rsidP="006C4214">
            <w:pPr>
              <w:spacing w:after="0"/>
              <w:jc w:val="center"/>
              <w:rPr>
                <w:sz w:val="40"/>
                <w:szCs w:val="18"/>
              </w:rPr>
            </w:pPr>
            <w:r w:rsidRPr="001A4BD5">
              <w:rPr>
                <w:color w:val="00B050"/>
                <w:sz w:val="40"/>
                <w:szCs w:val="18"/>
              </w:rPr>
              <w:sym w:font="Wingdings" w:char="F0FC"/>
            </w:r>
          </w:p>
        </w:tc>
        <w:tc>
          <w:tcPr>
            <w:tcW w:w="992" w:type="dxa"/>
            <w:tcMar>
              <w:left w:w="28" w:type="dxa"/>
              <w:right w:w="28" w:type="dxa"/>
            </w:tcMar>
          </w:tcPr>
          <w:p w14:paraId="41AD0404" w14:textId="77777777" w:rsidR="00FF449E" w:rsidRPr="001A4BD5" w:rsidRDefault="00FF449E" w:rsidP="006C4214">
            <w:pPr>
              <w:spacing w:after="0"/>
              <w:jc w:val="center"/>
              <w:rPr>
                <w:sz w:val="40"/>
                <w:szCs w:val="18"/>
              </w:rPr>
            </w:pPr>
            <w:r w:rsidRPr="001A4BD5">
              <w:rPr>
                <w:color w:val="00B050"/>
                <w:sz w:val="40"/>
                <w:szCs w:val="18"/>
              </w:rPr>
              <w:sym w:font="Wingdings" w:char="F0FC"/>
            </w:r>
          </w:p>
        </w:tc>
        <w:tc>
          <w:tcPr>
            <w:tcW w:w="992" w:type="dxa"/>
            <w:tcMar>
              <w:left w:w="28" w:type="dxa"/>
              <w:right w:w="28" w:type="dxa"/>
            </w:tcMar>
          </w:tcPr>
          <w:p w14:paraId="257FE7E5" w14:textId="77777777" w:rsidR="00FF449E" w:rsidRPr="001A4BD5" w:rsidRDefault="00FF449E" w:rsidP="006C4214">
            <w:pPr>
              <w:spacing w:after="0"/>
              <w:jc w:val="center"/>
              <w:rPr>
                <w:sz w:val="40"/>
                <w:szCs w:val="18"/>
              </w:rPr>
            </w:pPr>
            <w:r w:rsidRPr="001A4BD5">
              <w:rPr>
                <w:color w:val="00B050"/>
                <w:sz w:val="40"/>
                <w:szCs w:val="18"/>
              </w:rPr>
              <w:sym w:font="Wingdings" w:char="F0FC"/>
            </w:r>
          </w:p>
        </w:tc>
      </w:tr>
      <w:tr w:rsidR="00FF449E" w:rsidRPr="00D37F16" w14:paraId="0C2984C2" w14:textId="77777777" w:rsidTr="006C4214">
        <w:trPr>
          <w:trHeight w:val="480"/>
          <w:jc w:val="center"/>
        </w:trPr>
        <w:tc>
          <w:tcPr>
            <w:tcW w:w="988" w:type="dxa"/>
            <w:tcMar>
              <w:left w:w="28" w:type="dxa"/>
              <w:right w:w="28" w:type="dxa"/>
            </w:tcMar>
            <w:vAlign w:val="center"/>
          </w:tcPr>
          <w:p w14:paraId="2F2BD4E3" w14:textId="77777777" w:rsidR="00FF449E" w:rsidRPr="00D37F16" w:rsidRDefault="00FF449E" w:rsidP="006C4214">
            <w:pPr>
              <w:spacing w:after="0" w:line="240" w:lineRule="auto"/>
              <w:jc w:val="center"/>
              <w:rPr>
                <w:rFonts w:cs="Arial"/>
                <w:b/>
                <w:sz w:val="18"/>
                <w:szCs w:val="18"/>
              </w:rPr>
            </w:pPr>
            <w:r>
              <w:rPr>
                <w:rFonts w:cs="Arial"/>
                <w:b/>
                <w:sz w:val="18"/>
                <w:szCs w:val="18"/>
              </w:rPr>
              <w:t>Option 3b</w:t>
            </w:r>
          </w:p>
        </w:tc>
        <w:tc>
          <w:tcPr>
            <w:tcW w:w="992" w:type="dxa"/>
            <w:tcMar>
              <w:left w:w="28" w:type="dxa"/>
              <w:right w:w="28" w:type="dxa"/>
            </w:tcMar>
          </w:tcPr>
          <w:p w14:paraId="3F92D9B0" w14:textId="77777777" w:rsidR="00FF449E" w:rsidRPr="001A4BD5" w:rsidRDefault="00FF449E" w:rsidP="006C4214">
            <w:pPr>
              <w:spacing w:after="0"/>
              <w:jc w:val="center"/>
              <w:rPr>
                <w:sz w:val="40"/>
                <w:szCs w:val="18"/>
              </w:rPr>
            </w:pPr>
            <w:r w:rsidRPr="001A4BD5">
              <w:rPr>
                <w:color w:val="00B050"/>
                <w:sz w:val="40"/>
                <w:szCs w:val="18"/>
              </w:rPr>
              <w:sym w:font="Wingdings" w:char="F0FC"/>
            </w:r>
          </w:p>
        </w:tc>
        <w:tc>
          <w:tcPr>
            <w:tcW w:w="992" w:type="dxa"/>
            <w:tcMar>
              <w:left w:w="28" w:type="dxa"/>
              <w:right w:w="28" w:type="dxa"/>
            </w:tcMar>
          </w:tcPr>
          <w:p w14:paraId="7FB60AE0" w14:textId="77777777" w:rsidR="00FF449E" w:rsidRPr="001A4BD5" w:rsidRDefault="00FF449E" w:rsidP="006C4214">
            <w:pPr>
              <w:spacing w:after="0"/>
              <w:jc w:val="center"/>
              <w:rPr>
                <w:color w:val="FFC000"/>
                <w:sz w:val="40"/>
                <w:szCs w:val="18"/>
              </w:rPr>
            </w:pPr>
            <w:r w:rsidRPr="001A4BD5">
              <w:rPr>
                <w:color w:val="FFC000"/>
                <w:sz w:val="40"/>
                <w:szCs w:val="18"/>
              </w:rPr>
              <w:sym w:font="Wingdings" w:char="F0FC"/>
            </w:r>
          </w:p>
        </w:tc>
        <w:tc>
          <w:tcPr>
            <w:tcW w:w="992" w:type="dxa"/>
            <w:tcMar>
              <w:left w:w="28" w:type="dxa"/>
              <w:right w:w="28" w:type="dxa"/>
            </w:tcMar>
          </w:tcPr>
          <w:p w14:paraId="05CC40B2" w14:textId="77777777" w:rsidR="00FF449E" w:rsidRPr="001A4BD5" w:rsidRDefault="00FF449E" w:rsidP="006C4214">
            <w:pPr>
              <w:spacing w:after="0"/>
              <w:jc w:val="center"/>
              <w:rPr>
                <w:sz w:val="40"/>
                <w:szCs w:val="18"/>
              </w:rPr>
            </w:pPr>
            <w:r w:rsidRPr="001A4BD5">
              <w:rPr>
                <w:color w:val="00B050"/>
                <w:sz w:val="40"/>
                <w:szCs w:val="18"/>
              </w:rPr>
              <w:sym w:font="Wingdings" w:char="F0FC"/>
            </w:r>
          </w:p>
        </w:tc>
        <w:tc>
          <w:tcPr>
            <w:tcW w:w="992" w:type="dxa"/>
            <w:tcMar>
              <w:left w:w="28" w:type="dxa"/>
              <w:right w:w="28" w:type="dxa"/>
            </w:tcMar>
          </w:tcPr>
          <w:p w14:paraId="07DA8FF6" w14:textId="77777777" w:rsidR="00FF449E" w:rsidRPr="001A4BD5" w:rsidRDefault="00FF449E" w:rsidP="006C4214">
            <w:pPr>
              <w:spacing w:after="0"/>
              <w:jc w:val="center"/>
              <w:rPr>
                <w:sz w:val="40"/>
                <w:szCs w:val="18"/>
              </w:rPr>
            </w:pPr>
            <w:r w:rsidRPr="001A4BD5">
              <w:rPr>
                <w:color w:val="00B050"/>
                <w:sz w:val="40"/>
                <w:szCs w:val="18"/>
              </w:rPr>
              <w:sym w:font="Wingdings" w:char="F0FC"/>
            </w:r>
          </w:p>
        </w:tc>
        <w:tc>
          <w:tcPr>
            <w:tcW w:w="992" w:type="dxa"/>
            <w:tcMar>
              <w:left w:w="28" w:type="dxa"/>
              <w:right w:w="28" w:type="dxa"/>
            </w:tcMar>
          </w:tcPr>
          <w:p w14:paraId="66D172AF" w14:textId="77777777" w:rsidR="00FF449E" w:rsidRPr="001A4BD5" w:rsidRDefault="00FF449E" w:rsidP="006C4214">
            <w:pPr>
              <w:spacing w:after="0"/>
              <w:jc w:val="center"/>
              <w:rPr>
                <w:sz w:val="40"/>
                <w:szCs w:val="18"/>
              </w:rPr>
            </w:pPr>
            <w:r w:rsidRPr="001A4BD5">
              <w:rPr>
                <w:color w:val="00B050"/>
                <w:sz w:val="40"/>
                <w:szCs w:val="18"/>
              </w:rPr>
              <w:sym w:font="Wingdings" w:char="F0FC"/>
            </w:r>
          </w:p>
        </w:tc>
      </w:tr>
    </w:tbl>
    <w:p w14:paraId="2FD6D082" w14:textId="77777777" w:rsidR="00FF449E" w:rsidRDefault="00FF449E" w:rsidP="00FF449E">
      <w:pPr>
        <w:spacing w:after="0"/>
      </w:pPr>
      <w:r>
        <w:tab/>
      </w:r>
      <w:r>
        <w:tab/>
      </w:r>
      <w:r>
        <w:tab/>
      </w:r>
    </w:p>
    <w:p w14:paraId="5F09D062" w14:textId="77777777" w:rsidR="00FF449E" w:rsidRPr="001A4BD5" w:rsidRDefault="00FF449E" w:rsidP="00FF449E">
      <w:pPr>
        <w:spacing w:after="0"/>
        <w:ind w:left="568" w:firstLine="284"/>
        <w:rPr>
          <w:szCs w:val="20"/>
        </w:rPr>
      </w:pPr>
      <w:r w:rsidRPr="001A4BD5">
        <w:rPr>
          <w:szCs w:val="20"/>
        </w:rPr>
        <w:t>Key:</w:t>
      </w:r>
    </w:p>
    <w:p w14:paraId="168C328B" w14:textId="77777777" w:rsidR="00FF449E" w:rsidRPr="001A4BD5" w:rsidRDefault="00FF449E" w:rsidP="00FF449E">
      <w:pPr>
        <w:spacing w:after="0"/>
        <w:ind w:left="852" w:firstLine="284"/>
        <w:rPr>
          <w:szCs w:val="20"/>
        </w:rPr>
      </w:pPr>
      <w:r w:rsidRPr="001A4BD5">
        <w:rPr>
          <w:color w:val="FF0000"/>
          <w:szCs w:val="20"/>
        </w:rPr>
        <w:sym w:font="Wingdings" w:char="F0FB"/>
      </w:r>
      <w:r w:rsidRPr="001A4BD5">
        <w:rPr>
          <w:color w:val="FF0000"/>
          <w:szCs w:val="20"/>
        </w:rPr>
        <w:t xml:space="preserve"> </w:t>
      </w:r>
      <w:r w:rsidRPr="001A4BD5">
        <w:rPr>
          <w:szCs w:val="20"/>
        </w:rPr>
        <w:t>- does not meet Principle</w:t>
      </w:r>
    </w:p>
    <w:p w14:paraId="1B7BCA67" w14:textId="77777777" w:rsidR="00FF449E" w:rsidRPr="001A4BD5" w:rsidRDefault="00FF449E" w:rsidP="00FF449E">
      <w:pPr>
        <w:spacing w:after="0"/>
        <w:rPr>
          <w:szCs w:val="20"/>
        </w:rPr>
      </w:pPr>
      <w:r w:rsidRPr="001A4BD5">
        <w:rPr>
          <w:szCs w:val="20"/>
        </w:rPr>
        <w:tab/>
      </w:r>
      <w:r w:rsidRPr="001A4BD5">
        <w:rPr>
          <w:szCs w:val="20"/>
        </w:rPr>
        <w:tab/>
      </w:r>
      <w:r w:rsidRPr="001A4BD5">
        <w:rPr>
          <w:szCs w:val="20"/>
        </w:rPr>
        <w:tab/>
      </w:r>
      <w:r w:rsidRPr="001A4BD5">
        <w:rPr>
          <w:szCs w:val="20"/>
        </w:rPr>
        <w:tab/>
      </w:r>
      <w:r w:rsidRPr="001A4BD5">
        <w:rPr>
          <w:color w:val="FFC000"/>
          <w:szCs w:val="20"/>
        </w:rPr>
        <w:sym w:font="Wingdings" w:char="F0FC"/>
      </w:r>
      <w:r w:rsidRPr="001A4BD5">
        <w:rPr>
          <w:color w:val="FFC000"/>
          <w:szCs w:val="20"/>
        </w:rPr>
        <w:t xml:space="preserve"> </w:t>
      </w:r>
      <w:r w:rsidRPr="001A4BD5">
        <w:rPr>
          <w:szCs w:val="20"/>
        </w:rPr>
        <w:t>- partially meets principle</w:t>
      </w:r>
    </w:p>
    <w:p w14:paraId="771084F7" w14:textId="77777777" w:rsidR="00FF449E" w:rsidRPr="001A4BD5" w:rsidRDefault="00FF449E" w:rsidP="00FF449E">
      <w:pPr>
        <w:spacing w:after="0"/>
        <w:rPr>
          <w:szCs w:val="20"/>
        </w:rPr>
        <w:sectPr w:rsidR="00FF449E" w:rsidRPr="001A4BD5" w:rsidSect="006D0629">
          <w:pgSz w:w="11906" w:h="16838" w:code="9"/>
          <w:pgMar w:top="993" w:right="3101" w:bottom="1135" w:left="1134" w:header="709" w:footer="119" w:gutter="0"/>
          <w:cols w:space="708"/>
          <w:docGrid w:linePitch="360"/>
        </w:sectPr>
      </w:pPr>
      <w:r w:rsidRPr="001A4BD5">
        <w:rPr>
          <w:szCs w:val="20"/>
        </w:rPr>
        <w:tab/>
      </w:r>
      <w:r w:rsidRPr="001A4BD5">
        <w:rPr>
          <w:szCs w:val="20"/>
        </w:rPr>
        <w:tab/>
      </w:r>
      <w:r w:rsidRPr="001A4BD5">
        <w:rPr>
          <w:szCs w:val="20"/>
        </w:rPr>
        <w:tab/>
      </w:r>
      <w:r w:rsidRPr="001A4BD5">
        <w:rPr>
          <w:szCs w:val="20"/>
        </w:rPr>
        <w:tab/>
      </w:r>
      <w:r w:rsidRPr="001A4BD5">
        <w:rPr>
          <w:color w:val="00B050"/>
          <w:szCs w:val="20"/>
        </w:rPr>
        <w:sym w:font="Wingdings" w:char="F0FC"/>
      </w:r>
      <w:r w:rsidRPr="001A4BD5">
        <w:rPr>
          <w:color w:val="00B050"/>
          <w:szCs w:val="20"/>
        </w:rPr>
        <w:t xml:space="preserve"> </w:t>
      </w:r>
      <w:r w:rsidRPr="001A4BD5">
        <w:rPr>
          <w:szCs w:val="20"/>
        </w:rPr>
        <w:t>- meets principle</w:t>
      </w:r>
    </w:p>
    <w:p w14:paraId="4FC9F6BC" w14:textId="77777777" w:rsidR="00FF449E" w:rsidRPr="00A05EC9" w:rsidRDefault="00FF449E" w:rsidP="00FF449E">
      <w:pPr>
        <w:pStyle w:val="ACMATableHeader"/>
        <w:numPr>
          <w:ilvl w:val="0"/>
          <w:numId w:val="26"/>
        </w:numPr>
        <w:spacing w:after="80"/>
      </w:pPr>
      <w:r>
        <w:lastRenderedPageBreak/>
        <w:t xml:space="preserve">Assessment of planning options </w:t>
      </w:r>
      <w:r w:rsidRPr="00A05EC9">
        <w:t xml:space="preserve">against </w:t>
      </w:r>
      <w:r>
        <w:t xml:space="preserve">the </w:t>
      </w:r>
      <w:r w:rsidRPr="00A05EC9">
        <w:t>Spectrum Management Principle</w:t>
      </w:r>
      <w:r>
        <w:t>s</w:t>
      </w:r>
    </w:p>
    <w:tbl>
      <w:tblPr>
        <w:tblStyle w:val="TableGrid"/>
        <w:tblW w:w="16302" w:type="dxa"/>
        <w:jc w:val="center"/>
        <w:tblLook w:val="04A0" w:firstRow="1" w:lastRow="0" w:firstColumn="1" w:lastColumn="0" w:noHBand="0" w:noVBand="1"/>
      </w:tblPr>
      <w:tblGrid>
        <w:gridCol w:w="993"/>
        <w:gridCol w:w="4961"/>
        <w:gridCol w:w="2410"/>
        <w:gridCol w:w="2835"/>
        <w:gridCol w:w="2552"/>
        <w:gridCol w:w="2551"/>
      </w:tblGrid>
      <w:tr w:rsidR="00FF449E" w:rsidRPr="00102A63" w14:paraId="41A11644" w14:textId="77777777" w:rsidTr="006C4214">
        <w:trPr>
          <w:trHeight w:val="306"/>
          <w:tblHeader/>
          <w:jc w:val="center"/>
        </w:trPr>
        <w:tc>
          <w:tcPr>
            <w:tcW w:w="993" w:type="dxa"/>
            <w:shd w:val="clear" w:color="auto" w:fill="404040" w:themeFill="text1" w:themeFillTint="BF"/>
            <w:tcMar>
              <w:left w:w="28" w:type="dxa"/>
              <w:right w:w="28" w:type="dxa"/>
            </w:tcMar>
          </w:tcPr>
          <w:p w14:paraId="120B5FA5" w14:textId="77777777" w:rsidR="00FF449E" w:rsidRPr="00D37F16" w:rsidRDefault="00FF449E" w:rsidP="006C4214">
            <w:pPr>
              <w:pStyle w:val="TableHeading"/>
              <w:rPr>
                <w:rFonts w:cs="Arial"/>
                <w:sz w:val="18"/>
                <w:szCs w:val="18"/>
              </w:rPr>
            </w:pPr>
            <w:r w:rsidRPr="00D37F16">
              <w:rPr>
                <w:color w:val="FFFFFF" w:themeColor="background1"/>
                <w:sz w:val="18"/>
                <w:szCs w:val="18"/>
              </w:rPr>
              <w:t>Option</w:t>
            </w:r>
          </w:p>
        </w:tc>
        <w:tc>
          <w:tcPr>
            <w:tcW w:w="4961" w:type="dxa"/>
            <w:shd w:val="clear" w:color="auto" w:fill="404040" w:themeFill="text1" w:themeFillTint="BF"/>
            <w:tcMar>
              <w:left w:w="28" w:type="dxa"/>
              <w:right w:w="28" w:type="dxa"/>
            </w:tcMar>
          </w:tcPr>
          <w:p w14:paraId="5960EC25" w14:textId="2800C891" w:rsidR="00FF449E" w:rsidRPr="00D37F16" w:rsidRDefault="00FF449E" w:rsidP="006C4214">
            <w:pPr>
              <w:pStyle w:val="TableHeading"/>
              <w:rPr>
                <w:color w:val="FFFFFF" w:themeColor="background1"/>
                <w:sz w:val="18"/>
                <w:szCs w:val="18"/>
              </w:rPr>
            </w:pPr>
            <w:r w:rsidRPr="00D37F16">
              <w:rPr>
                <w:color w:val="FFFFFF" w:themeColor="background1"/>
                <w:sz w:val="18"/>
                <w:szCs w:val="18"/>
              </w:rPr>
              <w:t>Principle 1</w:t>
            </w:r>
            <w:r w:rsidR="004A2F7F">
              <w:rPr>
                <w:color w:val="FFFFFF" w:themeColor="background1"/>
                <w:sz w:val="18"/>
                <w:szCs w:val="18"/>
              </w:rPr>
              <w:t>—</w:t>
            </w:r>
            <w:r w:rsidRPr="00D37F16">
              <w:rPr>
                <w:color w:val="FFFFFF" w:themeColor="background1"/>
                <w:sz w:val="18"/>
                <w:szCs w:val="18"/>
              </w:rPr>
              <w:t xml:space="preserve">Allocate spectrum to the HVU or HVUs  </w:t>
            </w:r>
          </w:p>
        </w:tc>
        <w:tc>
          <w:tcPr>
            <w:tcW w:w="2410" w:type="dxa"/>
            <w:shd w:val="clear" w:color="auto" w:fill="404040" w:themeFill="text1" w:themeFillTint="BF"/>
            <w:tcMar>
              <w:left w:w="28" w:type="dxa"/>
              <w:right w:w="28" w:type="dxa"/>
            </w:tcMar>
          </w:tcPr>
          <w:p w14:paraId="765031E9" w14:textId="411B2164" w:rsidR="00FF449E" w:rsidRPr="00D37F16" w:rsidRDefault="00FF449E" w:rsidP="006C4214">
            <w:pPr>
              <w:pStyle w:val="TableHeading"/>
              <w:rPr>
                <w:color w:val="FFFFFF" w:themeColor="background1"/>
                <w:sz w:val="18"/>
                <w:szCs w:val="18"/>
              </w:rPr>
            </w:pPr>
            <w:r w:rsidRPr="00D37F16">
              <w:rPr>
                <w:color w:val="FFFFFF" w:themeColor="background1"/>
                <w:sz w:val="18"/>
                <w:szCs w:val="18"/>
              </w:rPr>
              <w:t>Principle 2</w:t>
            </w:r>
            <w:r w:rsidR="004A2F7F">
              <w:rPr>
                <w:color w:val="FFFFFF" w:themeColor="background1"/>
                <w:sz w:val="18"/>
                <w:szCs w:val="18"/>
              </w:rPr>
              <w:t>—</w:t>
            </w:r>
            <w:r w:rsidRPr="00D37F16">
              <w:rPr>
                <w:color w:val="FFFFFF" w:themeColor="background1"/>
                <w:sz w:val="18"/>
                <w:szCs w:val="18"/>
              </w:rPr>
              <w:t xml:space="preserve">Enable and encourage spectrum to move to its HVU </w:t>
            </w:r>
          </w:p>
        </w:tc>
        <w:tc>
          <w:tcPr>
            <w:tcW w:w="2835" w:type="dxa"/>
            <w:shd w:val="clear" w:color="auto" w:fill="404040" w:themeFill="text1" w:themeFillTint="BF"/>
            <w:tcMar>
              <w:left w:w="28" w:type="dxa"/>
              <w:right w:w="28" w:type="dxa"/>
            </w:tcMar>
          </w:tcPr>
          <w:p w14:paraId="7D97BC1D" w14:textId="48DCD471" w:rsidR="00FF449E" w:rsidRPr="00D37F16" w:rsidRDefault="00FF449E" w:rsidP="006C4214">
            <w:pPr>
              <w:pStyle w:val="TableHeading"/>
              <w:rPr>
                <w:color w:val="FFFFFF" w:themeColor="background1"/>
                <w:sz w:val="18"/>
                <w:szCs w:val="18"/>
              </w:rPr>
            </w:pPr>
            <w:r w:rsidRPr="00D37F16">
              <w:rPr>
                <w:color w:val="FFFFFF" w:themeColor="background1"/>
                <w:sz w:val="18"/>
                <w:szCs w:val="18"/>
              </w:rPr>
              <w:t>Principle 3</w:t>
            </w:r>
            <w:r w:rsidR="004A2F7F">
              <w:rPr>
                <w:color w:val="FFFFFF" w:themeColor="background1"/>
                <w:sz w:val="18"/>
                <w:szCs w:val="18"/>
              </w:rPr>
              <w:t>—</w:t>
            </w:r>
            <w:r w:rsidRPr="00D37F16">
              <w:rPr>
                <w:color w:val="FFFFFF" w:themeColor="background1"/>
                <w:sz w:val="18"/>
                <w:szCs w:val="18"/>
              </w:rPr>
              <w:t>Use the least cost and least restrictive approach to achieving policy objectives</w:t>
            </w:r>
          </w:p>
        </w:tc>
        <w:tc>
          <w:tcPr>
            <w:tcW w:w="2552" w:type="dxa"/>
            <w:shd w:val="clear" w:color="auto" w:fill="404040" w:themeFill="text1" w:themeFillTint="BF"/>
            <w:tcMar>
              <w:left w:w="28" w:type="dxa"/>
              <w:right w:w="28" w:type="dxa"/>
            </w:tcMar>
          </w:tcPr>
          <w:p w14:paraId="4118AA22" w14:textId="5ACEC818" w:rsidR="00FF449E" w:rsidRPr="00D37F16" w:rsidRDefault="00FF449E" w:rsidP="006C4214">
            <w:pPr>
              <w:pStyle w:val="TableHeading"/>
              <w:rPr>
                <w:color w:val="FFFFFF" w:themeColor="background1"/>
                <w:sz w:val="18"/>
                <w:szCs w:val="18"/>
              </w:rPr>
            </w:pPr>
            <w:r w:rsidRPr="00D37F16">
              <w:rPr>
                <w:color w:val="FFFFFF" w:themeColor="background1"/>
                <w:sz w:val="18"/>
                <w:szCs w:val="18"/>
              </w:rPr>
              <w:t>Principle 4</w:t>
            </w:r>
            <w:r w:rsidR="004A2F7F">
              <w:rPr>
                <w:color w:val="FFFFFF" w:themeColor="background1"/>
                <w:sz w:val="18"/>
                <w:szCs w:val="18"/>
              </w:rPr>
              <w:t>—</w:t>
            </w:r>
            <w:r w:rsidRPr="00D37F16">
              <w:rPr>
                <w:color w:val="FFFFFF" w:themeColor="background1"/>
                <w:sz w:val="18"/>
                <w:szCs w:val="18"/>
              </w:rPr>
              <w:t>To the extent possible, promote both certainty and flexibility</w:t>
            </w:r>
          </w:p>
        </w:tc>
        <w:tc>
          <w:tcPr>
            <w:tcW w:w="2551" w:type="dxa"/>
            <w:shd w:val="clear" w:color="auto" w:fill="404040" w:themeFill="text1" w:themeFillTint="BF"/>
            <w:tcMar>
              <w:left w:w="28" w:type="dxa"/>
              <w:right w:w="28" w:type="dxa"/>
            </w:tcMar>
          </w:tcPr>
          <w:p w14:paraId="6A43AF18" w14:textId="49DF20C7" w:rsidR="00FF449E" w:rsidRPr="00D37F16" w:rsidRDefault="00FF449E" w:rsidP="006C4214">
            <w:pPr>
              <w:pStyle w:val="TableHeading"/>
              <w:rPr>
                <w:color w:val="FFFFFF" w:themeColor="background1"/>
                <w:sz w:val="18"/>
                <w:szCs w:val="18"/>
              </w:rPr>
            </w:pPr>
            <w:r w:rsidRPr="00D37F16">
              <w:rPr>
                <w:color w:val="FFFFFF" w:themeColor="background1"/>
                <w:sz w:val="18"/>
                <w:szCs w:val="18"/>
              </w:rPr>
              <w:t>Principle 5</w:t>
            </w:r>
            <w:r w:rsidR="004A2F7F">
              <w:rPr>
                <w:color w:val="FFFFFF" w:themeColor="background1"/>
                <w:sz w:val="18"/>
                <w:szCs w:val="18"/>
              </w:rPr>
              <w:t>—</w:t>
            </w:r>
            <w:r w:rsidRPr="00D37F16">
              <w:rPr>
                <w:color w:val="FFFFFF" w:themeColor="background1"/>
                <w:sz w:val="18"/>
                <w:szCs w:val="18"/>
              </w:rPr>
              <w:t>Balance the cost of interference and the benefits of greater spectrum utilisation</w:t>
            </w:r>
          </w:p>
        </w:tc>
      </w:tr>
      <w:tr w:rsidR="00FF449E" w:rsidRPr="00D37F16" w14:paraId="50E9F176" w14:textId="77777777" w:rsidTr="006C4214">
        <w:trPr>
          <w:trHeight w:val="480"/>
          <w:jc w:val="center"/>
        </w:trPr>
        <w:tc>
          <w:tcPr>
            <w:tcW w:w="993" w:type="dxa"/>
            <w:tcMar>
              <w:left w:w="28" w:type="dxa"/>
              <w:right w:w="28" w:type="dxa"/>
            </w:tcMar>
            <w:vAlign w:val="center"/>
          </w:tcPr>
          <w:p w14:paraId="5BE013C8" w14:textId="77777777" w:rsidR="00FF449E" w:rsidRPr="00D37F16" w:rsidRDefault="00FF449E" w:rsidP="006C4214">
            <w:pPr>
              <w:spacing w:after="0" w:line="240" w:lineRule="auto"/>
              <w:rPr>
                <w:rFonts w:cs="Arial"/>
                <w:b/>
                <w:sz w:val="18"/>
                <w:szCs w:val="18"/>
              </w:rPr>
            </w:pPr>
            <w:r w:rsidRPr="00D37F16">
              <w:rPr>
                <w:rFonts w:cs="Arial"/>
                <w:b/>
                <w:sz w:val="18"/>
                <w:szCs w:val="18"/>
              </w:rPr>
              <w:t>Option 1</w:t>
            </w:r>
          </w:p>
        </w:tc>
        <w:tc>
          <w:tcPr>
            <w:tcW w:w="4961" w:type="dxa"/>
            <w:tcMar>
              <w:left w:w="28" w:type="dxa"/>
              <w:right w:w="28" w:type="dxa"/>
            </w:tcMar>
          </w:tcPr>
          <w:p w14:paraId="3E63BAC5" w14:textId="0FF946E4" w:rsidR="00FF449E" w:rsidRPr="00D37F16" w:rsidRDefault="00FF449E" w:rsidP="006C4214">
            <w:pPr>
              <w:spacing w:after="100"/>
              <w:rPr>
                <w:sz w:val="18"/>
                <w:szCs w:val="18"/>
              </w:rPr>
            </w:pPr>
            <w:r w:rsidRPr="00D37F16">
              <w:rPr>
                <w:sz w:val="18"/>
                <w:szCs w:val="18"/>
              </w:rPr>
              <w:t xml:space="preserve">The </w:t>
            </w:r>
            <w:r>
              <w:rPr>
                <w:sz w:val="18"/>
                <w:szCs w:val="18"/>
              </w:rPr>
              <w:t>3400</w:t>
            </w:r>
            <w:r w:rsidR="00301163">
              <w:rPr>
                <w:sz w:val="18"/>
                <w:szCs w:val="18"/>
              </w:rPr>
              <w:t>–</w:t>
            </w:r>
            <w:r>
              <w:rPr>
                <w:sz w:val="18"/>
                <w:szCs w:val="18"/>
              </w:rPr>
              <w:t>3575 MHz</w:t>
            </w:r>
            <w:r w:rsidRPr="00D37F16">
              <w:rPr>
                <w:sz w:val="18"/>
                <w:szCs w:val="18"/>
              </w:rPr>
              <w:t xml:space="preserve"> band is identified globally for wireless broadband use (including 5G). While there are arrangements in place</w:t>
            </w:r>
            <w:r>
              <w:rPr>
                <w:sz w:val="18"/>
                <w:szCs w:val="18"/>
              </w:rPr>
              <w:t xml:space="preserve"> </w:t>
            </w:r>
            <w:r w:rsidRPr="00D37F16">
              <w:rPr>
                <w:sz w:val="18"/>
                <w:szCs w:val="18"/>
              </w:rPr>
              <w:t xml:space="preserve">that support such use, they are fragmented and </w:t>
            </w:r>
            <w:r>
              <w:rPr>
                <w:sz w:val="18"/>
                <w:szCs w:val="18"/>
              </w:rPr>
              <w:t>only cover a portion of the</w:t>
            </w:r>
            <w:r w:rsidRPr="00D37F16">
              <w:rPr>
                <w:sz w:val="18"/>
                <w:szCs w:val="18"/>
              </w:rPr>
              <w:t xml:space="preserve"> band. </w:t>
            </w:r>
          </w:p>
          <w:p w14:paraId="1300EC9D" w14:textId="77777777" w:rsidR="00FF449E" w:rsidRPr="00D37F16" w:rsidRDefault="00FF449E" w:rsidP="006C4214">
            <w:pPr>
              <w:spacing w:after="100"/>
              <w:rPr>
                <w:sz w:val="18"/>
                <w:szCs w:val="18"/>
              </w:rPr>
            </w:pPr>
            <w:r>
              <w:rPr>
                <w:sz w:val="18"/>
                <w:szCs w:val="18"/>
              </w:rPr>
              <w:t xml:space="preserve">Protected </w:t>
            </w:r>
            <w:r w:rsidRPr="00D37F16">
              <w:rPr>
                <w:sz w:val="18"/>
                <w:szCs w:val="18"/>
              </w:rPr>
              <w:t xml:space="preserve">FSS use of the band </w:t>
            </w:r>
            <w:r>
              <w:rPr>
                <w:sz w:val="18"/>
                <w:szCs w:val="18"/>
              </w:rPr>
              <w:t xml:space="preserve">is </w:t>
            </w:r>
            <w:r w:rsidRPr="00D37F16">
              <w:rPr>
                <w:sz w:val="18"/>
                <w:szCs w:val="18"/>
              </w:rPr>
              <w:t>only supported at Mingenew ESPZ.</w:t>
            </w:r>
          </w:p>
        </w:tc>
        <w:tc>
          <w:tcPr>
            <w:tcW w:w="2410" w:type="dxa"/>
            <w:tcMar>
              <w:left w:w="28" w:type="dxa"/>
              <w:right w:w="28" w:type="dxa"/>
            </w:tcMar>
          </w:tcPr>
          <w:p w14:paraId="2581FCBB" w14:textId="77777777" w:rsidR="00FF449E" w:rsidRDefault="00FF449E" w:rsidP="006C4214">
            <w:pPr>
              <w:spacing w:after="100"/>
              <w:rPr>
                <w:sz w:val="18"/>
                <w:szCs w:val="18"/>
              </w:rPr>
            </w:pPr>
            <w:r w:rsidRPr="00D37F16">
              <w:rPr>
                <w:sz w:val="18"/>
                <w:szCs w:val="18"/>
              </w:rPr>
              <w:t>Current arrangements are fragmented and there are barriers to change.</w:t>
            </w:r>
            <w:r>
              <w:rPr>
                <w:sz w:val="18"/>
                <w:szCs w:val="18"/>
              </w:rPr>
              <w:t xml:space="preserve"> </w:t>
            </w:r>
          </w:p>
          <w:p w14:paraId="06C96688" w14:textId="77777777" w:rsidR="00FF449E" w:rsidRPr="00D37F16" w:rsidRDefault="00FF449E" w:rsidP="006C4214">
            <w:pPr>
              <w:spacing w:after="100"/>
              <w:rPr>
                <w:sz w:val="18"/>
                <w:szCs w:val="18"/>
              </w:rPr>
            </w:pPr>
            <w:r>
              <w:rPr>
                <w:sz w:val="18"/>
                <w:szCs w:val="18"/>
              </w:rPr>
              <w:t>There are no arrangements in place for wireless broadband use in many parts of the band.</w:t>
            </w:r>
            <w:r w:rsidRPr="00D37F16">
              <w:rPr>
                <w:sz w:val="18"/>
                <w:szCs w:val="18"/>
              </w:rPr>
              <w:t xml:space="preserve"> </w:t>
            </w:r>
          </w:p>
        </w:tc>
        <w:tc>
          <w:tcPr>
            <w:tcW w:w="2835" w:type="dxa"/>
            <w:tcMar>
              <w:left w:w="28" w:type="dxa"/>
              <w:right w:w="28" w:type="dxa"/>
            </w:tcMar>
          </w:tcPr>
          <w:p w14:paraId="776F25A7" w14:textId="69214F13" w:rsidR="00FF449E" w:rsidRPr="00D37F16" w:rsidRDefault="00FF449E" w:rsidP="006C4214">
            <w:pPr>
              <w:spacing w:after="100"/>
              <w:rPr>
                <w:sz w:val="18"/>
                <w:szCs w:val="18"/>
              </w:rPr>
            </w:pPr>
            <w:r w:rsidRPr="00D37F16">
              <w:rPr>
                <w:sz w:val="18"/>
                <w:szCs w:val="18"/>
              </w:rPr>
              <w:t>This option does not support the policy objectives of promoting sharing and efficient use of spectrum</w:t>
            </w:r>
            <w:r>
              <w:rPr>
                <w:sz w:val="18"/>
                <w:szCs w:val="18"/>
              </w:rPr>
              <w:t xml:space="preserve"> or </w:t>
            </w:r>
            <w:r w:rsidRPr="00E853F7">
              <w:rPr>
                <w:sz w:val="18"/>
                <w:szCs w:val="18"/>
              </w:rPr>
              <w:t xml:space="preserve">fostering </w:t>
            </w:r>
            <w:r>
              <w:rPr>
                <w:sz w:val="18"/>
                <w:szCs w:val="18"/>
              </w:rPr>
              <w:t xml:space="preserve">a </w:t>
            </w:r>
            <w:r w:rsidRPr="00E853F7">
              <w:rPr>
                <w:sz w:val="18"/>
                <w:szCs w:val="18"/>
              </w:rPr>
              <w:t>competitive telecommunications markets by providing alternative delivery mechanisms for ultra-fast broadband</w:t>
            </w:r>
            <w:r>
              <w:rPr>
                <w:sz w:val="18"/>
                <w:szCs w:val="18"/>
              </w:rPr>
              <w:t>.</w:t>
            </w:r>
          </w:p>
        </w:tc>
        <w:tc>
          <w:tcPr>
            <w:tcW w:w="2552" w:type="dxa"/>
            <w:tcMar>
              <w:left w:w="28" w:type="dxa"/>
              <w:right w:w="28" w:type="dxa"/>
            </w:tcMar>
          </w:tcPr>
          <w:p w14:paraId="7E0464FC" w14:textId="77777777" w:rsidR="00FF449E" w:rsidRPr="00D37F16" w:rsidRDefault="00FF449E" w:rsidP="006C4214">
            <w:pPr>
              <w:spacing w:after="100"/>
              <w:rPr>
                <w:sz w:val="18"/>
                <w:szCs w:val="18"/>
              </w:rPr>
            </w:pPr>
            <w:r w:rsidRPr="00D37F16">
              <w:rPr>
                <w:sz w:val="18"/>
                <w:szCs w:val="18"/>
              </w:rPr>
              <w:t xml:space="preserve">Existing spectrum licence arrangements provide certainty and flexibility to licensees. PMP arrangements provide certainty via the technical arrangements </w:t>
            </w:r>
            <w:r>
              <w:rPr>
                <w:sz w:val="18"/>
                <w:szCs w:val="18"/>
              </w:rPr>
              <w:t xml:space="preserve">that are </w:t>
            </w:r>
            <w:r w:rsidRPr="00D37F16">
              <w:rPr>
                <w:sz w:val="18"/>
                <w:szCs w:val="18"/>
              </w:rPr>
              <w:t xml:space="preserve">in place. </w:t>
            </w:r>
            <w:r>
              <w:rPr>
                <w:sz w:val="18"/>
                <w:szCs w:val="18"/>
              </w:rPr>
              <w:t>Flexibility provided by supporting FSS and amateurs use on a secondary basis.</w:t>
            </w:r>
            <w:r w:rsidRPr="00D37F16">
              <w:rPr>
                <w:sz w:val="18"/>
                <w:szCs w:val="18"/>
              </w:rPr>
              <w:t xml:space="preserve"> </w:t>
            </w:r>
          </w:p>
        </w:tc>
        <w:tc>
          <w:tcPr>
            <w:tcW w:w="2551" w:type="dxa"/>
            <w:tcMar>
              <w:left w:w="28" w:type="dxa"/>
              <w:right w:w="28" w:type="dxa"/>
            </w:tcMar>
          </w:tcPr>
          <w:p w14:paraId="09A3185A" w14:textId="77777777" w:rsidR="00FF449E" w:rsidRPr="00D37F16" w:rsidRDefault="00FF449E" w:rsidP="006C4214">
            <w:pPr>
              <w:spacing w:after="100"/>
              <w:rPr>
                <w:sz w:val="18"/>
                <w:szCs w:val="18"/>
              </w:rPr>
            </w:pPr>
            <w:r>
              <w:rPr>
                <w:sz w:val="18"/>
                <w:szCs w:val="18"/>
              </w:rPr>
              <w:t>This option does not support greater utilisation of spectrum. There are areas where access to spectrum for wireless broadband use could be supported as current use is limited to a small number of deployments by FSS and amateur services.</w:t>
            </w:r>
          </w:p>
        </w:tc>
      </w:tr>
      <w:tr w:rsidR="00FF449E" w:rsidRPr="00D37F16" w14:paraId="07B4E204" w14:textId="77777777" w:rsidTr="006C4214">
        <w:trPr>
          <w:trHeight w:val="480"/>
          <w:jc w:val="center"/>
        </w:trPr>
        <w:tc>
          <w:tcPr>
            <w:tcW w:w="993" w:type="dxa"/>
            <w:tcMar>
              <w:left w:w="28" w:type="dxa"/>
              <w:right w:w="28" w:type="dxa"/>
            </w:tcMar>
            <w:vAlign w:val="center"/>
          </w:tcPr>
          <w:p w14:paraId="39E1219F" w14:textId="77777777" w:rsidR="00FF449E" w:rsidRPr="00D37F16" w:rsidRDefault="00FF449E" w:rsidP="006C4214">
            <w:pPr>
              <w:spacing w:after="0" w:line="240" w:lineRule="auto"/>
              <w:rPr>
                <w:rFonts w:cs="Arial"/>
                <w:b/>
                <w:sz w:val="18"/>
                <w:szCs w:val="18"/>
              </w:rPr>
            </w:pPr>
            <w:r w:rsidRPr="00D37F16">
              <w:rPr>
                <w:rFonts w:cs="Arial"/>
                <w:b/>
                <w:sz w:val="18"/>
                <w:szCs w:val="18"/>
              </w:rPr>
              <w:t>Option 2a</w:t>
            </w:r>
          </w:p>
        </w:tc>
        <w:tc>
          <w:tcPr>
            <w:tcW w:w="4961" w:type="dxa"/>
            <w:tcMar>
              <w:left w:w="28" w:type="dxa"/>
              <w:right w:w="28" w:type="dxa"/>
            </w:tcMar>
          </w:tcPr>
          <w:p w14:paraId="0CD39DDE" w14:textId="3DE37939" w:rsidR="00FF449E" w:rsidRPr="00D37F16" w:rsidRDefault="00FF449E" w:rsidP="006C4214">
            <w:pPr>
              <w:spacing w:after="100"/>
              <w:rPr>
                <w:sz w:val="18"/>
                <w:szCs w:val="18"/>
              </w:rPr>
            </w:pPr>
            <w:r w:rsidRPr="00D37F16">
              <w:rPr>
                <w:sz w:val="18"/>
                <w:szCs w:val="18"/>
              </w:rPr>
              <w:t xml:space="preserve">The entire </w:t>
            </w:r>
            <w:r>
              <w:rPr>
                <w:sz w:val="18"/>
                <w:szCs w:val="18"/>
              </w:rPr>
              <w:t>3400</w:t>
            </w:r>
            <w:r w:rsidR="00301163">
              <w:rPr>
                <w:sz w:val="18"/>
                <w:szCs w:val="18"/>
              </w:rPr>
              <w:t>–</w:t>
            </w:r>
            <w:r>
              <w:rPr>
                <w:sz w:val="18"/>
                <w:szCs w:val="18"/>
              </w:rPr>
              <w:t>3575 MHz</w:t>
            </w:r>
            <w:r w:rsidRPr="00D37F16">
              <w:rPr>
                <w:sz w:val="18"/>
                <w:szCs w:val="18"/>
              </w:rPr>
              <w:t xml:space="preserve"> band is made available for wireless broadband use, in line with international standards and developments. </w:t>
            </w:r>
          </w:p>
          <w:p w14:paraId="2D5BFD9B" w14:textId="77777777" w:rsidR="00FF449E" w:rsidRPr="00D37F16" w:rsidRDefault="00FF449E" w:rsidP="006C4214">
            <w:pPr>
              <w:spacing w:after="100"/>
              <w:rPr>
                <w:sz w:val="18"/>
                <w:szCs w:val="18"/>
              </w:rPr>
            </w:pPr>
            <w:r>
              <w:rPr>
                <w:sz w:val="18"/>
                <w:szCs w:val="18"/>
              </w:rPr>
              <w:t>This option r</w:t>
            </w:r>
            <w:r w:rsidRPr="00D37F16">
              <w:rPr>
                <w:sz w:val="18"/>
                <w:szCs w:val="18"/>
              </w:rPr>
              <w:t xml:space="preserve">esults in </w:t>
            </w:r>
            <w:r>
              <w:rPr>
                <w:sz w:val="18"/>
                <w:szCs w:val="18"/>
              </w:rPr>
              <w:t xml:space="preserve">the highest </w:t>
            </w:r>
            <w:r w:rsidRPr="00D37F16">
              <w:rPr>
                <w:sz w:val="18"/>
                <w:szCs w:val="18"/>
              </w:rPr>
              <w:t>amount of</w:t>
            </w:r>
            <w:r>
              <w:rPr>
                <w:sz w:val="18"/>
                <w:szCs w:val="18"/>
              </w:rPr>
              <w:t xml:space="preserve"> the band becoming subject to </w:t>
            </w:r>
            <w:r w:rsidRPr="00D37F16">
              <w:rPr>
                <w:sz w:val="18"/>
                <w:szCs w:val="18"/>
              </w:rPr>
              <w:t xml:space="preserve">spectrum licensing. No spectrum for PMP in </w:t>
            </w:r>
            <w:r>
              <w:rPr>
                <w:sz w:val="18"/>
                <w:szCs w:val="18"/>
              </w:rPr>
              <w:t>m</w:t>
            </w:r>
            <w:r w:rsidRPr="00D37F16">
              <w:rPr>
                <w:sz w:val="18"/>
                <w:szCs w:val="18"/>
              </w:rPr>
              <w:t xml:space="preserve">etropolitan areas, </w:t>
            </w:r>
            <w:r>
              <w:rPr>
                <w:sz w:val="18"/>
                <w:szCs w:val="18"/>
              </w:rPr>
              <w:t>r</w:t>
            </w:r>
            <w:r w:rsidRPr="00D37F16">
              <w:rPr>
                <w:sz w:val="18"/>
                <w:szCs w:val="18"/>
              </w:rPr>
              <w:t xml:space="preserve">egional areas or </w:t>
            </w:r>
            <w:r>
              <w:rPr>
                <w:sz w:val="18"/>
                <w:szCs w:val="18"/>
              </w:rPr>
              <w:t>m</w:t>
            </w:r>
            <w:r w:rsidRPr="00D37F16">
              <w:rPr>
                <w:sz w:val="18"/>
                <w:szCs w:val="18"/>
              </w:rPr>
              <w:t xml:space="preserve">ajor regional centres. Entire band available for PMP in </w:t>
            </w:r>
            <w:r>
              <w:rPr>
                <w:sz w:val="18"/>
                <w:szCs w:val="18"/>
              </w:rPr>
              <w:t>r</w:t>
            </w:r>
            <w:r w:rsidRPr="00D37F16">
              <w:rPr>
                <w:sz w:val="18"/>
                <w:szCs w:val="18"/>
              </w:rPr>
              <w:t xml:space="preserve">emote areas. </w:t>
            </w:r>
          </w:p>
          <w:p w14:paraId="3D1CE060" w14:textId="5AAE5A12" w:rsidR="00FF449E" w:rsidRPr="00D37F16" w:rsidRDefault="00FF449E" w:rsidP="006C4214">
            <w:pPr>
              <w:spacing w:after="100"/>
              <w:rPr>
                <w:sz w:val="18"/>
                <w:szCs w:val="18"/>
              </w:rPr>
            </w:pPr>
            <w:r w:rsidRPr="00D37F16">
              <w:rPr>
                <w:sz w:val="18"/>
                <w:szCs w:val="18"/>
              </w:rPr>
              <w:t xml:space="preserve">Parts of the </w:t>
            </w:r>
            <w:r>
              <w:rPr>
                <w:sz w:val="18"/>
                <w:szCs w:val="18"/>
              </w:rPr>
              <w:t>3400</w:t>
            </w:r>
            <w:r w:rsidR="00301163">
              <w:rPr>
                <w:sz w:val="18"/>
                <w:szCs w:val="18"/>
              </w:rPr>
              <w:t>–</w:t>
            </w:r>
            <w:r>
              <w:rPr>
                <w:sz w:val="18"/>
                <w:szCs w:val="18"/>
              </w:rPr>
              <w:t>3575 MHz</w:t>
            </w:r>
            <w:r w:rsidRPr="00D37F16">
              <w:rPr>
                <w:sz w:val="18"/>
                <w:szCs w:val="18"/>
              </w:rPr>
              <w:t xml:space="preserve"> band </w:t>
            </w:r>
            <w:r>
              <w:rPr>
                <w:sz w:val="18"/>
                <w:szCs w:val="18"/>
              </w:rPr>
              <w:t>at</w:t>
            </w:r>
            <w:r w:rsidRPr="00D37F16">
              <w:rPr>
                <w:sz w:val="18"/>
                <w:szCs w:val="18"/>
              </w:rPr>
              <w:t xml:space="preserve"> ESPZ’s not currently subject to spectrum licensing </w:t>
            </w:r>
            <w:r>
              <w:rPr>
                <w:sz w:val="18"/>
                <w:szCs w:val="18"/>
              </w:rPr>
              <w:t xml:space="preserve">would not be </w:t>
            </w:r>
            <w:r w:rsidRPr="00D37F16">
              <w:rPr>
                <w:sz w:val="18"/>
                <w:szCs w:val="18"/>
              </w:rPr>
              <w:t>re-allocat</w:t>
            </w:r>
            <w:r>
              <w:rPr>
                <w:sz w:val="18"/>
                <w:szCs w:val="18"/>
              </w:rPr>
              <w:t>ed</w:t>
            </w:r>
            <w:r w:rsidRPr="00D37F16">
              <w:rPr>
                <w:sz w:val="18"/>
                <w:szCs w:val="18"/>
              </w:rPr>
              <w:t xml:space="preserve">. </w:t>
            </w:r>
            <w:r>
              <w:rPr>
                <w:sz w:val="18"/>
                <w:szCs w:val="18"/>
              </w:rPr>
              <w:t xml:space="preserve">The </w:t>
            </w:r>
            <w:r w:rsidRPr="00D37F16">
              <w:rPr>
                <w:sz w:val="18"/>
                <w:szCs w:val="18"/>
              </w:rPr>
              <w:t xml:space="preserve">spectrum </w:t>
            </w:r>
            <w:r>
              <w:rPr>
                <w:sz w:val="18"/>
                <w:szCs w:val="18"/>
              </w:rPr>
              <w:t xml:space="preserve">would instead be </w:t>
            </w:r>
            <w:r w:rsidRPr="00D37F16">
              <w:rPr>
                <w:sz w:val="18"/>
                <w:szCs w:val="18"/>
              </w:rPr>
              <w:t>made available for FSS</w:t>
            </w:r>
            <w:r>
              <w:rPr>
                <w:sz w:val="18"/>
                <w:szCs w:val="18"/>
              </w:rPr>
              <w:t xml:space="preserve"> use</w:t>
            </w:r>
            <w:r w:rsidRPr="00D37F16">
              <w:rPr>
                <w:sz w:val="18"/>
                <w:szCs w:val="18"/>
              </w:rPr>
              <w:t>.</w:t>
            </w:r>
          </w:p>
        </w:tc>
        <w:tc>
          <w:tcPr>
            <w:tcW w:w="2410" w:type="dxa"/>
            <w:tcMar>
              <w:left w:w="28" w:type="dxa"/>
              <w:right w:w="28" w:type="dxa"/>
            </w:tcMar>
          </w:tcPr>
          <w:p w14:paraId="17D89E24" w14:textId="77777777" w:rsidR="00FF449E" w:rsidRPr="00D37F16" w:rsidRDefault="00FF449E" w:rsidP="006C4214">
            <w:pPr>
              <w:spacing w:after="100"/>
              <w:rPr>
                <w:sz w:val="18"/>
                <w:szCs w:val="18"/>
              </w:rPr>
            </w:pPr>
            <w:r w:rsidRPr="00D37F16">
              <w:rPr>
                <w:sz w:val="18"/>
                <w:szCs w:val="18"/>
              </w:rPr>
              <w:t xml:space="preserve">The entire band is made available for wireless broadband use. Barriers to change are removed to support market forces implementing defrag. </w:t>
            </w:r>
          </w:p>
          <w:p w14:paraId="6C3787B1" w14:textId="77777777" w:rsidR="00FF449E" w:rsidRPr="00D37F16" w:rsidRDefault="00FF449E" w:rsidP="006C4214">
            <w:pPr>
              <w:spacing w:after="100"/>
              <w:rPr>
                <w:sz w:val="18"/>
                <w:szCs w:val="18"/>
              </w:rPr>
            </w:pPr>
            <w:r w:rsidRPr="00D37F16">
              <w:rPr>
                <w:sz w:val="18"/>
                <w:szCs w:val="18"/>
              </w:rPr>
              <w:t>PMP arrangements in remote areas are defragged. Full defrag of spectrum licences possible.</w:t>
            </w:r>
          </w:p>
        </w:tc>
        <w:tc>
          <w:tcPr>
            <w:tcW w:w="2835" w:type="dxa"/>
            <w:tcMar>
              <w:left w:w="28" w:type="dxa"/>
              <w:right w:w="28" w:type="dxa"/>
            </w:tcMar>
          </w:tcPr>
          <w:p w14:paraId="295D8F7B" w14:textId="77777777" w:rsidR="00FF449E" w:rsidRPr="00D37F16" w:rsidRDefault="00FF449E" w:rsidP="006C4214">
            <w:pPr>
              <w:spacing w:after="100"/>
              <w:rPr>
                <w:sz w:val="18"/>
                <w:szCs w:val="18"/>
              </w:rPr>
            </w:pPr>
            <w:r w:rsidRPr="00D37F16">
              <w:rPr>
                <w:sz w:val="18"/>
                <w:szCs w:val="18"/>
              </w:rPr>
              <w:t xml:space="preserve">Highest cost option as incumbent apparatus licensees in all </w:t>
            </w:r>
            <w:r>
              <w:rPr>
                <w:sz w:val="18"/>
                <w:szCs w:val="18"/>
              </w:rPr>
              <w:t>r</w:t>
            </w:r>
            <w:r w:rsidRPr="00D37F16">
              <w:rPr>
                <w:sz w:val="18"/>
                <w:szCs w:val="18"/>
              </w:rPr>
              <w:t xml:space="preserve">egional areas and </w:t>
            </w:r>
            <w:r>
              <w:rPr>
                <w:sz w:val="18"/>
                <w:szCs w:val="18"/>
              </w:rPr>
              <w:t>m</w:t>
            </w:r>
            <w:r w:rsidRPr="00D37F16">
              <w:rPr>
                <w:sz w:val="18"/>
                <w:szCs w:val="18"/>
              </w:rPr>
              <w:t>ajor regional centres are required to cease operation or re-locate</w:t>
            </w:r>
            <w:r>
              <w:rPr>
                <w:sz w:val="18"/>
                <w:szCs w:val="18"/>
              </w:rPr>
              <w:t xml:space="preserve"> to another band</w:t>
            </w:r>
            <w:r w:rsidRPr="00D37F16">
              <w:rPr>
                <w:sz w:val="18"/>
                <w:szCs w:val="18"/>
              </w:rPr>
              <w:t>.</w:t>
            </w:r>
          </w:p>
          <w:p w14:paraId="05563708" w14:textId="51A60E7C" w:rsidR="00FF449E" w:rsidRPr="00D37F16" w:rsidRDefault="00FF449E" w:rsidP="006C4214">
            <w:pPr>
              <w:spacing w:after="100"/>
              <w:rPr>
                <w:sz w:val="18"/>
                <w:szCs w:val="18"/>
              </w:rPr>
            </w:pPr>
            <w:r w:rsidRPr="00D37F16">
              <w:rPr>
                <w:sz w:val="18"/>
                <w:szCs w:val="18"/>
              </w:rPr>
              <w:t xml:space="preserve">This option </w:t>
            </w:r>
            <w:r>
              <w:rPr>
                <w:sz w:val="18"/>
                <w:szCs w:val="18"/>
              </w:rPr>
              <w:t xml:space="preserve">generally </w:t>
            </w:r>
            <w:r w:rsidR="00696313" w:rsidRPr="00D37F16">
              <w:rPr>
                <w:sz w:val="18"/>
                <w:szCs w:val="18"/>
              </w:rPr>
              <w:t>meets policy</w:t>
            </w:r>
            <w:r w:rsidRPr="00D37F16">
              <w:rPr>
                <w:sz w:val="18"/>
                <w:szCs w:val="18"/>
              </w:rPr>
              <w:t xml:space="preserve"> objectives. </w:t>
            </w:r>
          </w:p>
        </w:tc>
        <w:tc>
          <w:tcPr>
            <w:tcW w:w="2552" w:type="dxa"/>
            <w:tcMar>
              <w:left w:w="28" w:type="dxa"/>
              <w:right w:w="28" w:type="dxa"/>
            </w:tcMar>
          </w:tcPr>
          <w:p w14:paraId="5789DD1C" w14:textId="77777777" w:rsidR="00FF449E" w:rsidRPr="00D37F16" w:rsidRDefault="00FF449E" w:rsidP="006C4214">
            <w:pPr>
              <w:spacing w:after="100"/>
              <w:rPr>
                <w:sz w:val="18"/>
                <w:szCs w:val="18"/>
              </w:rPr>
            </w:pPr>
            <w:r w:rsidRPr="00D37F16">
              <w:rPr>
                <w:sz w:val="18"/>
                <w:szCs w:val="18"/>
              </w:rPr>
              <w:t>Spectrum licence arrangements provide certainty and flexibility to licensees.</w:t>
            </w:r>
          </w:p>
          <w:p w14:paraId="5EF465A5" w14:textId="77777777" w:rsidR="00FF449E" w:rsidRDefault="00FF449E" w:rsidP="006C4214">
            <w:pPr>
              <w:spacing w:after="100"/>
              <w:rPr>
                <w:sz w:val="18"/>
                <w:szCs w:val="18"/>
              </w:rPr>
            </w:pPr>
            <w:r w:rsidRPr="00D37F16">
              <w:rPr>
                <w:sz w:val="18"/>
                <w:szCs w:val="18"/>
              </w:rPr>
              <w:t xml:space="preserve">PMP arrangements provide certainty via the technical arrangements </w:t>
            </w:r>
            <w:r>
              <w:rPr>
                <w:sz w:val="18"/>
                <w:szCs w:val="18"/>
              </w:rPr>
              <w:t xml:space="preserve">that are </w:t>
            </w:r>
            <w:r w:rsidRPr="00D37F16">
              <w:rPr>
                <w:sz w:val="18"/>
                <w:szCs w:val="18"/>
              </w:rPr>
              <w:t xml:space="preserve">in place. </w:t>
            </w:r>
          </w:p>
          <w:p w14:paraId="60EC490D" w14:textId="77777777" w:rsidR="00FF449E" w:rsidRPr="00D37F16" w:rsidRDefault="00FF449E" w:rsidP="006C4214">
            <w:pPr>
              <w:spacing w:after="100"/>
              <w:rPr>
                <w:sz w:val="18"/>
                <w:szCs w:val="18"/>
              </w:rPr>
            </w:pPr>
            <w:r>
              <w:rPr>
                <w:sz w:val="18"/>
                <w:szCs w:val="18"/>
              </w:rPr>
              <w:t>Flexibility provided by supporting FSS and amateurs use on a secondary basis.</w:t>
            </w:r>
          </w:p>
        </w:tc>
        <w:tc>
          <w:tcPr>
            <w:tcW w:w="2551" w:type="dxa"/>
            <w:tcMar>
              <w:left w:w="28" w:type="dxa"/>
              <w:right w:w="28" w:type="dxa"/>
            </w:tcMar>
          </w:tcPr>
          <w:p w14:paraId="63BB56F4" w14:textId="77777777" w:rsidR="00FF449E" w:rsidRDefault="00FF449E" w:rsidP="006C4214">
            <w:pPr>
              <w:spacing w:after="100"/>
              <w:rPr>
                <w:sz w:val="18"/>
                <w:szCs w:val="18"/>
              </w:rPr>
            </w:pPr>
            <w:r>
              <w:rPr>
                <w:sz w:val="18"/>
                <w:szCs w:val="18"/>
              </w:rPr>
              <w:t xml:space="preserve">The entire band is made available for wireless broadband use. </w:t>
            </w:r>
          </w:p>
          <w:p w14:paraId="2503C9AD" w14:textId="77777777" w:rsidR="00FF449E" w:rsidRDefault="00FF449E" w:rsidP="006C4214">
            <w:pPr>
              <w:spacing w:after="100"/>
              <w:rPr>
                <w:sz w:val="18"/>
                <w:szCs w:val="18"/>
              </w:rPr>
            </w:pPr>
            <w:r>
              <w:rPr>
                <w:sz w:val="18"/>
                <w:szCs w:val="18"/>
              </w:rPr>
              <w:t>Supporting ongoing FSS and amateur access to spectrum on a secondary basis to PMP (except at ESPZs) increases spectrum utilisation while managing interference.</w:t>
            </w:r>
          </w:p>
          <w:p w14:paraId="1D5CAF11" w14:textId="77777777" w:rsidR="00FF449E" w:rsidRPr="00D37F16" w:rsidRDefault="00FF449E" w:rsidP="006C4214">
            <w:pPr>
              <w:spacing w:after="100"/>
              <w:rPr>
                <w:sz w:val="18"/>
                <w:szCs w:val="18"/>
              </w:rPr>
            </w:pPr>
            <w:r>
              <w:rPr>
                <w:sz w:val="18"/>
                <w:szCs w:val="18"/>
              </w:rPr>
              <w:t>Defrag allows greater use of spectrum holdings.</w:t>
            </w:r>
          </w:p>
        </w:tc>
      </w:tr>
      <w:tr w:rsidR="00FF449E" w:rsidRPr="00D37F16" w14:paraId="5EFEFD9D" w14:textId="77777777" w:rsidTr="006C4214">
        <w:trPr>
          <w:trHeight w:val="480"/>
          <w:jc w:val="center"/>
        </w:trPr>
        <w:tc>
          <w:tcPr>
            <w:tcW w:w="993" w:type="dxa"/>
            <w:tcMar>
              <w:left w:w="28" w:type="dxa"/>
              <w:right w:w="28" w:type="dxa"/>
            </w:tcMar>
            <w:vAlign w:val="center"/>
          </w:tcPr>
          <w:p w14:paraId="414F67D4" w14:textId="77777777" w:rsidR="00FF449E" w:rsidRPr="00D37F16" w:rsidRDefault="00FF449E" w:rsidP="006C4214">
            <w:pPr>
              <w:spacing w:after="0" w:line="240" w:lineRule="auto"/>
              <w:rPr>
                <w:rFonts w:cs="Arial"/>
                <w:b/>
                <w:sz w:val="18"/>
                <w:szCs w:val="18"/>
              </w:rPr>
            </w:pPr>
            <w:r w:rsidRPr="00D37F16">
              <w:rPr>
                <w:rFonts w:cs="Arial"/>
                <w:b/>
                <w:sz w:val="18"/>
                <w:szCs w:val="18"/>
              </w:rPr>
              <w:t>Option 2b</w:t>
            </w:r>
          </w:p>
        </w:tc>
        <w:tc>
          <w:tcPr>
            <w:tcW w:w="4961" w:type="dxa"/>
            <w:tcMar>
              <w:left w:w="28" w:type="dxa"/>
              <w:right w:w="28" w:type="dxa"/>
            </w:tcMar>
          </w:tcPr>
          <w:p w14:paraId="1E4F0895" w14:textId="50361D08" w:rsidR="00FF449E" w:rsidRPr="00D37F16" w:rsidRDefault="00FF449E" w:rsidP="006C4214">
            <w:pPr>
              <w:spacing w:after="100"/>
              <w:rPr>
                <w:sz w:val="18"/>
                <w:szCs w:val="18"/>
              </w:rPr>
            </w:pPr>
            <w:r w:rsidRPr="00D37F16">
              <w:rPr>
                <w:sz w:val="18"/>
                <w:szCs w:val="18"/>
              </w:rPr>
              <w:t xml:space="preserve">The entire </w:t>
            </w:r>
            <w:r>
              <w:rPr>
                <w:sz w:val="18"/>
                <w:szCs w:val="18"/>
              </w:rPr>
              <w:t>3400</w:t>
            </w:r>
            <w:r w:rsidR="00301163">
              <w:rPr>
                <w:sz w:val="18"/>
                <w:szCs w:val="18"/>
              </w:rPr>
              <w:t>–</w:t>
            </w:r>
            <w:r>
              <w:rPr>
                <w:sz w:val="18"/>
                <w:szCs w:val="18"/>
              </w:rPr>
              <w:t>3575 MHz</w:t>
            </w:r>
            <w:r w:rsidRPr="00D37F16">
              <w:rPr>
                <w:sz w:val="18"/>
                <w:szCs w:val="18"/>
              </w:rPr>
              <w:t xml:space="preserve"> band is made available for wireless broadband use, in line with international standards and developments. </w:t>
            </w:r>
          </w:p>
          <w:p w14:paraId="59090A6E" w14:textId="77777777" w:rsidR="00FF449E" w:rsidRPr="00D37F16" w:rsidRDefault="00FF449E" w:rsidP="006C4214">
            <w:pPr>
              <w:spacing w:after="100"/>
              <w:rPr>
                <w:sz w:val="18"/>
                <w:szCs w:val="18"/>
              </w:rPr>
            </w:pPr>
            <w:r>
              <w:rPr>
                <w:sz w:val="18"/>
                <w:szCs w:val="18"/>
              </w:rPr>
              <w:t>M</w:t>
            </w:r>
            <w:r w:rsidRPr="00D37F16">
              <w:rPr>
                <w:sz w:val="18"/>
                <w:szCs w:val="18"/>
              </w:rPr>
              <w:t xml:space="preserve">ore of the band would be subject to spectrum licensing in </w:t>
            </w:r>
            <w:r>
              <w:rPr>
                <w:sz w:val="18"/>
                <w:szCs w:val="18"/>
              </w:rPr>
              <w:t>m</w:t>
            </w:r>
            <w:r w:rsidRPr="00D37F16">
              <w:rPr>
                <w:sz w:val="18"/>
                <w:szCs w:val="18"/>
              </w:rPr>
              <w:t xml:space="preserve">etropolitan areas, </w:t>
            </w:r>
            <w:r>
              <w:rPr>
                <w:sz w:val="18"/>
                <w:szCs w:val="18"/>
              </w:rPr>
              <w:t>r</w:t>
            </w:r>
            <w:r w:rsidRPr="00D37F16">
              <w:rPr>
                <w:sz w:val="18"/>
                <w:szCs w:val="18"/>
              </w:rPr>
              <w:t xml:space="preserve">egional areas </w:t>
            </w:r>
            <w:r>
              <w:rPr>
                <w:sz w:val="18"/>
                <w:szCs w:val="18"/>
              </w:rPr>
              <w:t>and</w:t>
            </w:r>
            <w:r w:rsidRPr="00D37F16">
              <w:rPr>
                <w:sz w:val="18"/>
                <w:szCs w:val="18"/>
              </w:rPr>
              <w:t xml:space="preserve"> </w:t>
            </w:r>
            <w:r>
              <w:rPr>
                <w:sz w:val="18"/>
                <w:szCs w:val="18"/>
              </w:rPr>
              <w:t>m</w:t>
            </w:r>
            <w:r w:rsidRPr="00D37F16">
              <w:rPr>
                <w:sz w:val="18"/>
                <w:szCs w:val="18"/>
              </w:rPr>
              <w:t xml:space="preserve">ajor regional centres. </w:t>
            </w:r>
          </w:p>
          <w:p w14:paraId="4AE1F0AE" w14:textId="47048CC1" w:rsidR="00FF449E" w:rsidRPr="00D37F16" w:rsidRDefault="00FF449E" w:rsidP="006C4214">
            <w:pPr>
              <w:spacing w:after="100"/>
              <w:rPr>
                <w:sz w:val="18"/>
                <w:szCs w:val="18"/>
              </w:rPr>
            </w:pPr>
            <w:r w:rsidRPr="00D37F16">
              <w:rPr>
                <w:sz w:val="18"/>
                <w:szCs w:val="18"/>
              </w:rPr>
              <w:t>50</w:t>
            </w:r>
            <w:r w:rsidR="00301163">
              <w:rPr>
                <w:sz w:val="18"/>
                <w:szCs w:val="18"/>
              </w:rPr>
              <w:t>–</w:t>
            </w:r>
            <w:r w:rsidRPr="00D37F16">
              <w:rPr>
                <w:sz w:val="18"/>
                <w:szCs w:val="18"/>
              </w:rPr>
              <w:t xml:space="preserve">67.5 MHz available for PMP in </w:t>
            </w:r>
            <w:r>
              <w:rPr>
                <w:sz w:val="18"/>
                <w:szCs w:val="18"/>
              </w:rPr>
              <w:t>r</w:t>
            </w:r>
            <w:r w:rsidRPr="00D37F16">
              <w:rPr>
                <w:sz w:val="18"/>
                <w:szCs w:val="18"/>
              </w:rPr>
              <w:t xml:space="preserve">egional areas not covered by NBN Co’s PTS licences and </w:t>
            </w:r>
            <w:r>
              <w:rPr>
                <w:sz w:val="18"/>
                <w:szCs w:val="18"/>
              </w:rPr>
              <w:t>m</w:t>
            </w:r>
            <w:r w:rsidRPr="00D37F16">
              <w:rPr>
                <w:sz w:val="18"/>
                <w:szCs w:val="18"/>
              </w:rPr>
              <w:t xml:space="preserve">ajor regional centres. Entire band available for PMP in </w:t>
            </w:r>
            <w:r>
              <w:rPr>
                <w:sz w:val="18"/>
                <w:szCs w:val="18"/>
              </w:rPr>
              <w:t>r</w:t>
            </w:r>
            <w:r w:rsidRPr="00D37F16">
              <w:rPr>
                <w:sz w:val="18"/>
                <w:szCs w:val="18"/>
              </w:rPr>
              <w:t>emote areas.</w:t>
            </w:r>
          </w:p>
          <w:p w14:paraId="58DB316E" w14:textId="1498A195" w:rsidR="00FF449E" w:rsidRPr="00D37F16" w:rsidRDefault="00FF449E" w:rsidP="006C4214">
            <w:pPr>
              <w:spacing w:after="100"/>
              <w:rPr>
                <w:sz w:val="18"/>
                <w:szCs w:val="18"/>
              </w:rPr>
            </w:pPr>
            <w:r w:rsidRPr="00D37F16">
              <w:rPr>
                <w:sz w:val="18"/>
                <w:szCs w:val="18"/>
              </w:rPr>
              <w:t xml:space="preserve">Parts of the </w:t>
            </w:r>
            <w:r>
              <w:rPr>
                <w:sz w:val="18"/>
                <w:szCs w:val="18"/>
              </w:rPr>
              <w:t>3400</w:t>
            </w:r>
            <w:r w:rsidR="00301163">
              <w:rPr>
                <w:sz w:val="18"/>
                <w:szCs w:val="18"/>
              </w:rPr>
              <w:t>–</w:t>
            </w:r>
            <w:r>
              <w:rPr>
                <w:sz w:val="18"/>
                <w:szCs w:val="18"/>
              </w:rPr>
              <w:t>3575 MHz</w:t>
            </w:r>
            <w:r w:rsidRPr="00D37F16">
              <w:rPr>
                <w:sz w:val="18"/>
                <w:szCs w:val="18"/>
              </w:rPr>
              <w:t xml:space="preserve"> band </w:t>
            </w:r>
            <w:r>
              <w:rPr>
                <w:sz w:val="18"/>
                <w:szCs w:val="18"/>
              </w:rPr>
              <w:t>at</w:t>
            </w:r>
            <w:r w:rsidRPr="00D37F16">
              <w:rPr>
                <w:sz w:val="18"/>
                <w:szCs w:val="18"/>
              </w:rPr>
              <w:t xml:space="preserve"> ESPZ’s not currently subject to spectrum licensing </w:t>
            </w:r>
            <w:r>
              <w:rPr>
                <w:sz w:val="18"/>
                <w:szCs w:val="18"/>
              </w:rPr>
              <w:t xml:space="preserve">would not be </w:t>
            </w:r>
            <w:r w:rsidRPr="00D37F16">
              <w:rPr>
                <w:sz w:val="18"/>
                <w:szCs w:val="18"/>
              </w:rPr>
              <w:t>re-allocat</w:t>
            </w:r>
            <w:r>
              <w:rPr>
                <w:sz w:val="18"/>
                <w:szCs w:val="18"/>
              </w:rPr>
              <w:t>ed</w:t>
            </w:r>
            <w:r w:rsidRPr="00D37F16">
              <w:rPr>
                <w:sz w:val="18"/>
                <w:szCs w:val="18"/>
              </w:rPr>
              <w:t xml:space="preserve">. </w:t>
            </w:r>
            <w:r>
              <w:rPr>
                <w:sz w:val="18"/>
                <w:szCs w:val="18"/>
              </w:rPr>
              <w:t xml:space="preserve">The </w:t>
            </w:r>
            <w:r w:rsidRPr="00D37F16">
              <w:rPr>
                <w:sz w:val="18"/>
                <w:szCs w:val="18"/>
              </w:rPr>
              <w:t xml:space="preserve">spectrum </w:t>
            </w:r>
            <w:r>
              <w:rPr>
                <w:sz w:val="18"/>
                <w:szCs w:val="18"/>
              </w:rPr>
              <w:t xml:space="preserve">would instead be </w:t>
            </w:r>
            <w:r w:rsidRPr="00D37F16">
              <w:rPr>
                <w:sz w:val="18"/>
                <w:szCs w:val="18"/>
              </w:rPr>
              <w:t>made available for FSS</w:t>
            </w:r>
            <w:r>
              <w:rPr>
                <w:sz w:val="18"/>
                <w:szCs w:val="18"/>
              </w:rPr>
              <w:t xml:space="preserve"> use</w:t>
            </w:r>
            <w:r w:rsidRPr="00D37F16">
              <w:rPr>
                <w:sz w:val="18"/>
                <w:szCs w:val="18"/>
              </w:rPr>
              <w:t>.</w:t>
            </w:r>
          </w:p>
        </w:tc>
        <w:tc>
          <w:tcPr>
            <w:tcW w:w="2410" w:type="dxa"/>
            <w:tcMar>
              <w:left w:w="28" w:type="dxa"/>
              <w:right w:w="28" w:type="dxa"/>
            </w:tcMar>
          </w:tcPr>
          <w:p w14:paraId="6C042A37" w14:textId="77777777" w:rsidR="00FF449E" w:rsidRPr="00D37F16" w:rsidRDefault="00FF449E" w:rsidP="006C4214">
            <w:pPr>
              <w:spacing w:after="100"/>
              <w:rPr>
                <w:sz w:val="18"/>
                <w:szCs w:val="18"/>
              </w:rPr>
            </w:pPr>
            <w:r w:rsidRPr="00D37F16">
              <w:rPr>
                <w:sz w:val="18"/>
                <w:szCs w:val="18"/>
              </w:rPr>
              <w:t xml:space="preserve">The entire band is made available for wireless broadband use. Barriers to change are removed to support market forces implementing defrag. </w:t>
            </w:r>
          </w:p>
          <w:p w14:paraId="76D47757" w14:textId="77777777" w:rsidR="00FF449E" w:rsidRPr="00D37F16" w:rsidRDefault="00FF449E" w:rsidP="006C4214">
            <w:pPr>
              <w:spacing w:after="100"/>
              <w:rPr>
                <w:sz w:val="18"/>
                <w:szCs w:val="18"/>
              </w:rPr>
            </w:pPr>
            <w:r w:rsidRPr="00D37F16">
              <w:rPr>
                <w:sz w:val="18"/>
                <w:szCs w:val="18"/>
              </w:rPr>
              <w:t>PMP arrangements defragged. Full defrag of spectrum licence holdings possible in areas covered by NBN Co’s PTS licences. Partial defrag in other areas.</w:t>
            </w:r>
          </w:p>
        </w:tc>
        <w:tc>
          <w:tcPr>
            <w:tcW w:w="2835" w:type="dxa"/>
            <w:tcMar>
              <w:left w:w="28" w:type="dxa"/>
              <w:right w:w="28" w:type="dxa"/>
            </w:tcMar>
          </w:tcPr>
          <w:p w14:paraId="4FF32C15" w14:textId="77777777" w:rsidR="00FF449E" w:rsidRPr="00D37F16" w:rsidRDefault="00FF449E" w:rsidP="006C4214">
            <w:pPr>
              <w:spacing w:after="100"/>
              <w:rPr>
                <w:sz w:val="18"/>
                <w:szCs w:val="18"/>
              </w:rPr>
            </w:pPr>
            <w:r w:rsidRPr="00D37F16">
              <w:rPr>
                <w:sz w:val="18"/>
                <w:szCs w:val="18"/>
              </w:rPr>
              <w:t>Second highest cost option as incumbent apparatus licensees in areas re-allocated for spectrum licensing are required to cease operation</w:t>
            </w:r>
            <w:r>
              <w:rPr>
                <w:sz w:val="18"/>
                <w:szCs w:val="18"/>
              </w:rPr>
              <w:t>, retune within the band or re-</w:t>
            </w:r>
            <w:r w:rsidRPr="00D37F16">
              <w:rPr>
                <w:sz w:val="18"/>
                <w:szCs w:val="18"/>
              </w:rPr>
              <w:t>locate</w:t>
            </w:r>
            <w:r>
              <w:rPr>
                <w:sz w:val="18"/>
                <w:szCs w:val="18"/>
              </w:rPr>
              <w:t xml:space="preserve"> to another band</w:t>
            </w:r>
            <w:r w:rsidRPr="00D37F16">
              <w:rPr>
                <w:sz w:val="18"/>
                <w:szCs w:val="18"/>
              </w:rPr>
              <w:t>.</w:t>
            </w:r>
          </w:p>
          <w:p w14:paraId="3EEEF5A0" w14:textId="22E8C800" w:rsidR="00FF449E" w:rsidRPr="00D37F16" w:rsidRDefault="00FF449E" w:rsidP="006C4214">
            <w:pPr>
              <w:spacing w:after="100"/>
              <w:rPr>
                <w:sz w:val="18"/>
                <w:szCs w:val="18"/>
              </w:rPr>
            </w:pPr>
            <w:r w:rsidRPr="00D37F16">
              <w:rPr>
                <w:sz w:val="18"/>
                <w:szCs w:val="18"/>
              </w:rPr>
              <w:t>This option meets</w:t>
            </w:r>
            <w:r w:rsidR="001163B8">
              <w:rPr>
                <w:sz w:val="18"/>
                <w:szCs w:val="18"/>
              </w:rPr>
              <w:t xml:space="preserve"> </w:t>
            </w:r>
            <w:r w:rsidRPr="00D37F16">
              <w:rPr>
                <w:sz w:val="18"/>
                <w:szCs w:val="18"/>
              </w:rPr>
              <w:t xml:space="preserve">policy objectives. It fosters a high level of competition for delivery of wireless broadband services outside </w:t>
            </w:r>
            <w:r>
              <w:rPr>
                <w:sz w:val="18"/>
                <w:szCs w:val="18"/>
              </w:rPr>
              <w:t>m</w:t>
            </w:r>
            <w:r w:rsidRPr="00D37F16">
              <w:rPr>
                <w:sz w:val="18"/>
                <w:szCs w:val="18"/>
              </w:rPr>
              <w:t>etropolitan areas via a mix of spectrum and apparatus licence arrangements.</w:t>
            </w:r>
          </w:p>
        </w:tc>
        <w:tc>
          <w:tcPr>
            <w:tcW w:w="2552" w:type="dxa"/>
            <w:tcMar>
              <w:left w:w="28" w:type="dxa"/>
              <w:right w:w="28" w:type="dxa"/>
            </w:tcMar>
          </w:tcPr>
          <w:p w14:paraId="7051C65A" w14:textId="77777777" w:rsidR="00FF449E" w:rsidRPr="00D37F16" w:rsidRDefault="00FF449E" w:rsidP="006C4214">
            <w:pPr>
              <w:spacing w:after="100"/>
              <w:rPr>
                <w:sz w:val="18"/>
                <w:szCs w:val="18"/>
              </w:rPr>
            </w:pPr>
            <w:r w:rsidRPr="00D37F16">
              <w:rPr>
                <w:sz w:val="18"/>
                <w:szCs w:val="18"/>
              </w:rPr>
              <w:t>Spectrum licence arrangements provide certainty and flexibility to licensees.</w:t>
            </w:r>
          </w:p>
          <w:p w14:paraId="0C3352A0" w14:textId="77777777" w:rsidR="00FF449E" w:rsidRDefault="00FF449E" w:rsidP="006C4214">
            <w:pPr>
              <w:spacing w:after="100"/>
              <w:rPr>
                <w:sz w:val="18"/>
                <w:szCs w:val="18"/>
              </w:rPr>
            </w:pPr>
            <w:r w:rsidRPr="00D37F16">
              <w:rPr>
                <w:sz w:val="18"/>
                <w:szCs w:val="18"/>
              </w:rPr>
              <w:t xml:space="preserve">PMP arrangements provide certainty via the technical arrangements </w:t>
            </w:r>
            <w:r>
              <w:rPr>
                <w:sz w:val="18"/>
                <w:szCs w:val="18"/>
              </w:rPr>
              <w:t xml:space="preserve">that are </w:t>
            </w:r>
            <w:r w:rsidRPr="00D37F16">
              <w:rPr>
                <w:sz w:val="18"/>
                <w:szCs w:val="18"/>
              </w:rPr>
              <w:t xml:space="preserve">in place. </w:t>
            </w:r>
          </w:p>
          <w:p w14:paraId="27F57534" w14:textId="77777777" w:rsidR="00FF449E" w:rsidRPr="00D37F16" w:rsidRDefault="00FF449E" w:rsidP="006C4214">
            <w:pPr>
              <w:spacing w:after="100"/>
              <w:rPr>
                <w:sz w:val="18"/>
                <w:szCs w:val="18"/>
              </w:rPr>
            </w:pPr>
            <w:r>
              <w:rPr>
                <w:sz w:val="18"/>
                <w:szCs w:val="18"/>
              </w:rPr>
              <w:t>Flexibility provided by supporting FSS and amateurs use on a secondary basis.</w:t>
            </w:r>
          </w:p>
        </w:tc>
        <w:tc>
          <w:tcPr>
            <w:tcW w:w="2551" w:type="dxa"/>
            <w:tcMar>
              <w:left w:w="28" w:type="dxa"/>
              <w:right w:w="28" w:type="dxa"/>
            </w:tcMar>
          </w:tcPr>
          <w:p w14:paraId="0E9E24C2" w14:textId="77777777" w:rsidR="00FF449E" w:rsidRDefault="00FF449E" w:rsidP="006C4214">
            <w:pPr>
              <w:spacing w:after="100"/>
              <w:rPr>
                <w:sz w:val="18"/>
                <w:szCs w:val="18"/>
              </w:rPr>
            </w:pPr>
            <w:r>
              <w:rPr>
                <w:sz w:val="18"/>
                <w:szCs w:val="18"/>
              </w:rPr>
              <w:t xml:space="preserve">The entire band is made available for wireless broadband use. </w:t>
            </w:r>
          </w:p>
          <w:p w14:paraId="63F4EA49" w14:textId="77777777" w:rsidR="00FF449E" w:rsidRDefault="00FF449E" w:rsidP="006C4214">
            <w:pPr>
              <w:spacing w:after="100"/>
              <w:rPr>
                <w:sz w:val="18"/>
                <w:szCs w:val="18"/>
              </w:rPr>
            </w:pPr>
            <w:r>
              <w:rPr>
                <w:sz w:val="18"/>
                <w:szCs w:val="18"/>
              </w:rPr>
              <w:t>Supporting ongoing FSS and amateur access to spectrum on a secondary basis to PMP (except at ESPZs) increases spectrum utilisation while managing interference.</w:t>
            </w:r>
          </w:p>
          <w:p w14:paraId="45CCDB1F" w14:textId="77777777" w:rsidR="00FF449E" w:rsidRPr="00D37F16" w:rsidRDefault="00FF449E" w:rsidP="006C4214">
            <w:pPr>
              <w:spacing w:after="100"/>
              <w:rPr>
                <w:sz w:val="18"/>
                <w:szCs w:val="18"/>
              </w:rPr>
            </w:pPr>
            <w:r>
              <w:rPr>
                <w:sz w:val="18"/>
                <w:szCs w:val="18"/>
              </w:rPr>
              <w:t>Defrag allows greater use of spectrum holdings.</w:t>
            </w:r>
          </w:p>
        </w:tc>
      </w:tr>
    </w:tbl>
    <w:p w14:paraId="77546991" w14:textId="77777777" w:rsidR="00FF449E" w:rsidRDefault="00FF449E" w:rsidP="00FF449E">
      <w:pPr>
        <w:spacing w:after="0" w:line="240" w:lineRule="auto"/>
        <w:rPr>
          <w:rFonts w:cs="Arial"/>
          <w:szCs w:val="20"/>
        </w:rPr>
      </w:pPr>
    </w:p>
    <w:tbl>
      <w:tblPr>
        <w:tblStyle w:val="TableGrid"/>
        <w:tblW w:w="16302" w:type="dxa"/>
        <w:jc w:val="center"/>
        <w:tblLook w:val="04A0" w:firstRow="1" w:lastRow="0" w:firstColumn="1" w:lastColumn="0" w:noHBand="0" w:noVBand="1"/>
      </w:tblPr>
      <w:tblGrid>
        <w:gridCol w:w="993"/>
        <w:gridCol w:w="4961"/>
        <w:gridCol w:w="2410"/>
        <w:gridCol w:w="2835"/>
        <w:gridCol w:w="2552"/>
        <w:gridCol w:w="2551"/>
      </w:tblGrid>
      <w:tr w:rsidR="00FF449E" w:rsidRPr="00D37F16" w14:paraId="4FE081BB" w14:textId="77777777" w:rsidTr="006C4214">
        <w:trPr>
          <w:trHeight w:val="306"/>
          <w:tblHeader/>
          <w:jc w:val="center"/>
        </w:trPr>
        <w:tc>
          <w:tcPr>
            <w:tcW w:w="993" w:type="dxa"/>
            <w:shd w:val="clear" w:color="auto" w:fill="404040" w:themeFill="text1" w:themeFillTint="BF"/>
            <w:tcMar>
              <w:left w:w="28" w:type="dxa"/>
              <w:right w:w="28" w:type="dxa"/>
            </w:tcMar>
          </w:tcPr>
          <w:p w14:paraId="7C62D157" w14:textId="77777777" w:rsidR="00FF449E" w:rsidRPr="00D37F16" w:rsidRDefault="00FF449E" w:rsidP="006C4214">
            <w:pPr>
              <w:pStyle w:val="TableHeading"/>
              <w:rPr>
                <w:rFonts w:cs="Arial"/>
                <w:sz w:val="18"/>
                <w:szCs w:val="18"/>
              </w:rPr>
            </w:pPr>
            <w:r w:rsidRPr="00D37F16">
              <w:rPr>
                <w:color w:val="FFFFFF" w:themeColor="background1"/>
                <w:sz w:val="18"/>
                <w:szCs w:val="18"/>
              </w:rPr>
              <w:t>Option</w:t>
            </w:r>
          </w:p>
        </w:tc>
        <w:tc>
          <w:tcPr>
            <w:tcW w:w="4961" w:type="dxa"/>
            <w:shd w:val="clear" w:color="auto" w:fill="404040" w:themeFill="text1" w:themeFillTint="BF"/>
            <w:tcMar>
              <w:left w:w="28" w:type="dxa"/>
              <w:right w:w="28" w:type="dxa"/>
            </w:tcMar>
          </w:tcPr>
          <w:p w14:paraId="7605E592" w14:textId="77777777" w:rsidR="00FF449E" w:rsidRPr="00D37F16" w:rsidRDefault="00FF449E" w:rsidP="006C4214">
            <w:pPr>
              <w:pStyle w:val="TableHeading"/>
              <w:rPr>
                <w:color w:val="FFFFFF" w:themeColor="background1"/>
                <w:sz w:val="18"/>
                <w:szCs w:val="18"/>
              </w:rPr>
            </w:pPr>
            <w:r w:rsidRPr="00D37F16">
              <w:rPr>
                <w:color w:val="FFFFFF" w:themeColor="background1"/>
                <w:sz w:val="18"/>
                <w:szCs w:val="18"/>
              </w:rPr>
              <w:t xml:space="preserve">Principle 1 – Allocate spectrum to the HVU or HVUs  </w:t>
            </w:r>
          </w:p>
        </w:tc>
        <w:tc>
          <w:tcPr>
            <w:tcW w:w="2410" w:type="dxa"/>
            <w:shd w:val="clear" w:color="auto" w:fill="404040" w:themeFill="text1" w:themeFillTint="BF"/>
            <w:tcMar>
              <w:left w:w="28" w:type="dxa"/>
              <w:right w:w="28" w:type="dxa"/>
            </w:tcMar>
          </w:tcPr>
          <w:p w14:paraId="5B4512B1" w14:textId="77777777" w:rsidR="00FF449E" w:rsidRPr="00D37F16" w:rsidRDefault="00FF449E" w:rsidP="006C4214">
            <w:pPr>
              <w:pStyle w:val="TableHeading"/>
              <w:rPr>
                <w:color w:val="FFFFFF" w:themeColor="background1"/>
                <w:sz w:val="18"/>
                <w:szCs w:val="18"/>
              </w:rPr>
            </w:pPr>
            <w:r w:rsidRPr="00D37F16">
              <w:rPr>
                <w:color w:val="FFFFFF" w:themeColor="background1"/>
                <w:sz w:val="18"/>
                <w:szCs w:val="18"/>
              </w:rPr>
              <w:t xml:space="preserve">Principle 2 – Enable and encourage spectrum to move to its HVU </w:t>
            </w:r>
          </w:p>
        </w:tc>
        <w:tc>
          <w:tcPr>
            <w:tcW w:w="2835" w:type="dxa"/>
            <w:shd w:val="clear" w:color="auto" w:fill="404040" w:themeFill="text1" w:themeFillTint="BF"/>
            <w:tcMar>
              <w:left w:w="28" w:type="dxa"/>
              <w:right w:w="28" w:type="dxa"/>
            </w:tcMar>
          </w:tcPr>
          <w:p w14:paraId="03EAE580" w14:textId="77777777" w:rsidR="00FF449E" w:rsidRPr="00D37F16" w:rsidRDefault="00FF449E" w:rsidP="006C4214">
            <w:pPr>
              <w:pStyle w:val="TableHeading"/>
              <w:rPr>
                <w:color w:val="FFFFFF" w:themeColor="background1"/>
                <w:sz w:val="18"/>
                <w:szCs w:val="18"/>
              </w:rPr>
            </w:pPr>
            <w:r w:rsidRPr="00D37F16">
              <w:rPr>
                <w:color w:val="FFFFFF" w:themeColor="background1"/>
                <w:sz w:val="18"/>
                <w:szCs w:val="18"/>
              </w:rPr>
              <w:t>Principle 3 – Use the least cost and least restrictive approach to achieving policy objectives</w:t>
            </w:r>
          </w:p>
        </w:tc>
        <w:tc>
          <w:tcPr>
            <w:tcW w:w="2552" w:type="dxa"/>
            <w:shd w:val="clear" w:color="auto" w:fill="404040" w:themeFill="text1" w:themeFillTint="BF"/>
            <w:tcMar>
              <w:left w:w="28" w:type="dxa"/>
              <w:right w:w="28" w:type="dxa"/>
            </w:tcMar>
          </w:tcPr>
          <w:p w14:paraId="657300C4" w14:textId="77777777" w:rsidR="00FF449E" w:rsidRPr="00D37F16" w:rsidRDefault="00FF449E" w:rsidP="006C4214">
            <w:pPr>
              <w:pStyle w:val="TableHeading"/>
              <w:rPr>
                <w:color w:val="FFFFFF" w:themeColor="background1"/>
                <w:sz w:val="18"/>
                <w:szCs w:val="18"/>
              </w:rPr>
            </w:pPr>
            <w:r w:rsidRPr="00D37F16">
              <w:rPr>
                <w:color w:val="FFFFFF" w:themeColor="background1"/>
                <w:sz w:val="18"/>
                <w:szCs w:val="18"/>
              </w:rPr>
              <w:t>Principle 4 – To the extent possible, promote both certainty and flexibility</w:t>
            </w:r>
          </w:p>
        </w:tc>
        <w:tc>
          <w:tcPr>
            <w:tcW w:w="2551" w:type="dxa"/>
            <w:shd w:val="clear" w:color="auto" w:fill="404040" w:themeFill="text1" w:themeFillTint="BF"/>
            <w:tcMar>
              <w:left w:w="28" w:type="dxa"/>
              <w:right w:w="28" w:type="dxa"/>
            </w:tcMar>
          </w:tcPr>
          <w:p w14:paraId="07F151EC" w14:textId="77777777" w:rsidR="00FF449E" w:rsidRPr="00D37F16" w:rsidRDefault="00FF449E" w:rsidP="006C4214">
            <w:pPr>
              <w:pStyle w:val="TableHeading"/>
              <w:rPr>
                <w:color w:val="FFFFFF" w:themeColor="background1"/>
                <w:sz w:val="18"/>
                <w:szCs w:val="18"/>
              </w:rPr>
            </w:pPr>
            <w:r w:rsidRPr="00D37F16">
              <w:rPr>
                <w:color w:val="FFFFFF" w:themeColor="background1"/>
                <w:sz w:val="18"/>
                <w:szCs w:val="18"/>
              </w:rPr>
              <w:t>Principle 5 – Balance the cost of interference and the benefits of greater spectrum utilisation</w:t>
            </w:r>
          </w:p>
        </w:tc>
      </w:tr>
      <w:tr w:rsidR="00FF449E" w:rsidRPr="00D37F16" w14:paraId="5C9542B2" w14:textId="77777777" w:rsidTr="006C4214">
        <w:trPr>
          <w:trHeight w:val="480"/>
          <w:jc w:val="center"/>
        </w:trPr>
        <w:tc>
          <w:tcPr>
            <w:tcW w:w="993" w:type="dxa"/>
            <w:tcMar>
              <w:left w:w="28" w:type="dxa"/>
              <w:right w:w="28" w:type="dxa"/>
            </w:tcMar>
            <w:vAlign w:val="center"/>
          </w:tcPr>
          <w:p w14:paraId="72DDC935" w14:textId="77777777" w:rsidR="00FF449E" w:rsidRPr="00D37F16" w:rsidRDefault="00FF449E" w:rsidP="006C4214">
            <w:pPr>
              <w:spacing w:after="0" w:line="240" w:lineRule="auto"/>
              <w:rPr>
                <w:rFonts w:cs="Arial"/>
                <w:b/>
                <w:sz w:val="18"/>
                <w:szCs w:val="18"/>
              </w:rPr>
            </w:pPr>
            <w:r w:rsidRPr="00D37F16">
              <w:rPr>
                <w:rFonts w:cs="Arial"/>
                <w:b/>
                <w:sz w:val="18"/>
                <w:szCs w:val="18"/>
              </w:rPr>
              <w:t>Option 3a</w:t>
            </w:r>
          </w:p>
        </w:tc>
        <w:tc>
          <w:tcPr>
            <w:tcW w:w="4961" w:type="dxa"/>
            <w:tcMar>
              <w:left w:w="28" w:type="dxa"/>
              <w:right w:w="28" w:type="dxa"/>
            </w:tcMar>
          </w:tcPr>
          <w:p w14:paraId="417CF422" w14:textId="574D745A" w:rsidR="00FF449E" w:rsidRPr="00D37F16" w:rsidRDefault="00FF449E" w:rsidP="006C4214">
            <w:pPr>
              <w:spacing w:after="120"/>
              <w:rPr>
                <w:sz w:val="18"/>
                <w:szCs w:val="18"/>
              </w:rPr>
            </w:pPr>
            <w:r w:rsidRPr="00D37F16">
              <w:rPr>
                <w:sz w:val="18"/>
                <w:szCs w:val="18"/>
              </w:rPr>
              <w:t xml:space="preserve">The entire </w:t>
            </w:r>
            <w:r>
              <w:rPr>
                <w:sz w:val="18"/>
                <w:szCs w:val="18"/>
              </w:rPr>
              <w:t>3400</w:t>
            </w:r>
            <w:r w:rsidR="00301163">
              <w:rPr>
                <w:sz w:val="18"/>
                <w:szCs w:val="18"/>
              </w:rPr>
              <w:t>–</w:t>
            </w:r>
            <w:r>
              <w:rPr>
                <w:sz w:val="18"/>
                <w:szCs w:val="18"/>
              </w:rPr>
              <w:t>3575 MHz</w:t>
            </w:r>
            <w:r w:rsidRPr="00D37F16">
              <w:rPr>
                <w:sz w:val="18"/>
                <w:szCs w:val="18"/>
              </w:rPr>
              <w:t xml:space="preserve"> band is made available for wireless broadband use, in line with international standards and developments. </w:t>
            </w:r>
          </w:p>
          <w:p w14:paraId="71AE9C2F" w14:textId="51757E0E" w:rsidR="00FF449E" w:rsidRPr="00D37F16" w:rsidRDefault="00FF449E" w:rsidP="006C4214">
            <w:pPr>
              <w:spacing w:after="120"/>
              <w:rPr>
                <w:sz w:val="18"/>
                <w:szCs w:val="18"/>
              </w:rPr>
            </w:pPr>
            <w:r w:rsidRPr="00D37F16">
              <w:rPr>
                <w:sz w:val="18"/>
                <w:szCs w:val="18"/>
              </w:rPr>
              <w:t xml:space="preserve">35 MHz available for PMP in </w:t>
            </w:r>
            <w:r>
              <w:rPr>
                <w:sz w:val="18"/>
                <w:szCs w:val="18"/>
              </w:rPr>
              <w:t>r</w:t>
            </w:r>
            <w:r w:rsidRPr="00D37F16">
              <w:rPr>
                <w:sz w:val="18"/>
                <w:szCs w:val="18"/>
              </w:rPr>
              <w:t xml:space="preserve">egional areas. This is the same amount currently available for PMP in the </w:t>
            </w:r>
            <w:r>
              <w:rPr>
                <w:sz w:val="18"/>
                <w:szCs w:val="18"/>
              </w:rPr>
              <w:t>3400</w:t>
            </w:r>
            <w:r w:rsidR="00301163">
              <w:rPr>
                <w:sz w:val="18"/>
                <w:szCs w:val="18"/>
              </w:rPr>
              <w:t>–</w:t>
            </w:r>
            <w:r>
              <w:rPr>
                <w:sz w:val="18"/>
                <w:szCs w:val="18"/>
              </w:rPr>
              <w:t>3575 MHz</w:t>
            </w:r>
            <w:r w:rsidRPr="00D37F16">
              <w:rPr>
                <w:sz w:val="18"/>
                <w:szCs w:val="18"/>
              </w:rPr>
              <w:t xml:space="preserve"> band. Entire band available for PMP in </w:t>
            </w:r>
            <w:r>
              <w:rPr>
                <w:sz w:val="18"/>
                <w:szCs w:val="18"/>
              </w:rPr>
              <w:t>r</w:t>
            </w:r>
            <w:r w:rsidRPr="00D37F16">
              <w:rPr>
                <w:sz w:val="18"/>
                <w:szCs w:val="18"/>
              </w:rPr>
              <w:t>emote areas. All remaining areas</w:t>
            </w:r>
            <w:r>
              <w:rPr>
                <w:sz w:val="18"/>
                <w:szCs w:val="18"/>
              </w:rPr>
              <w:t xml:space="preserve"> subject to</w:t>
            </w:r>
            <w:r w:rsidRPr="00D37F16">
              <w:rPr>
                <w:sz w:val="18"/>
                <w:szCs w:val="18"/>
              </w:rPr>
              <w:t xml:space="preserve"> spectrum licensing.  </w:t>
            </w:r>
          </w:p>
          <w:p w14:paraId="52AA9D20" w14:textId="2371C55D" w:rsidR="00FF449E" w:rsidRPr="00D37F16" w:rsidRDefault="00FF449E" w:rsidP="006C4214">
            <w:pPr>
              <w:spacing w:after="120"/>
              <w:rPr>
                <w:sz w:val="18"/>
                <w:szCs w:val="18"/>
              </w:rPr>
            </w:pPr>
            <w:r w:rsidRPr="00D37F16">
              <w:rPr>
                <w:sz w:val="18"/>
                <w:szCs w:val="18"/>
              </w:rPr>
              <w:t xml:space="preserve">Parts of the </w:t>
            </w:r>
            <w:r>
              <w:rPr>
                <w:sz w:val="18"/>
                <w:szCs w:val="18"/>
              </w:rPr>
              <w:t>3400</w:t>
            </w:r>
            <w:r w:rsidR="00301163">
              <w:rPr>
                <w:sz w:val="18"/>
                <w:szCs w:val="18"/>
              </w:rPr>
              <w:t>–</w:t>
            </w:r>
            <w:r>
              <w:rPr>
                <w:sz w:val="18"/>
                <w:szCs w:val="18"/>
              </w:rPr>
              <w:t>3575 MHz</w:t>
            </w:r>
            <w:r w:rsidRPr="00D37F16">
              <w:rPr>
                <w:sz w:val="18"/>
                <w:szCs w:val="18"/>
              </w:rPr>
              <w:t xml:space="preserve"> band </w:t>
            </w:r>
            <w:r>
              <w:rPr>
                <w:sz w:val="18"/>
                <w:szCs w:val="18"/>
              </w:rPr>
              <w:t>at</w:t>
            </w:r>
            <w:r w:rsidRPr="00D37F16">
              <w:rPr>
                <w:sz w:val="18"/>
                <w:szCs w:val="18"/>
              </w:rPr>
              <w:t xml:space="preserve"> ESPZ’s not currently subject to spectrum licensing </w:t>
            </w:r>
            <w:r>
              <w:rPr>
                <w:sz w:val="18"/>
                <w:szCs w:val="18"/>
              </w:rPr>
              <w:t xml:space="preserve">would not be </w:t>
            </w:r>
            <w:r w:rsidRPr="00D37F16">
              <w:rPr>
                <w:sz w:val="18"/>
                <w:szCs w:val="18"/>
              </w:rPr>
              <w:t>re-allocat</w:t>
            </w:r>
            <w:r>
              <w:rPr>
                <w:sz w:val="18"/>
                <w:szCs w:val="18"/>
              </w:rPr>
              <w:t>ed</w:t>
            </w:r>
            <w:r w:rsidRPr="00D37F16">
              <w:rPr>
                <w:sz w:val="18"/>
                <w:szCs w:val="18"/>
              </w:rPr>
              <w:t xml:space="preserve">. </w:t>
            </w:r>
            <w:r>
              <w:rPr>
                <w:sz w:val="18"/>
                <w:szCs w:val="18"/>
              </w:rPr>
              <w:t xml:space="preserve">The </w:t>
            </w:r>
            <w:r w:rsidRPr="00D37F16">
              <w:rPr>
                <w:sz w:val="18"/>
                <w:szCs w:val="18"/>
              </w:rPr>
              <w:t xml:space="preserve">spectrum </w:t>
            </w:r>
            <w:r>
              <w:rPr>
                <w:sz w:val="18"/>
                <w:szCs w:val="18"/>
              </w:rPr>
              <w:t xml:space="preserve">would instead be </w:t>
            </w:r>
            <w:r w:rsidRPr="00D37F16">
              <w:rPr>
                <w:sz w:val="18"/>
                <w:szCs w:val="18"/>
              </w:rPr>
              <w:t>made available for FSS</w:t>
            </w:r>
            <w:r>
              <w:rPr>
                <w:sz w:val="18"/>
                <w:szCs w:val="18"/>
              </w:rPr>
              <w:t xml:space="preserve"> use</w:t>
            </w:r>
            <w:r w:rsidRPr="00D37F16">
              <w:rPr>
                <w:sz w:val="18"/>
                <w:szCs w:val="18"/>
              </w:rPr>
              <w:t>.</w:t>
            </w:r>
          </w:p>
        </w:tc>
        <w:tc>
          <w:tcPr>
            <w:tcW w:w="2410" w:type="dxa"/>
            <w:tcMar>
              <w:left w:w="28" w:type="dxa"/>
              <w:right w:w="28" w:type="dxa"/>
            </w:tcMar>
          </w:tcPr>
          <w:p w14:paraId="765ABDBF" w14:textId="77777777" w:rsidR="00FF449E" w:rsidRPr="00D37F16" w:rsidRDefault="00FF449E" w:rsidP="006C4214">
            <w:pPr>
              <w:spacing w:after="120"/>
              <w:rPr>
                <w:sz w:val="18"/>
                <w:szCs w:val="18"/>
              </w:rPr>
            </w:pPr>
            <w:r w:rsidRPr="00D37F16">
              <w:rPr>
                <w:sz w:val="18"/>
                <w:szCs w:val="18"/>
              </w:rPr>
              <w:t xml:space="preserve">The entire band is made available for wireless broadband use. Barriers to change are removed to support market forces implementing defrag. </w:t>
            </w:r>
          </w:p>
          <w:p w14:paraId="122E4286" w14:textId="77777777" w:rsidR="00FF449E" w:rsidRPr="00D37F16" w:rsidRDefault="00FF449E" w:rsidP="006C4214">
            <w:pPr>
              <w:spacing w:after="120"/>
              <w:rPr>
                <w:sz w:val="18"/>
                <w:szCs w:val="18"/>
              </w:rPr>
            </w:pPr>
            <w:r w:rsidRPr="00D37F16">
              <w:rPr>
                <w:sz w:val="18"/>
                <w:szCs w:val="18"/>
              </w:rPr>
              <w:t>PMP arrangements defragged. Full defrag of spectrum licences possible in</w:t>
            </w:r>
            <w:r>
              <w:rPr>
                <w:sz w:val="18"/>
                <w:szCs w:val="18"/>
              </w:rPr>
              <w:t xml:space="preserve"> metropolitan areas and major regional centres</w:t>
            </w:r>
            <w:r w:rsidRPr="00D37F16">
              <w:rPr>
                <w:sz w:val="18"/>
                <w:szCs w:val="18"/>
              </w:rPr>
              <w:t xml:space="preserve">. Partial defrag </w:t>
            </w:r>
            <w:r>
              <w:rPr>
                <w:sz w:val="18"/>
                <w:szCs w:val="18"/>
              </w:rPr>
              <w:t xml:space="preserve">only achievable </w:t>
            </w:r>
            <w:r w:rsidRPr="00D37F16">
              <w:rPr>
                <w:sz w:val="18"/>
                <w:szCs w:val="18"/>
              </w:rPr>
              <w:t xml:space="preserve">in </w:t>
            </w:r>
            <w:r>
              <w:rPr>
                <w:sz w:val="18"/>
                <w:szCs w:val="18"/>
              </w:rPr>
              <w:t>regional</w:t>
            </w:r>
            <w:r w:rsidRPr="00D37F16">
              <w:rPr>
                <w:sz w:val="18"/>
                <w:szCs w:val="18"/>
              </w:rPr>
              <w:t xml:space="preserve"> areas.</w:t>
            </w:r>
          </w:p>
        </w:tc>
        <w:tc>
          <w:tcPr>
            <w:tcW w:w="2835" w:type="dxa"/>
            <w:tcMar>
              <w:left w:w="28" w:type="dxa"/>
              <w:right w:w="28" w:type="dxa"/>
            </w:tcMar>
          </w:tcPr>
          <w:p w14:paraId="13BAC528" w14:textId="77777777" w:rsidR="00FF449E" w:rsidRPr="00D37F16" w:rsidRDefault="00FF449E" w:rsidP="006C4214">
            <w:pPr>
              <w:spacing w:after="120"/>
              <w:rPr>
                <w:sz w:val="18"/>
                <w:szCs w:val="18"/>
              </w:rPr>
            </w:pPr>
            <w:r w:rsidRPr="00D37F16">
              <w:rPr>
                <w:sz w:val="18"/>
                <w:szCs w:val="18"/>
              </w:rPr>
              <w:t xml:space="preserve">Least cost option as incumbent apparatus licensees are either not affected or have alternative spectrum in the band to move into. </w:t>
            </w:r>
          </w:p>
          <w:p w14:paraId="7F2A4507" w14:textId="3B2161CE" w:rsidR="00FF449E" w:rsidRPr="00D37F16" w:rsidRDefault="00FF449E" w:rsidP="006C4214">
            <w:pPr>
              <w:spacing w:after="120"/>
              <w:rPr>
                <w:sz w:val="18"/>
                <w:szCs w:val="18"/>
              </w:rPr>
            </w:pPr>
            <w:r w:rsidRPr="00D37F16">
              <w:rPr>
                <w:sz w:val="18"/>
                <w:szCs w:val="18"/>
              </w:rPr>
              <w:t>This option meets</w:t>
            </w:r>
            <w:r w:rsidR="001163B8">
              <w:rPr>
                <w:sz w:val="18"/>
                <w:szCs w:val="18"/>
              </w:rPr>
              <w:t xml:space="preserve"> </w:t>
            </w:r>
            <w:r w:rsidRPr="00D37F16">
              <w:rPr>
                <w:sz w:val="18"/>
                <w:szCs w:val="18"/>
              </w:rPr>
              <w:t xml:space="preserve">policy objectives. It fosters competition for delivery of wireless broadband services </w:t>
            </w:r>
            <w:r>
              <w:rPr>
                <w:sz w:val="18"/>
                <w:szCs w:val="18"/>
              </w:rPr>
              <w:t xml:space="preserve">in regional </w:t>
            </w:r>
            <w:r w:rsidRPr="00D37F16">
              <w:rPr>
                <w:sz w:val="18"/>
                <w:szCs w:val="18"/>
              </w:rPr>
              <w:t>areas via a mix of spectrum and apparatus licence arrangements.</w:t>
            </w:r>
          </w:p>
        </w:tc>
        <w:tc>
          <w:tcPr>
            <w:tcW w:w="2552" w:type="dxa"/>
            <w:tcMar>
              <w:left w:w="28" w:type="dxa"/>
              <w:right w:w="28" w:type="dxa"/>
            </w:tcMar>
          </w:tcPr>
          <w:p w14:paraId="13A711E9" w14:textId="77777777" w:rsidR="00FF449E" w:rsidRPr="00D37F16" w:rsidRDefault="00FF449E" w:rsidP="006C4214">
            <w:pPr>
              <w:spacing w:after="100"/>
              <w:rPr>
                <w:sz w:val="18"/>
                <w:szCs w:val="18"/>
              </w:rPr>
            </w:pPr>
            <w:r w:rsidRPr="00D37F16">
              <w:rPr>
                <w:sz w:val="18"/>
                <w:szCs w:val="18"/>
              </w:rPr>
              <w:t>Spectrum licence arrangements provide certainty and flexibility to licensees.</w:t>
            </w:r>
          </w:p>
          <w:p w14:paraId="0B66CE92" w14:textId="77777777" w:rsidR="00FF449E" w:rsidRDefault="00FF449E" w:rsidP="006C4214">
            <w:pPr>
              <w:spacing w:after="100"/>
              <w:rPr>
                <w:sz w:val="18"/>
                <w:szCs w:val="18"/>
              </w:rPr>
            </w:pPr>
            <w:r w:rsidRPr="00D37F16">
              <w:rPr>
                <w:sz w:val="18"/>
                <w:szCs w:val="18"/>
              </w:rPr>
              <w:t xml:space="preserve">PMP arrangements provide certainty via the technical arrangements </w:t>
            </w:r>
            <w:r>
              <w:rPr>
                <w:sz w:val="18"/>
                <w:szCs w:val="18"/>
              </w:rPr>
              <w:t xml:space="preserve">that are </w:t>
            </w:r>
            <w:r w:rsidRPr="00D37F16">
              <w:rPr>
                <w:sz w:val="18"/>
                <w:szCs w:val="18"/>
              </w:rPr>
              <w:t xml:space="preserve">in place. </w:t>
            </w:r>
          </w:p>
          <w:p w14:paraId="020F6FFD" w14:textId="77777777" w:rsidR="00FF449E" w:rsidRPr="00D37F16" w:rsidRDefault="00FF449E" w:rsidP="006C4214">
            <w:pPr>
              <w:spacing w:after="120"/>
              <w:rPr>
                <w:sz w:val="18"/>
                <w:szCs w:val="18"/>
              </w:rPr>
            </w:pPr>
            <w:r>
              <w:rPr>
                <w:sz w:val="18"/>
                <w:szCs w:val="18"/>
              </w:rPr>
              <w:t>Flexibility provided by supporting FSS and amateurs use on a secondary basis.</w:t>
            </w:r>
          </w:p>
        </w:tc>
        <w:tc>
          <w:tcPr>
            <w:tcW w:w="2551" w:type="dxa"/>
            <w:tcMar>
              <w:left w:w="28" w:type="dxa"/>
              <w:right w:w="28" w:type="dxa"/>
            </w:tcMar>
          </w:tcPr>
          <w:p w14:paraId="2547F230" w14:textId="77777777" w:rsidR="00FF449E" w:rsidRDefault="00FF449E" w:rsidP="006C4214">
            <w:pPr>
              <w:spacing w:after="100"/>
              <w:rPr>
                <w:sz w:val="18"/>
                <w:szCs w:val="18"/>
              </w:rPr>
            </w:pPr>
            <w:r>
              <w:rPr>
                <w:sz w:val="18"/>
                <w:szCs w:val="18"/>
              </w:rPr>
              <w:t xml:space="preserve">The entire band is made available for wireless broadband use. </w:t>
            </w:r>
          </w:p>
          <w:p w14:paraId="5422D489" w14:textId="77777777" w:rsidR="00FF449E" w:rsidRDefault="00FF449E" w:rsidP="006C4214">
            <w:pPr>
              <w:spacing w:after="100"/>
              <w:rPr>
                <w:sz w:val="18"/>
                <w:szCs w:val="18"/>
              </w:rPr>
            </w:pPr>
            <w:r>
              <w:rPr>
                <w:sz w:val="18"/>
                <w:szCs w:val="18"/>
              </w:rPr>
              <w:t>Supporting ongoing FSS and amateur access to spectrum on a secondary basis to PMP (except at ESPZs) increases spectrum utilisation while managing interference.</w:t>
            </w:r>
          </w:p>
          <w:p w14:paraId="574065FB" w14:textId="77777777" w:rsidR="00FF449E" w:rsidRPr="00D37F16" w:rsidRDefault="00FF449E" w:rsidP="006C4214">
            <w:pPr>
              <w:spacing w:after="120"/>
              <w:rPr>
                <w:sz w:val="18"/>
                <w:szCs w:val="18"/>
              </w:rPr>
            </w:pPr>
            <w:r>
              <w:rPr>
                <w:sz w:val="18"/>
                <w:szCs w:val="18"/>
              </w:rPr>
              <w:t>Defrag allows greater use of spectrum holdings.</w:t>
            </w:r>
          </w:p>
        </w:tc>
      </w:tr>
      <w:tr w:rsidR="00FF449E" w:rsidRPr="00D37F16" w14:paraId="02B03DAC" w14:textId="77777777" w:rsidTr="006C4214">
        <w:trPr>
          <w:trHeight w:val="480"/>
          <w:jc w:val="center"/>
        </w:trPr>
        <w:tc>
          <w:tcPr>
            <w:tcW w:w="993" w:type="dxa"/>
            <w:tcMar>
              <w:left w:w="28" w:type="dxa"/>
              <w:right w:w="28" w:type="dxa"/>
            </w:tcMar>
            <w:vAlign w:val="center"/>
          </w:tcPr>
          <w:p w14:paraId="652C91CF" w14:textId="77777777" w:rsidR="00FF449E" w:rsidRPr="00D37F16" w:rsidRDefault="00FF449E" w:rsidP="006C4214">
            <w:pPr>
              <w:spacing w:after="0" w:line="240" w:lineRule="auto"/>
              <w:rPr>
                <w:rFonts w:cs="Arial"/>
                <w:b/>
                <w:sz w:val="18"/>
                <w:szCs w:val="18"/>
              </w:rPr>
            </w:pPr>
            <w:r w:rsidRPr="00D37F16">
              <w:rPr>
                <w:rFonts w:cs="Arial"/>
                <w:b/>
                <w:sz w:val="18"/>
                <w:szCs w:val="18"/>
              </w:rPr>
              <w:t>Option 3b</w:t>
            </w:r>
          </w:p>
        </w:tc>
        <w:tc>
          <w:tcPr>
            <w:tcW w:w="4961" w:type="dxa"/>
            <w:tcMar>
              <w:left w:w="28" w:type="dxa"/>
              <w:right w:w="28" w:type="dxa"/>
            </w:tcMar>
          </w:tcPr>
          <w:p w14:paraId="79E2A8A8" w14:textId="0AB201E4" w:rsidR="00FF449E" w:rsidRPr="00D37F16" w:rsidRDefault="00FF449E" w:rsidP="006C4214">
            <w:pPr>
              <w:spacing w:after="120"/>
              <w:rPr>
                <w:sz w:val="18"/>
                <w:szCs w:val="18"/>
              </w:rPr>
            </w:pPr>
            <w:r w:rsidRPr="00D37F16">
              <w:rPr>
                <w:sz w:val="18"/>
                <w:szCs w:val="18"/>
              </w:rPr>
              <w:t xml:space="preserve">The entire </w:t>
            </w:r>
            <w:r>
              <w:rPr>
                <w:sz w:val="18"/>
                <w:szCs w:val="18"/>
              </w:rPr>
              <w:t>3400</w:t>
            </w:r>
            <w:r w:rsidR="00301163">
              <w:rPr>
                <w:sz w:val="18"/>
                <w:szCs w:val="18"/>
              </w:rPr>
              <w:t>–</w:t>
            </w:r>
            <w:r>
              <w:rPr>
                <w:sz w:val="18"/>
                <w:szCs w:val="18"/>
              </w:rPr>
              <w:t>3575 MHz</w:t>
            </w:r>
            <w:r w:rsidRPr="00D37F16">
              <w:rPr>
                <w:sz w:val="18"/>
                <w:szCs w:val="18"/>
              </w:rPr>
              <w:t xml:space="preserve"> band is made available for wireless broadband use, in line with international standards and developments. </w:t>
            </w:r>
          </w:p>
          <w:p w14:paraId="076D3BE8" w14:textId="69FF4A70" w:rsidR="00FF449E" w:rsidRPr="00D37F16" w:rsidRDefault="00FF449E" w:rsidP="006C4214">
            <w:pPr>
              <w:spacing w:after="120"/>
              <w:rPr>
                <w:sz w:val="18"/>
                <w:szCs w:val="18"/>
              </w:rPr>
            </w:pPr>
            <w:r w:rsidRPr="00D37F16">
              <w:rPr>
                <w:sz w:val="18"/>
                <w:szCs w:val="18"/>
              </w:rPr>
              <w:t>50</w:t>
            </w:r>
            <w:r w:rsidR="00301163">
              <w:rPr>
                <w:sz w:val="18"/>
                <w:szCs w:val="18"/>
              </w:rPr>
              <w:t>–</w:t>
            </w:r>
            <w:r w:rsidRPr="00D37F16">
              <w:rPr>
                <w:sz w:val="18"/>
                <w:szCs w:val="18"/>
              </w:rPr>
              <w:t xml:space="preserve">67.5 MHz available for PMP in </w:t>
            </w:r>
            <w:r>
              <w:rPr>
                <w:sz w:val="18"/>
                <w:szCs w:val="18"/>
              </w:rPr>
              <w:t>r</w:t>
            </w:r>
            <w:r w:rsidRPr="00D37F16">
              <w:rPr>
                <w:sz w:val="18"/>
                <w:szCs w:val="18"/>
              </w:rPr>
              <w:t xml:space="preserve">egional areas and </w:t>
            </w:r>
            <w:r>
              <w:rPr>
                <w:sz w:val="18"/>
                <w:szCs w:val="18"/>
              </w:rPr>
              <w:t>m</w:t>
            </w:r>
            <w:r w:rsidRPr="00D37F16">
              <w:rPr>
                <w:sz w:val="18"/>
                <w:szCs w:val="18"/>
              </w:rPr>
              <w:t xml:space="preserve">ajor regional centres. Entire band available for PMP in </w:t>
            </w:r>
            <w:r>
              <w:rPr>
                <w:sz w:val="18"/>
                <w:szCs w:val="18"/>
              </w:rPr>
              <w:t>r</w:t>
            </w:r>
            <w:r w:rsidRPr="00D37F16">
              <w:rPr>
                <w:sz w:val="18"/>
                <w:szCs w:val="18"/>
              </w:rPr>
              <w:t xml:space="preserve">emote areas. All remaining areas made available for spectrum licensing. This option provides a </w:t>
            </w:r>
            <w:r>
              <w:rPr>
                <w:sz w:val="18"/>
                <w:szCs w:val="18"/>
              </w:rPr>
              <w:t xml:space="preserve">better </w:t>
            </w:r>
            <w:r w:rsidRPr="00D37F16">
              <w:rPr>
                <w:sz w:val="18"/>
                <w:szCs w:val="18"/>
              </w:rPr>
              <w:t xml:space="preserve">balance between the amount of </w:t>
            </w:r>
            <w:r>
              <w:rPr>
                <w:sz w:val="18"/>
                <w:szCs w:val="18"/>
              </w:rPr>
              <w:t>spectrum</w:t>
            </w:r>
            <w:r w:rsidRPr="00D37F16">
              <w:rPr>
                <w:sz w:val="18"/>
                <w:szCs w:val="18"/>
              </w:rPr>
              <w:t xml:space="preserve"> available for spectrum licensing and PMP in </w:t>
            </w:r>
            <w:r>
              <w:rPr>
                <w:sz w:val="18"/>
                <w:szCs w:val="18"/>
              </w:rPr>
              <w:t>r</w:t>
            </w:r>
            <w:r w:rsidRPr="00D37F16">
              <w:rPr>
                <w:sz w:val="18"/>
                <w:szCs w:val="18"/>
              </w:rPr>
              <w:t xml:space="preserve">egional areas and </w:t>
            </w:r>
            <w:r>
              <w:rPr>
                <w:sz w:val="18"/>
                <w:szCs w:val="18"/>
              </w:rPr>
              <w:t>m</w:t>
            </w:r>
            <w:r w:rsidRPr="00D37F16">
              <w:rPr>
                <w:sz w:val="18"/>
                <w:szCs w:val="18"/>
              </w:rPr>
              <w:t xml:space="preserve">ajor regional centres. </w:t>
            </w:r>
          </w:p>
          <w:p w14:paraId="049FE4F6" w14:textId="01D796E3" w:rsidR="00FF449E" w:rsidRPr="00D37F16" w:rsidRDefault="00FF449E" w:rsidP="006C4214">
            <w:pPr>
              <w:spacing w:after="120"/>
              <w:rPr>
                <w:sz w:val="18"/>
                <w:szCs w:val="18"/>
              </w:rPr>
            </w:pPr>
            <w:r w:rsidRPr="00D37F16">
              <w:rPr>
                <w:sz w:val="18"/>
                <w:szCs w:val="18"/>
              </w:rPr>
              <w:t xml:space="preserve">Parts of the </w:t>
            </w:r>
            <w:r>
              <w:rPr>
                <w:sz w:val="18"/>
                <w:szCs w:val="18"/>
              </w:rPr>
              <w:t>3400</w:t>
            </w:r>
            <w:r w:rsidR="00301163">
              <w:rPr>
                <w:sz w:val="18"/>
                <w:szCs w:val="18"/>
              </w:rPr>
              <w:t>–</w:t>
            </w:r>
            <w:r>
              <w:rPr>
                <w:sz w:val="18"/>
                <w:szCs w:val="18"/>
              </w:rPr>
              <w:t>3575 MHz</w:t>
            </w:r>
            <w:r w:rsidRPr="00D37F16">
              <w:rPr>
                <w:sz w:val="18"/>
                <w:szCs w:val="18"/>
              </w:rPr>
              <w:t xml:space="preserve"> band </w:t>
            </w:r>
            <w:r>
              <w:rPr>
                <w:sz w:val="18"/>
                <w:szCs w:val="18"/>
              </w:rPr>
              <w:t>at</w:t>
            </w:r>
            <w:r w:rsidRPr="00D37F16">
              <w:rPr>
                <w:sz w:val="18"/>
                <w:szCs w:val="18"/>
              </w:rPr>
              <w:t xml:space="preserve"> ESPZ’s not currently subject to spectrum licensing </w:t>
            </w:r>
            <w:r>
              <w:rPr>
                <w:sz w:val="18"/>
                <w:szCs w:val="18"/>
              </w:rPr>
              <w:t xml:space="preserve">would not be </w:t>
            </w:r>
            <w:r w:rsidRPr="00D37F16">
              <w:rPr>
                <w:sz w:val="18"/>
                <w:szCs w:val="18"/>
              </w:rPr>
              <w:t>re-allocat</w:t>
            </w:r>
            <w:r>
              <w:rPr>
                <w:sz w:val="18"/>
                <w:szCs w:val="18"/>
              </w:rPr>
              <w:t>ed</w:t>
            </w:r>
            <w:r w:rsidRPr="00D37F16">
              <w:rPr>
                <w:sz w:val="18"/>
                <w:szCs w:val="18"/>
              </w:rPr>
              <w:t xml:space="preserve">. </w:t>
            </w:r>
            <w:r>
              <w:rPr>
                <w:sz w:val="18"/>
                <w:szCs w:val="18"/>
              </w:rPr>
              <w:t xml:space="preserve">The </w:t>
            </w:r>
            <w:r w:rsidRPr="00D37F16">
              <w:rPr>
                <w:sz w:val="18"/>
                <w:szCs w:val="18"/>
              </w:rPr>
              <w:t xml:space="preserve">spectrum </w:t>
            </w:r>
            <w:r>
              <w:rPr>
                <w:sz w:val="18"/>
                <w:szCs w:val="18"/>
              </w:rPr>
              <w:t xml:space="preserve">would instead be </w:t>
            </w:r>
            <w:r w:rsidRPr="00D37F16">
              <w:rPr>
                <w:sz w:val="18"/>
                <w:szCs w:val="18"/>
              </w:rPr>
              <w:t>made available for FSS</w:t>
            </w:r>
            <w:r>
              <w:rPr>
                <w:sz w:val="18"/>
                <w:szCs w:val="18"/>
              </w:rPr>
              <w:t xml:space="preserve"> use</w:t>
            </w:r>
            <w:r w:rsidRPr="00D37F16">
              <w:rPr>
                <w:sz w:val="18"/>
                <w:szCs w:val="18"/>
              </w:rPr>
              <w:t>.</w:t>
            </w:r>
          </w:p>
        </w:tc>
        <w:tc>
          <w:tcPr>
            <w:tcW w:w="2410" w:type="dxa"/>
            <w:tcMar>
              <w:left w:w="28" w:type="dxa"/>
              <w:right w:w="28" w:type="dxa"/>
            </w:tcMar>
          </w:tcPr>
          <w:p w14:paraId="051F7542" w14:textId="77777777" w:rsidR="00FF449E" w:rsidRPr="00D37F16" w:rsidRDefault="00FF449E" w:rsidP="006C4214">
            <w:pPr>
              <w:spacing w:after="120"/>
              <w:rPr>
                <w:sz w:val="18"/>
                <w:szCs w:val="18"/>
              </w:rPr>
            </w:pPr>
            <w:r w:rsidRPr="00D37F16">
              <w:rPr>
                <w:sz w:val="18"/>
                <w:szCs w:val="18"/>
              </w:rPr>
              <w:t xml:space="preserve">The entire band is made available for wireless broadband use. Barriers to change are removed to support market forces implementing defrag. </w:t>
            </w:r>
          </w:p>
          <w:p w14:paraId="22E207D2" w14:textId="77777777" w:rsidR="00FF449E" w:rsidRPr="00D37F16" w:rsidRDefault="00FF449E" w:rsidP="006C4214">
            <w:pPr>
              <w:spacing w:after="120"/>
              <w:rPr>
                <w:sz w:val="18"/>
                <w:szCs w:val="18"/>
              </w:rPr>
            </w:pPr>
            <w:r w:rsidRPr="00D37F16">
              <w:rPr>
                <w:sz w:val="18"/>
                <w:szCs w:val="18"/>
              </w:rPr>
              <w:t>PMP arrangements defragged. Full defrag of spectrum licences possible in areas covered by NBN Co’s PTS licences. Partial defrag in other areas.</w:t>
            </w:r>
          </w:p>
        </w:tc>
        <w:tc>
          <w:tcPr>
            <w:tcW w:w="2835" w:type="dxa"/>
            <w:tcMar>
              <w:left w:w="28" w:type="dxa"/>
              <w:right w:w="28" w:type="dxa"/>
            </w:tcMar>
          </w:tcPr>
          <w:p w14:paraId="5452C886" w14:textId="77777777" w:rsidR="00FF449E" w:rsidRPr="00D37F16" w:rsidRDefault="00FF449E" w:rsidP="006C4214">
            <w:pPr>
              <w:spacing w:after="120"/>
              <w:rPr>
                <w:sz w:val="18"/>
                <w:szCs w:val="18"/>
              </w:rPr>
            </w:pPr>
            <w:r w:rsidRPr="00D37F16">
              <w:rPr>
                <w:sz w:val="18"/>
                <w:szCs w:val="18"/>
              </w:rPr>
              <w:t xml:space="preserve">Least cost option as incumbent apparatus licensees are either not affected or have alternative spectrum in the band to move into. </w:t>
            </w:r>
          </w:p>
          <w:p w14:paraId="06E3903B" w14:textId="46C44108" w:rsidR="00FF449E" w:rsidRPr="00D37F16" w:rsidRDefault="00FF449E" w:rsidP="006C4214">
            <w:pPr>
              <w:spacing w:after="120"/>
              <w:rPr>
                <w:sz w:val="18"/>
                <w:szCs w:val="18"/>
              </w:rPr>
            </w:pPr>
            <w:r w:rsidRPr="00D37F16">
              <w:rPr>
                <w:sz w:val="18"/>
                <w:szCs w:val="18"/>
              </w:rPr>
              <w:t>This option meets policy objectives. It fosters</w:t>
            </w:r>
            <w:r>
              <w:rPr>
                <w:sz w:val="18"/>
                <w:szCs w:val="18"/>
              </w:rPr>
              <w:t xml:space="preserve"> a high level of</w:t>
            </w:r>
            <w:r w:rsidRPr="00D37F16">
              <w:rPr>
                <w:sz w:val="18"/>
                <w:szCs w:val="18"/>
              </w:rPr>
              <w:t xml:space="preserve"> competition for delivery of wireless broadband services </w:t>
            </w:r>
            <w:r>
              <w:rPr>
                <w:sz w:val="18"/>
                <w:szCs w:val="18"/>
              </w:rPr>
              <w:t xml:space="preserve">outside of metropolitan areas </w:t>
            </w:r>
            <w:r w:rsidRPr="00D37F16">
              <w:rPr>
                <w:sz w:val="18"/>
                <w:szCs w:val="18"/>
              </w:rPr>
              <w:t>via a mix of spectrum and apparatus licence arrangements.</w:t>
            </w:r>
          </w:p>
        </w:tc>
        <w:tc>
          <w:tcPr>
            <w:tcW w:w="2552" w:type="dxa"/>
            <w:tcMar>
              <w:left w:w="28" w:type="dxa"/>
              <w:right w:w="28" w:type="dxa"/>
            </w:tcMar>
          </w:tcPr>
          <w:p w14:paraId="6320C8DA" w14:textId="77777777" w:rsidR="00FF449E" w:rsidRPr="00D37F16" w:rsidRDefault="00FF449E" w:rsidP="006C4214">
            <w:pPr>
              <w:spacing w:after="100"/>
              <w:rPr>
                <w:sz w:val="18"/>
                <w:szCs w:val="18"/>
              </w:rPr>
            </w:pPr>
            <w:r w:rsidRPr="00D37F16">
              <w:rPr>
                <w:sz w:val="18"/>
                <w:szCs w:val="18"/>
              </w:rPr>
              <w:t>Spectrum licence arrangements provide certainty and flexibility to licensees.</w:t>
            </w:r>
          </w:p>
          <w:p w14:paraId="7BC62D7B" w14:textId="77777777" w:rsidR="00FF449E" w:rsidRDefault="00FF449E" w:rsidP="006C4214">
            <w:pPr>
              <w:spacing w:after="100"/>
              <w:rPr>
                <w:sz w:val="18"/>
                <w:szCs w:val="18"/>
              </w:rPr>
            </w:pPr>
            <w:r w:rsidRPr="00D37F16">
              <w:rPr>
                <w:sz w:val="18"/>
                <w:szCs w:val="18"/>
              </w:rPr>
              <w:t xml:space="preserve">PMP arrangements provide certainty via the technical arrangements </w:t>
            </w:r>
            <w:r>
              <w:rPr>
                <w:sz w:val="18"/>
                <w:szCs w:val="18"/>
              </w:rPr>
              <w:t xml:space="preserve">that are </w:t>
            </w:r>
            <w:r w:rsidRPr="00D37F16">
              <w:rPr>
                <w:sz w:val="18"/>
                <w:szCs w:val="18"/>
              </w:rPr>
              <w:t xml:space="preserve">in place. </w:t>
            </w:r>
          </w:p>
          <w:p w14:paraId="7CCBC329" w14:textId="77777777" w:rsidR="00FF449E" w:rsidRPr="00D37F16" w:rsidRDefault="00FF449E" w:rsidP="006C4214">
            <w:pPr>
              <w:spacing w:after="120"/>
              <w:rPr>
                <w:sz w:val="18"/>
                <w:szCs w:val="18"/>
              </w:rPr>
            </w:pPr>
            <w:r>
              <w:rPr>
                <w:sz w:val="18"/>
                <w:szCs w:val="18"/>
              </w:rPr>
              <w:t>Flexibility provided by supporting FSS and amateurs use on a secondary basis.</w:t>
            </w:r>
          </w:p>
        </w:tc>
        <w:tc>
          <w:tcPr>
            <w:tcW w:w="2551" w:type="dxa"/>
            <w:tcMar>
              <w:left w:w="28" w:type="dxa"/>
              <w:right w:w="28" w:type="dxa"/>
            </w:tcMar>
          </w:tcPr>
          <w:p w14:paraId="300B0949" w14:textId="77777777" w:rsidR="00FF449E" w:rsidRDefault="00FF449E" w:rsidP="006C4214">
            <w:pPr>
              <w:spacing w:after="100"/>
              <w:rPr>
                <w:sz w:val="18"/>
                <w:szCs w:val="18"/>
              </w:rPr>
            </w:pPr>
            <w:r>
              <w:rPr>
                <w:sz w:val="18"/>
                <w:szCs w:val="18"/>
              </w:rPr>
              <w:t xml:space="preserve">The entire band is made available for wireless broadband use. </w:t>
            </w:r>
          </w:p>
          <w:p w14:paraId="32700612" w14:textId="77777777" w:rsidR="00FF449E" w:rsidRDefault="00FF449E" w:rsidP="006C4214">
            <w:pPr>
              <w:spacing w:after="100"/>
              <w:rPr>
                <w:sz w:val="18"/>
                <w:szCs w:val="18"/>
              </w:rPr>
            </w:pPr>
            <w:r>
              <w:rPr>
                <w:sz w:val="18"/>
                <w:szCs w:val="18"/>
              </w:rPr>
              <w:t>Supporting ongoing FSS and amateur access to spectrum on a secondary basis to PMP (except at ESPZs) increases spectrum utilisation while managing interference.</w:t>
            </w:r>
          </w:p>
          <w:p w14:paraId="0EA59E22" w14:textId="77777777" w:rsidR="00FF449E" w:rsidRPr="00D37F16" w:rsidRDefault="00FF449E" w:rsidP="006C4214">
            <w:pPr>
              <w:spacing w:after="120"/>
              <w:rPr>
                <w:sz w:val="18"/>
                <w:szCs w:val="18"/>
              </w:rPr>
            </w:pPr>
            <w:r>
              <w:rPr>
                <w:sz w:val="18"/>
                <w:szCs w:val="18"/>
              </w:rPr>
              <w:t>Defrag allows greater use of spectrum holdings.</w:t>
            </w:r>
          </w:p>
        </w:tc>
      </w:tr>
    </w:tbl>
    <w:p w14:paraId="14EAF2E6" w14:textId="786C0B66" w:rsidR="00984DF2" w:rsidRDefault="00984DF2" w:rsidP="00984DF2">
      <w:pPr>
        <w:rPr>
          <w:sz w:val="18"/>
          <w:szCs w:val="18"/>
        </w:rPr>
      </w:pPr>
    </w:p>
    <w:sectPr w:rsidR="00984DF2" w:rsidSect="009774B1">
      <w:pgSz w:w="16838" w:h="11906" w:orient="landscape" w:code="9"/>
      <w:pgMar w:top="1134" w:right="993" w:bottom="709" w:left="1135"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A923D0" w14:textId="77777777" w:rsidR="003641CC" w:rsidRDefault="003641CC">
      <w:r>
        <w:separator/>
      </w:r>
    </w:p>
  </w:endnote>
  <w:endnote w:type="continuationSeparator" w:id="0">
    <w:p w14:paraId="453FB256" w14:textId="77777777" w:rsidR="003641CC" w:rsidRDefault="003641CC">
      <w:r>
        <w:continuationSeparator/>
      </w:r>
    </w:p>
  </w:endnote>
  <w:endnote w:type="continuationNotice" w:id="1">
    <w:p w14:paraId="787CE6F4" w14:textId="77777777" w:rsidR="003641CC" w:rsidRDefault="003641C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宋体">
    <w:altName w:val="Microsoft YaHei"/>
    <w:charset w:val="86"/>
    <w:family w:val="auto"/>
    <w:pitch w:val="variable"/>
    <w:sig w:usb0="00000001" w:usb1="080E0000" w:usb2="00000010" w:usb3="00000000" w:csb0="00040000"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18B24E" w14:textId="77777777" w:rsidR="003641CC" w:rsidRPr="00A5474E" w:rsidRDefault="003641CC" w:rsidP="00A5474E">
    <w:pPr>
      <w:pStyle w:val="Footer"/>
    </w:pPr>
    <w:r>
      <w:rPr>
        <w:noProof/>
      </w:rPr>
      <w:drawing>
        <wp:inline distT="0" distB="0" distL="0" distR="0" wp14:anchorId="7D45A9D0" wp14:editId="74907B7B">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5598E1" w14:textId="77777777" w:rsidR="003641CC" w:rsidRDefault="003641C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4147FC" w14:textId="77777777" w:rsidR="003641CC" w:rsidRDefault="003641C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6C206D" w14:textId="77777777" w:rsidR="003641CC" w:rsidRPr="00622A3B" w:rsidRDefault="003641CC"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6124CFCF" w14:textId="77777777" w:rsidR="003641CC" w:rsidRPr="00A5474E" w:rsidRDefault="003641CC"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12D43" w14:textId="77777777" w:rsidR="003641CC" w:rsidRPr="00622A3B" w:rsidRDefault="003641CC"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7C259CD" w14:textId="77777777" w:rsidR="003641CC" w:rsidRPr="00A5474E" w:rsidRDefault="003641CC"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E58E3A" w14:textId="77777777" w:rsidR="003641CC" w:rsidRPr="00622A3B" w:rsidRDefault="003641CC"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7D8E0AF4" w14:textId="77777777" w:rsidR="003641CC" w:rsidRPr="00A5474E" w:rsidRDefault="003641CC"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135D5B" w14:textId="594F47D5" w:rsidR="003641CC" w:rsidRPr="00622A3B" w:rsidRDefault="003641CC" w:rsidP="00B43262">
    <w:pPr>
      <w:pStyle w:val="FooterLeft"/>
      <w:framePr w:wrap="around" w:x="1141" w:y="16166"/>
      <w:tabs>
        <w:tab w:val="clear" w:pos="113"/>
        <w:tab w:val="right" w:pos="397"/>
      </w:tabs>
    </w:pPr>
    <w:r>
      <w:fldChar w:fldCharType="begin"/>
    </w:r>
    <w:r>
      <w:instrText xml:space="preserve"> PAGE   \* MERGEFORMAT </w:instrText>
    </w:r>
    <w:r>
      <w:fldChar w:fldCharType="separate"/>
    </w:r>
    <w:r>
      <w:rPr>
        <w:noProof/>
      </w:rPr>
      <w:t>1</w:t>
    </w:r>
    <w:r>
      <w:rPr>
        <w:noProof/>
      </w:rPr>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4FF1448C" w14:textId="77777777" w:rsidR="003641CC" w:rsidRPr="00A5474E" w:rsidRDefault="003641CC"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85CA6E" w14:textId="46A9A8A9" w:rsidR="003641CC" w:rsidRPr="00622A3B" w:rsidRDefault="003641CC"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1</w:t>
    </w:r>
    <w:r>
      <w:rPr>
        <w:noProof/>
      </w:rPr>
      <w:fldChar w:fldCharType="end"/>
    </w:r>
  </w:p>
  <w:p w14:paraId="0DB3A585" w14:textId="77777777" w:rsidR="003641CC" w:rsidRPr="00A5474E" w:rsidRDefault="003641CC" w:rsidP="00A5474E">
    <w:pPr>
      <w:pStyle w:val="Foote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6717BD" w14:textId="5C05C241" w:rsidR="003641CC" w:rsidRPr="00622A3B" w:rsidRDefault="003641CC" w:rsidP="00B43262">
    <w:pPr>
      <w:pStyle w:val="FooterLeft"/>
      <w:framePr w:wrap="around" w:x="1141" w:y="16166"/>
      <w:tabs>
        <w:tab w:val="clear" w:pos="113"/>
        <w:tab w:val="right" w:pos="397"/>
      </w:tabs>
    </w:pPr>
    <w:r>
      <w:fldChar w:fldCharType="begin"/>
    </w:r>
    <w:r>
      <w:instrText xml:space="preserve"> PAGE   \* MERGEFORMAT </w:instrText>
    </w:r>
    <w:r>
      <w:fldChar w:fldCharType="separate"/>
    </w:r>
    <w:r>
      <w:rPr>
        <w:noProof/>
      </w:rPr>
      <w:t>1</w:t>
    </w:r>
    <w:r>
      <w:rPr>
        <w:noProof/>
      </w:rPr>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7806A026" w14:textId="77777777" w:rsidR="003641CC" w:rsidRPr="00A5474E" w:rsidRDefault="003641CC" w:rsidP="00A5474E">
    <w:pPr>
      <w:pStyle w:val="Foote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FC867A" w14:textId="2AF97CE1" w:rsidR="003641CC" w:rsidRPr="00622A3B" w:rsidRDefault="003641CC"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fldChar w:fldCharType="begin"/>
    </w:r>
    <w:r>
      <w:instrText xml:space="preserve"> PAGE   \* MERGEFORMAT </w:instrText>
    </w:r>
    <w:r>
      <w:fldChar w:fldCharType="separate"/>
    </w:r>
    <w:r>
      <w:rPr>
        <w:noProof/>
      </w:rPr>
      <w:t>1</w:t>
    </w:r>
    <w:r>
      <w:rPr>
        <w:noProof/>
      </w:rPr>
      <w:fldChar w:fldCharType="end"/>
    </w:r>
  </w:p>
  <w:p w14:paraId="33BFD3AF" w14:textId="77777777" w:rsidR="003641CC" w:rsidRPr="00A5474E" w:rsidRDefault="003641CC"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CB3A54" w14:textId="77777777" w:rsidR="003641CC" w:rsidRDefault="003641CC">
      <w:r>
        <w:separator/>
      </w:r>
    </w:p>
  </w:footnote>
  <w:footnote w:type="continuationSeparator" w:id="0">
    <w:p w14:paraId="2E180F40" w14:textId="77777777" w:rsidR="003641CC" w:rsidRDefault="003641CC">
      <w:r>
        <w:continuationSeparator/>
      </w:r>
    </w:p>
  </w:footnote>
  <w:footnote w:type="continuationNotice" w:id="1">
    <w:p w14:paraId="6BBA9A9D" w14:textId="77777777" w:rsidR="003641CC" w:rsidRDefault="003641CC">
      <w:pPr>
        <w:spacing w:after="0" w:line="240" w:lineRule="auto"/>
      </w:pPr>
    </w:p>
  </w:footnote>
  <w:footnote w:id="2">
    <w:p w14:paraId="3ACD80D3" w14:textId="77777777" w:rsidR="003641CC" w:rsidRDefault="003641CC" w:rsidP="00B82EDA">
      <w:pPr>
        <w:pStyle w:val="FootnoteText"/>
        <w:spacing w:after="40"/>
      </w:pPr>
      <w:r>
        <w:rPr>
          <w:rStyle w:val="FootnoteReference"/>
        </w:rPr>
        <w:footnoteRef/>
      </w:r>
      <w:r>
        <w:t xml:space="preserve"> ACMA </w:t>
      </w:r>
      <w:hyperlink r:id="rId1" w:history="1">
        <w:r>
          <w:rPr>
            <w:rStyle w:val="Hyperlink"/>
            <w:i/>
          </w:rPr>
          <w:t>Corporate plan 2018–19</w:t>
        </w:r>
      </w:hyperlink>
    </w:p>
  </w:footnote>
  <w:footnote w:id="3">
    <w:p w14:paraId="78D3EE86" w14:textId="77777777" w:rsidR="003641CC" w:rsidRDefault="003641CC" w:rsidP="00B82EDA">
      <w:pPr>
        <w:pStyle w:val="Footer"/>
        <w:spacing w:after="0"/>
      </w:pPr>
      <w:r>
        <w:rPr>
          <w:rStyle w:val="FootnoteReference"/>
        </w:rPr>
        <w:footnoteRef/>
      </w:r>
      <w:r>
        <w:t xml:space="preserve"> Available on the </w:t>
      </w:r>
      <w:hyperlink r:id="rId2" w:history="1">
        <w:r>
          <w:rPr>
            <w:rStyle w:val="Hyperlink"/>
          </w:rPr>
          <w:t>ACMA website</w:t>
        </w:r>
      </w:hyperlink>
      <w:r>
        <w:t>.</w:t>
      </w:r>
    </w:p>
  </w:footnote>
  <w:footnote w:id="4">
    <w:p w14:paraId="4424AA6C" w14:textId="66A07180" w:rsidR="003641CC" w:rsidRDefault="003641CC" w:rsidP="00B82EDA">
      <w:pPr>
        <w:pStyle w:val="FootnoteText"/>
        <w:spacing w:after="0"/>
      </w:pPr>
      <w:r>
        <w:rPr>
          <w:rStyle w:val="FootnoteReference"/>
        </w:rPr>
        <w:footnoteRef/>
      </w:r>
      <w:r>
        <w:t xml:space="preserve"> Technical details and limitations include maximum in-band transmit power and unwanted emissions limits as well as the authorised frequency range and geographical area of the licence. </w:t>
      </w:r>
    </w:p>
  </w:footnote>
  <w:footnote w:id="5">
    <w:p w14:paraId="1F2A08F0" w14:textId="4199BA15" w:rsidR="003641CC" w:rsidRDefault="003641CC" w:rsidP="00FA3B41">
      <w:pPr>
        <w:pStyle w:val="FootnoteText"/>
        <w:spacing w:after="120"/>
      </w:pPr>
      <w:r>
        <w:rPr>
          <w:rStyle w:val="FootnoteReference"/>
        </w:rPr>
        <w:footnoteRef/>
      </w:r>
      <w:r>
        <w:t xml:space="preserve"> </w:t>
      </w:r>
      <w:r>
        <w:rPr>
          <w:rFonts w:cs="Arial"/>
        </w:rPr>
        <w:t xml:space="preserve">Please note this figure simplifies some details (e.g. NBN Co’s PTS licences cover the major regional </w:t>
      </w:r>
      <w:r w:rsidRPr="00EC65B3">
        <w:rPr>
          <w:rFonts w:cs="Arial"/>
        </w:rPr>
        <w:t xml:space="preserve">centres of Ballarat, Bendigo and Toowoomba) to assist in visualising existing arrangements. Refer to </w:t>
      </w:r>
      <w:r w:rsidRPr="003C5923">
        <w:rPr>
          <w:rFonts w:cs="Arial"/>
        </w:rPr>
        <w:t>Appendix A</w:t>
      </w:r>
      <w:r w:rsidRPr="00EC65B3">
        <w:rPr>
          <w:rFonts w:cs="Arial"/>
        </w:rPr>
        <w:t xml:space="preserve"> and </w:t>
      </w:r>
      <w:r w:rsidRPr="003C5923">
        <w:rPr>
          <w:rFonts w:cs="Arial"/>
        </w:rPr>
        <w:t>B</w:t>
      </w:r>
      <w:r w:rsidRPr="00EC65B3">
        <w:rPr>
          <w:rFonts w:cs="Arial"/>
        </w:rPr>
        <w:t xml:space="preserve"> for a more detailed</w:t>
      </w:r>
      <w:r>
        <w:rPr>
          <w:rFonts w:cs="Arial"/>
        </w:rPr>
        <w:t xml:space="preserve"> description of arrangements in the band.</w:t>
      </w:r>
    </w:p>
  </w:footnote>
  <w:footnote w:id="6">
    <w:p w14:paraId="052148EE" w14:textId="25E97D81" w:rsidR="003641CC" w:rsidRDefault="003641CC" w:rsidP="00512AC9">
      <w:pPr>
        <w:pStyle w:val="FootnoteText"/>
        <w:spacing w:after="0"/>
      </w:pPr>
      <w:r>
        <w:rPr>
          <w:rStyle w:val="FootnoteReference"/>
        </w:rPr>
        <w:footnoteRef/>
      </w:r>
      <w:r>
        <w:t xml:space="preserve"> This was identified during the </w:t>
      </w:r>
      <w:hyperlink r:id="rId3" w:history="1">
        <w:r w:rsidRPr="00512AC9">
          <w:rPr>
            <w:rStyle w:val="Hyperlink"/>
          </w:rPr>
          <w:t>3.6 GHz band Technical Liaison Group</w:t>
        </w:r>
      </w:hyperlink>
      <w:r>
        <w:t xml:space="preserve"> processes held in 2018.  </w:t>
      </w:r>
    </w:p>
  </w:footnote>
  <w:footnote w:id="7">
    <w:p w14:paraId="2F5F159A" w14:textId="33535A0C" w:rsidR="003641CC" w:rsidRDefault="003641CC" w:rsidP="00512AC9">
      <w:pPr>
        <w:pStyle w:val="FootnoteText"/>
        <w:spacing w:after="0"/>
      </w:pPr>
      <w:r>
        <w:rPr>
          <w:rStyle w:val="FootnoteReference"/>
        </w:rPr>
        <w:footnoteRef/>
      </w:r>
      <w:r>
        <w:rPr>
          <w:b/>
        </w:rPr>
        <w:t xml:space="preserve"> </w:t>
      </w:r>
      <w:r w:rsidRPr="00512AC9">
        <w:rPr>
          <w:rStyle w:val="ilfuvd"/>
          <w:rFonts w:cs="Arial"/>
          <w:bCs/>
          <w:color w:val="222222"/>
        </w:rPr>
        <w:t>Instantaneous bandwidth</w:t>
      </w:r>
      <w:r>
        <w:rPr>
          <w:rStyle w:val="ilfuvd"/>
          <w:rFonts w:cs="Arial"/>
          <w:bCs/>
          <w:color w:val="222222"/>
        </w:rPr>
        <w:t xml:space="preserve"> of wireless broadband equipment</w:t>
      </w:r>
      <w:r w:rsidRPr="00512AC9">
        <w:rPr>
          <w:rStyle w:val="ilfuvd"/>
          <w:rFonts w:cs="Arial"/>
          <w:color w:val="222222"/>
        </w:rPr>
        <w:t xml:space="preserve"> refers to the </w:t>
      </w:r>
      <w:r w:rsidRPr="00512AC9">
        <w:rPr>
          <w:rStyle w:val="ilfuvd"/>
          <w:rFonts w:cs="Arial"/>
          <w:bCs/>
          <w:color w:val="222222"/>
        </w:rPr>
        <w:t>bandwidth</w:t>
      </w:r>
      <w:r w:rsidRPr="00512AC9">
        <w:rPr>
          <w:rStyle w:val="ilfuvd"/>
          <w:rFonts w:cs="Arial"/>
          <w:color w:val="222222"/>
        </w:rPr>
        <w:t xml:space="preserve"> in whic</w:t>
      </w:r>
      <w:r>
        <w:rPr>
          <w:rStyle w:val="ilfuvd"/>
          <w:rFonts w:cs="Arial"/>
          <w:color w:val="222222"/>
        </w:rPr>
        <w:t>h radiocommunication signals can be transmitted or simultaneously captured and analysed.</w:t>
      </w:r>
    </w:p>
  </w:footnote>
  <w:footnote w:id="8">
    <w:p w14:paraId="0866DA64" w14:textId="1F2D1436" w:rsidR="003641CC" w:rsidRDefault="003641CC" w:rsidP="00512AC9">
      <w:pPr>
        <w:pStyle w:val="FootnoteText"/>
        <w:spacing w:after="0"/>
      </w:pPr>
      <w:r>
        <w:rPr>
          <w:rStyle w:val="FootnoteReference"/>
        </w:rPr>
        <w:footnoteRef/>
      </w:r>
      <w:r>
        <w:t xml:space="preserve"> 5G New Radio Solutions: Revolutionary Applications Here Sooner Than You Think, Skyworks, 2018 </w:t>
      </w:r>
      <w:hyperlink r:id="rId4" w:history="1">
        <w:r w:rsidRPr="00E25DD3">
          <w:rPr>
            <w:rStyle w:val="Hyperlink"/>
          </w:rPr>
          <w:t>www.skyworksinc.com</w:t>
        </w:r>
      </w:hyperlink>
      <w:r>
        <w:t xml:space="preserve"> </w:t>
      </w:r>
    </w:p>
  </w:footnote>
  <w:footnote w:id="9">
    <w:p w14:paraId="0E0803B0" w14:textId="1647BC72" w:rsidR="003641CC" w:rsidRDefault="003641CC">
      <w:pPr>
        <w:pStyle w:val="FootnoteText"/>
      </w:pPr>
      <w:r>
        <w:rPr>
          <w:rStyle w:val="FootnoteReference"/>
        </w:rPr>
        <w:footnoteRef/>
      </w:r>
      <w:r>
        <w:t xml:space="preserve"> Dead zones are areas near the geographical boundary of an area-based licence (such as a spectrum licence) where use is restricted or not possible due to the need to limit the level of emissions into adjacent areas to manage interference. </w:t>
      </w:r>
    </w:p>
  </w:footnote>
  <w:footnote w:id="10">
    <w:p w14:paraId="25B6946D" w14:textId="20CFE474" w:rsidR="003641CC" w:rsidRDefault="003641CC" w:rsidP="00FF449E">
      <w:pPr>
        <w:pStyle w:val="FootnoteText"/>
        <w:spacing w:after="0"/>
      </w:pPr>
      <w:r>
        <w:rPr>
          <w:rStyle w:val="FootnoteReference"/>
        </w:rPr>
        <w:footnoteRef/>
      </w:r>
      <w:r>
        <w:t xml:space="preserve"> This outcome is based on the Canberra unallocated lot being sold and the licensee agreeing to implement defrag.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5630BA" w14:textId="77777777" w:rsidR="003641CC" w:rsidRPr="00A5474E" w:rsidRDefault="003641CC" w:rsidP="00A5474E">
    <w:pPr>
      <w:pStyle w:val="Header"/>
    </w:pPr>
    <w:r>
      <w:rPr>
        <w:noProof/>
      </w:rPr>
      <w:drawing>
        <wp:inline distT="0" distB="0" distL="0" distR="0" wp14:anchorId="68749154" wp14:editId="5AF828E4">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E0D23B" w14:textId="77777777" w:rsidR="003641CC" w:rsidRPr="00A5474E" w:rsidRDefault="003641CC"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0B788A" w14:textId="77777777" w:rsidR="003641CC" w:rsidRDefault="003641C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A7C049" w14:textId="77777777" w:rsidR="003641CC" w:rsidRDefault="003641C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3641CC" w14:paraId="3FA53529" w14:textId="77777777" w:rsidTr="008F1F60">
      <w:trPr>
        <w:trHeight w:hRule="exact" w:val="988"/>
      </w:trPr>
      <w:tc>
        <w:tcPr>
          <w:tcW w:w="7678" w:type="dxa"/>
          <w:shd w:val="clear" w:color="auto" w:fill="auto"/>
        </w:tcPr>
        <w:p w14:paraId="659FD46D" w14:textId="77777777" w:rsidR="003641CC" w:rsidRDefault="003641CC" w:rsidP="00971914">
          <w:pPr>
            <w:pStyle w:val="Header"/>
          </w:pPr>
        </w:p>
      </w:tc>
    </w:tr>
    <w:tr w:rsidR="003641CC" w14:paraId="3E67234C" w14:textId="77777777" w:rsidTr="008F1F60">
      <w:tc>
        <w:tcPr>
          <w:tcW w:w="7678" w:type="dxa"/>
          <w:shd w:val="clear" w:color="auto" w:fill="auto"/>
        </w:tcPr>
        <w:p w14:paraId="3FF53E63" w14:textId="77777777" w:rsidR="003641CC" w:rsidRDefault="003641CC" w:rsidP="00971914">
          <w:pPr>
            <w:pStyle w:val="GridTable31"/>
          </w:pPr>
          <w:r>
            <w:t xml:space="preserve">Contents </w:t>
          </w:r>
          <w:r w:rsidRPr="00915B1C">
            <w:rPr>
              <w:b w:val="0"/>
              <w:spacing w:val="0"/>
              <w:sz w:val="28"/>
              <w:szCs w:val="28"/>
            </w:rPr>
            <w:t>(Continued)</w:t>
          </w:r>
        </w:p>
      </w:tc>
    </w:tr>
  </w:tbl>
  <w:p w14:paraId="0262D68B" w14:textId="77777777" w:rsidR="003641CC" w:rsidRDefault="003641CC" w:rsidP="009F294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3641CC" w14:paraId="7A9F5A36" w14:textId="77777777" w:rsidTr="008F1F60">
      <w:trPr>
        <w:trHeight w:hRule="exact" w:val="988"/>
      </w:trPr>
      <w:tc>
        <w:tcPr>
          <w:tcW w:w="7678" w:type="dxa"/>
          <w:shd w:val="clear" w:color="auto" w:fill="auto"/>
        </w:tcPr>
        <w:p w14:paraId="73C57ED3" w14:textId="77777777" w:rsidR="003641CC" w:rsidRDefault="003641CC" w:rsidP="00971914">
          <w:pPr>
            <w:pStyle w:val="Header"/>
          </w:pPr>
        </w:p>
      </w:tc>
    </w:tr>
    <w:tr w:rsidR="003641CC" w14:paraId="25C98F4C" w14:textId="77777777" w:rsidTr="008F1F60">
      <w:tc>
        <w:tcPr>
          <w:tcW w:w="7678" w:type="dxa"/>
          <w:shd w:val="clear" w:color="auto" w:fill="auto"/>
        </w:tcPr>
        <w:p w14:paraId="4E54C9AB" w14:textId="77777777" w:rsidR="003641CC" w:rsidRDefault="003641CC" w:rsidP="00971914">
          <w:pPr>
            <w:pStyle w:val="GridTable31"/>
          </w:pPr>
          <w:r>
            <w:t xml:space="preserve">Contents </w:t>
          </w:r>
          <w:r w:rsidRPr="00915B1C">
            <w:rPr>
              <w:b w:val="0"/>
              <w:spacing w:val="0"/>
              <w:sz w:val="28"/>
              <w:szCs w:val="28"/>
            </w:rPr>
            <w:t>(Continued)</w:t>
          </w:r>
        </w:p>
      </w:tc>
    </w:tr>
    <w:tr w:rsidR="003641CC" w14:paraId="33450630" w14:textId="77777777" w:rsidTr="008F1F60">
      <w:trPr>
        <w:trHeight w:val="1220"/>
      </w:trPr>
      <w:tc>
        <w:tcPr>
          <w:tcW w:w="7678" w:type="dxa"/>
          <w:shd w:val="clear" w:color="auto" w:fill="auto"/>
        </w:tcPr>
        <w:p w14:paraId="408B18D9" w14:textId="77777777" w:rsidR="003641CC" w:rsidRDefault="003641CC" w:rsidP="00971914"/>
      </w:tc>
    </w:tr>
  </w:tbl>
  <w:p w14:paraId="7A0B329B" w14:textId="77777777" w:rsidR="003641CC" w:rsidRPr="00A5474E" w:rsidRDefault="003641CC"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2D279C" w14:textId="77777777" w:rsidR="003641CC" w:rsidRDefault="003641C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4314F4" w14:textId="77777777" w:rsidR="003641CC" w:rsidRDefault="003641C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68D889" w14:textId="77777777" w:rsidR="003641CC" w:rsidRDefault="003641C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6E10F" w14:textId="77777777" w:rsidR="003641CC" w:rsidRDefault="003641C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37C92AE"/>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15:restartNumberingAfterBreak="0">
    <w:nsid w:val="FFFFFF83"/>
    <w:multiLevelType w:val="singleLevel"/>
    <w:tmpl w:val="3E303AD8"/>
    <w:lvl w:ilvl="0">
      <w:start w:val="1"/>
      <w:numFmt w:val="bullet"/>
      <w:lvlText w:val="&gt;"/>
      <w:lvlJc w:val="left"/>
      <w:pPr>
        <w:tabs>
          <w:tab w:val="num" w:pos="845"/>
        </w:tabs>
        <w:ind w:left="845" w:hanging="544"/>
      </w:pPr>
      <w:rPr>
        <w:rFonts w:ascii="HelveticaNeueLT Std Lt" w:hAnsi="HelveticaNeueLT Std Lt" w:hint="default"/>
        <w:sz w:val="20"/>
      </w:rPr>
    </w:lvl>
  </w:abstractNum>
  <w:abstractNum w:abstractNumId="3" w15:restartNumberingAfterBreak="0">
    <w:nsid w:val="FFFFFF88"/>
    <w:multiLevelType w:val="singleLevel"/>
    <w:tmpl w:val="1F881BE0"/>
    <w:lvl w:ilvl="0">
      <w:start w:val="1"/>
      <w:numFmt w:val="decimal"/>
      <w:pStyle w:val="ListNumber"/>
      <w:lvlText w:val="%1."/>
      <w:lvlJc w:val="left"/>
      <w:pPr>
        <w:ind w:left="360" w:hanging="360"/>
      </w:pPr>
      <w:rPr>
        <w:rFonts w:hint="default"/>
        <w:caps/>
        <w:sz w:val="20"/>
      </w:rPr>
    </w:lvl>
  </w:abstractNum>
  <w:abstractNum w:abstractNumId="4" w15:restartNumberingAfterBreak="0">
    <w:nsid w:val="FFFFFF89"/>
    <w:multiLevelType w:val="singleLevel"/>
    <w:tmpl w:val="22C6873E"/>
    <w:lvl w:ilvl="0">
      <w:start w:val="1"/>
      <w:numFmt w:val="bullet"/>
      <w:lvlText w:val="&gt;"/>
      <w:lvlJc w:val="left"/>
      <w:pPr>
        <w:tabs>
          <w:tab w:val="num" w:pos="295"/>
        </w:tabs>
        <w:ind w:left="295" w:hanging="295"/>
      </w:pPr>
      <w:rPr>
        <w:rFonts w:ascii="HelveticaNeueLT Std Lt" w:hAnsi="HelveticaNeueLT Std Lt" w:hint="default"/>
        <w:sz w:val="20"/>
      </w:rPr>
    </w:lvl>
  </w:abstractNum>
  <w:abstractNum w:abstractNumId="5" w15:restartNumberingAfterBreak="0">
    <w:nsid w:val="018741EB"/>
    <w:multiLevelType w:val="hybridMultilevel"/>
    <w:tmpl w:val="85F4720E"/>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26504F6"/>
    <w:multiLevelType w:val="hybridMultilevel"/>
    <w:tmpl w:val="021C51E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02E369EE"/>
    <w:multiLevelType w:val="hybridMultilevel"/>
    <w:tmpl w:val="2720719E"/>
    <w:lvl w:ilvl="0" w:tplc="0C090019">
      <w:start w:val="4"/>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A1D1AC3"/>
    <w:multiLevelType w:val="hybridMultilevel"/>
    <w:tmpl w:val="BF9660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0BB02F3"/>
    <w:multiLevelType w:val="hybridMultilevel"/>
    <w:tmpl w:val="AD668E88"/>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2AA287F"/>
    <w:multiLevelType w:val="hybridMultilevel"/>
    <w:tmpl w:val="7E527770"/>
    <w:lvl w:ilvl="0" w:tplc="44EEC084">
      <w:start w:val="1"/>
      <w:numFmt w:val="bullet"/>
      <w:lvlText w:val="&gt;"/>
      <w:lvlJc w:val="left"/>
      <w:pPr>
        <w:ind w:left="360" w:hanging="360"/>
      </w:pPr>
      <w:rPr>
        <w:rFonts w:ascii="HelveticaNeueLT Std" w:hAnsi="HelveticaNeueLT Std" w:hint="default"/>
      </w:rPr>
    </w:lvl>
    <w:lvl w:ilvl="1" w:tplc="55F2986E">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3960800"/>
    <w:multiLevelType w:val="hybridMultilevel"/>
    <w:tmpl w:val="A138566A"/>
    <w:lvl w:ilvl="0" w:tplc="691CE742">
      <w:start w:val="1"/>
      <w:numFmt w:val="decimal"/>
      <w:lvlText w:val="%1."/>
      <w:lvlJc w:val="left"/>
      <w:pPr>
        <w:ind w:left="644" w:hanging="360"/>
      </w:pPr>
      <w:rPr>
        <w:rFonts w:hint="default"/>
        <w:b/>
      </w:rPr>
    </w:lvl>
    <w:lvl w:ilvl="1" w:tplc="0C090019">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2" w15:restartNumberingAfterBreak="0">
    <w:nsid w:val="1D893D31"/>
    <w:multiLevelType w:val="hybridMultilevel"/>
    <w:tmpl w:val="9C865894"/>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1DC2982"/>
    <w:multiLevelType w:val="hybridMultilevel"/>
    <w:tmpl w:val="495A74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304C1825"/>
    <w:multiLevelType w:val="hybridMultilevel"/>
    <w:tmpl w:val="FFE496A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33A921E1"/>
    <w:multiLevelType w:val="hybridMultilevel"/>
    <w:tmpl w:val="B77A6C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7BA0B5A"/>
    <w:multiLevelType w:val="hybridMultilevel"/>
    <w:tmpl w:val="2EBEBF02"/>
    <w:lvl w:ilvl="0" w:tplc="93F6BA42">
      <w:start w:val="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ADB2569"/>
    <w:multiLevelType w:val="hybridMultilevel"/>
    <w:tmpl w:val="C422D01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02E64CC"/>
    <w:multiLevelType w:val="hybridMultilevel"/>
    <w:tmpl w:val="811A30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4EE2C14"/>
    <w:multiLevelType w:val="hybridMultilevel"/>
    <w:tmpl w:val="8C7A9982"/>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57C56F5"/>
    <w:multiLevelType w:val="hybridMultilevel"/>
    <w:tmpl w:val="8F0431A6"/>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5F16E81"/>
    <w:multiLevelType w:val="hybridMultilevel"/>
    <w:tmpl w:val="A3BAC3EC"/>
    <w:lvl w:ilvl="0" w:tplc="44EEC084">
      <w:start w:val="1"/>
      <w:numFmt w:val="bullet"/>
      <w:lvlText w:val="&gt;"/>
      <w:lvlJc w:val="left"/>
      <w:pPr>
        <w:ind w:left="360" w:hanging="360"/>
      </w:pPr>
      <w:rPr>
        <w:rFonts w:ascii="HelveticaNeueLT Std" w:hAnsi="HelveticaNeueLT Std" w:hint="default"/>
      </w:rPr>
    </w:lvl>
    <w:lvl w:ilvl="1" w:tplc="55F2986E">
      <w:start w:val="1"/>
      <w:numFmt w:val="bullet"/>
      <w:lvlText w:val=""/>
      <w:lvlJc w:val="left"/>
      <w:pPr>
        <w:ind w:left="1080" w:hanging="360"/>
      </w:pPr>
      <w:rPr>
        <w:rFonts w:ascii="Symbol" w:hAnsi="Symbol"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468061D2"/>
    <w:multiLevelType w:val="hybridMultilevel"/>
    <w:tmpl w:val="789ECE2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4D5D265B"/>
    <w:multiLevelType w:val="hybridMultilevel"/>
    <w:tmpl w:val="B1DCEC70"/>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5" w15:restartNumberingAfterBreak="0">
    <w:nsid w:val="4EAE3E61"/>
    <w:multiLevelType w:val="hybridMultilevel"/>
    <w:tmpl w:val="A134E97A"/>
    <w:lvl w:ilvl="0" w:tplc="691CE742">
      <w:start w:val="1"/>
      <w:numFmt w:val="decimal"/>
      <w:lvlText w:val="%1."/>
      <w:lvlJc w:val="left"/>
      <w:pPr>
        <w:ind w:left="360" w:hanging="360"/>
      </w:pPr>
      <w:rPr>
        <w:rFonts w:hint="default"/>
        <w:b/>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15:restartNumberingAfterBreak="0">
    <w:nsid w:val="4EC936E3"/>
    <w:multiLevelType w:val="hybridMultilevel"/>
    <w:tmpl w:val="BBAE8292"/>
    <w:lvl w:ilvl="0" w:tplc="96304CA4">
      <w:start w:val="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4296997"/>
    <w:multiLevelType w:val="hybridMultilevel"/>
    <w:tmpl w:val="3B92C5F6"/>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4B917E0"/>
    <w:multiLevelType w:val="hybridMultilevel"/>
    <w:tmpl w:val="618A732A"/>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5AA176A"/>
    <w:multiLevelType w:val="hybridMultilevel"/>
    <w:tmpl w:val="DA626056"/>
    <w:lvl w:ilvl="0" w:tplc="55F2986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81312AB"/>
    <w:multiLevelType w:val="hybridMultilevel"/>
    <w:tmpl w:val="C984878C"/>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88A60A6"/>
    <w:multiLevelType w:val="hybridMultilevel"/>
    <w:tmpl w:val="789ECE2C"/>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3" w15:restartNumberingAfterBreak="0">
    <w:nsid w:val="5CA90871"/>
    <w:multiLevelType w:val="hybridMultilevel"/>
    <w:tmpl w:val="EF309C08"/>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15077E9"/>
    <w:multiLevelType w:val="hybridMultilevel"/>
    <w:tmpl w:val="F73445C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5071478"/>
    <w:multiLevelType w:val="hybridMultilevel"/>
    <w:tmpl w:val="BFF21A66"/>
    <w:lvl w:ilvl="0" w:tplc="0174FCFC">
      <w:start w:val="1"/>
      <w:numFmt w:val="decimal"/>
      <w:pStyle w:val="ACMAFigureHeader"/>
      <w:lvlText w:val="Figure %1: "/>
      <w:lvlJc w:val="left"/>
      <w:pPr>
        <w:tabs>
          <w:tab w:val="num" w:pos="1021"/>
        </w:tabs>
        <w:ind w:left="1021" w:hanging="1021"/>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66B59E8"/>
    <w:multiLevelType w:val="hybridMultilevel"/>
    <w:tmpl w:val="BD7027BA"/>
    <w:lvl w:ilvl="0" w:tplc="55F2986E">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9F776BF"/>
    <w:multiLevelType w:val="hybridMultilevel"/>
    <w:tmpl w:val="B11C1B02"/>
    <w:lvl w:ilvl="0" w:tplc="44EEC084">
      <w:start w:val="1"/>
      <w:numFmt w:val="bullet"/>
      <w:lvlText w:val="&gt;"/>
      <w:lvlJc w:val="left"/>
      <w:pPr>
        <w:ind w:left="360" w:hanging="360"/>
      </w:pPr>
      <w:rPr>
        <w:rFonts w:ascii="HelveticaNeueLT Std" w:hAnsi="HelveticaNeueLT Std" w:hint="default"/>
      </w:rPr>
    </w:lvl>
    <w:lvl w:ilvl="1" w:tplc="3E303AD8">
      <w:start w:val="1"/>
      <w:numFmt w:val="bullet"/>
      <w:lvlText w:val="&gt;"/>
      <w:lvlJc w:val="left"/>
      <w:pPr>
        <w:ind w:left="1080" w:hanging="360"/>
      </w:pPr>
      <w:rPr>
        <w:rFonts w:ascii="HelveticaNeueLT Std Lt" w:hAnsi="HelveticaNeueLT Std Lt" w:hint="default"/>
        <w:sz w:val="20"/>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6BC37294"/>
    <w:multiLevelType w:val="hybridMultilevel"/>
    <w:tmpl w:val="C8A04BF4"/>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CCD412C"/>
    <w:multiLevelType w:val="hybridMultilevel"/>
    <w:tmpl w:val="FED004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F682FDE"/>
    <w:multiLevelType w:val="hybridMultilevel"/>
    <w:tmpl w:val="3C4203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FA5653D"/>
    <w:multiLevelType w:val="hybridMultilevel"/>
    <w:tmpl w:val="35D0FDAA"/>
    <w:lvl w:ilvl="0" w:tplc="749AADFC">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15:restartNumberingAfterBreak="0">
    <w:nsid w:val="70E41B3F"/>
    <w:multiLevelType w:val="hybridMultilevel"/>
    <w:tmpl w:val="07E67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2101469"/>
    <w:multiLevelType w:val="hybridMultilevel"/>
    <w:tmpl w:val="03DC80B4"/>
    <w:lvl w:ilvl="0" w:tplc="0C090001">
      <w:start w:val="1"/>
      <w:numFmt w:val="bullet"/>
      <w:lvlText w:val=""/>
      <w:lvlJc w:val="left"/>
      <w:pPr>
        <w:tabs>
          <w:tab w:val="num" w:pos="1920"/>
        </w:tabs>
        <w:ind w:left="1920" w:hanging="360"/>
      </w:pPr>
      <w:rPr>
        <w:rFonts w:ascii="Symbol" w:hAnsi="Symbol" w:hint="default"/>
      </w:rPr>
    </w:lvl>
    <w:lvl w:ilvl="1" w:tplc="0C090003">
      <w:start w:val="1"/>
      <w:numFmt w:val="bullet"/>
      <w:lvlText w:val="o"/>
      <w:lvlJc w:val="left"/>
      <w:pPr>
        <w:tabs>
          <w:tab w:val="num" w:pos="1506"/>
        </w:tabs>
        <w:ind w:left="1506" w:hanging="360"/>
      </w:pPr>
      <w:rPr>
        <w:rFonts w:ascii="Courier New" w:hAnsi="Courier New" w:cs="Courier New" w:hint="default"/>
      </w:rPr>
    </w:lvl>
    <w:lvl w:ilvl="2" w:tplc="0C090005">
      <w:start w:val="1"/>
      <w:numFmt w:val="bullet"/>
      <w:lvlText w:val=""/>
      <w:lvlJc w:val="left"/>
      <w:pPr>
        <w:tabs>
          <w:tab w:val="num" w:pos="2226"/>
        </w:tabs>
        <w:ind w:left="2226" w:hanging="360"/>
      </w:pPr>
      <w:rPr>
        <w:rFonts w:ascii="Wingdings" w:hAnsi="Wingdings" w:hint="default"/>
      </w:rPr>
    </w:lvl>
    <w:lvl w:ilvl="3" w:tplc="0C090001" w:tentative="1">
      <w:start w:val="1"/>
      <w:numFmt w:val="bullet"/>
      <w:lvlText w:val=""/>
      <w:lvlJc w:val="left"/>
      <w:pPr>
        <w:tabs>
          <w:tab w:val="num" w:pos="2946"/>
        </w:tabs>
        <w:ind w:left="2946" w:hanging="360"/>
      </w:pPr>
      <w:rPr>
        <w:rFonts w:ascii="Symbol" w:hAnsi="Symbol" w:hint="default"/>
      </w:rPr>
    </w:lvl>
    <w:lvl w:ilvl="4" w:tplc="0C090003" w:tentative="1">
      <w:start w:val="1"/>
      <w:numFmt w:val="bullet"/>
      <w:lvlText w:val="o"/>
      <w:lvlJc w:val="left"/>
      <w:pPr>
        <w:tabs>
          <w:tab w:val="num" w:pos="3666"/>
        </w:tabs>
        <w:ind w:left="3666" w:hanging="360"/>
      </w:pPr>
      <w:rPr>
        <w:rFonts w:ascii="Courier New" w:hAnsi="Courier New" w:cs="Courier New" w:hint="default"/>
      </w:rPr>
    </w:lvl>
    <w:lvl w:ilvl="5" w:tplc="0C090005" w:tentative="1">
      <w:start w:val="1"/>
      <w:numFmt w:val="bullet"/>
      <w:lvlText w:val=""/>
      <w:lvlJc w:val="left"/>
      <w:pPr>
        <w:tabs>
          <w:tab w:val="num" w:pos="4386"/>
        </w:tabs>
        <w:ind w:left="4386" w:hanging="360"/>
      </w:pPr>
      <w:rPr>
        <w:rFonts w:ascii="Wingdings" w:hAnsi="Wingdings" w:hint="default"/>
      </w:rPr>
    </w:lvl>
    <w:lvl w:ilvl="6" w:tplc="0C090001" w:tentative="1">
      <w:start w:val="1"/>
      <w:numFmt w:val="bullet"/>
      <w:lvlText w:val=""/>
      <w:lvlJc w:val="left"/>
      <w:pPr>
        <w:tabs>
          <w:tab w:val="num" w:pos="5106"/>
        </w:tabs>
        <w:ind w:left="5106" w:hanging="360"/>
      </w:pPr>
      <w:rPr>
        <w:rFonts w:ascii="Symbol" w:hAnsi="Symbol" w:hint="default"/>
      </w:rPr>
    </w:lvl>
    <w:lvl w:ilvl="7" w:tplc="0C090003" w:tentative="1">
      <w:start w:val="1"/>
      <w:numFmt w:val="bullet"/>
      <w:lvlText w:val="o"/>
      <w:lvlJc w:val="left"/>
      <w:pPr>
        <w:tabs>
          <w:tab w:val="num" w:pos="5826"/>
        </w:tabs>
        <w:ind w:left="5826" w:hanging="360"/>
      </w:pPr>
      <w:rPr>
        <w:rFonts w:ascii="Courier New" w:hAnsi="Courier New" w:cs="Courier New" w:hint="default"/>
      </w:rPr>
    </w:lvl>
    <w:lvl w:ilvl="8" w:tplc="0C090005" w:tentative="1">
      <w:start w:val="1"/>
      <w:numFmt w:val="bullet"/>
      <w:lvlText w:val=""/>
      <w:lvlJc w:val="left"/>
      <w:pPr>
        <w:tabs>
          <w:tab w:val="num" w:pos="6546"/>
        </w:tabs>
        <w:ind w:left="6546" w:hanging="360"/>
      </w:pPr>
      <w:rPr>
        <w:rFonts w:ascii="Wingdings" w:hAnsi="Wingdings" w:hint="default"/>
      </w:rPr>
    </w:lvl>
  </w:abstractNum>
  <w:abstractNum w:abstractNumId="46" w15:restartNumberingAfterBreak="0">
    <w:nsid w:val="755B7914"/>
    <w:multiLevelType w:val="hybridMultilevel"/>
    <w:tmpl w:val="85940D40"/>
    <w:lvl w:ilvl="0" w:tplc="3E303AD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7" w15:restartNumberingAfterBreak="0">
    <w:nsid w:val="77C80564"/>
    <w:multiLevelType w:val="hybridMultilevel"/>
    <w:tmpl w:val="F2F06E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7B2E7903"/>
    <w:multiLevelType w:val="hybridMultilevel"/>
    <w:tmpl w:val="6F327356"/>
    <w:lvl w:ilvl="0" w:tplc="44EEC084">
      <w:start w:val="1"/>
      <w:numFmt w:val="bullet"/>
      <w:lvlText w:val="&gt;"/>
      <w:lvlJc w:val="left"/>
      <w:pPr>
        <w:ind w:left="776" w:hanging="360"/>
      </w:pPr>
      <w:rPr>
        <w:rFonts w:ascii="HelveticaNeueLT Std" w:hAnsi="HelveticaNeueLT Std"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49" w15:restartNumberingAfterBreak="0">
    <w:nsid w:val="7D2C577D"/>
    <w:multiLevelType w:val="hybridMultilevel"/>
    <w:tmpl w:val="A138566A"/>
    <w:lvl w:ilvl="0" w:tplc="691CE742">
      <w:start w:val="1"/>
      <w:numFmt w:val="decimal"/>
      <w:lvlText w:val="%1."/>
      <w:lvlJc w:val="left"/>
      <w:pPr>
        <w:ind w:left="360" w:hanging="360"/>
      </w:pPr>
      <w:rPr>
        <w:rFonts w:hint="default"/>
        <w:b/>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4"/>
  </w:num>
  <w:num w:numId="2">
    <w:abstractNumId w:val="2"/>
  </w:num>
  <w:num w:numId="3">
    <w:abstractNumId w:val="3"/>
  </w:num>
  <w:num w:numId="4">
    <w:abstractNumId w:val="1"/>
  </w:num>
  <w:num w:numId="5">
    <w:abstractNumId w:val="14"/>
  </w:num>
  <w:num w:numId="6">
    <w:abstractNumId w:val="36"/>
  </w:num>
  <w:num w:numId="7">
    <w:abstractNumId w:val="30"/>
  </w:num>
  <w:num w:numId="8">
    <w:abstractNumId w:val="35"/>
  </w:num>
  <w:num w:numId="9">
    <w:abstractNumId w:val="41"/>
  </w:num>
  <w:num w:numId="10">
    <w:abstractNumId w:val="6"/>
  </w:num>
  <w:num w:numId="11">
    <w:abstractNumId w:val="4"/>
  </w:num>
  <w:num w:numId="12">
    <w:abstractNumId w:val="36"/>
  </w:num>
  <w:num w:numId="13">
    <w:abstractNumId w:val="3"/>
    <w:lvlOverride w:ilvl="0">
      <w:startOverride w:val="1"/>
    </w:lvlOverride>
  </w:num>
  <w:num w:numId="14">
    <w:abstractNumId w:val="24"/>
  </w:num>
  <w:num w:numId="15">
    <w:abstractNumId w:val="40"/>
  </w:num>
  <w:num w:numId="16">
    <w:abstractNumId w:val="45"/>
  </w:num>
  <w:num w:numId="17">
    <w:abstractNumId w:val="43"/>
  </w:num>
  <w:num w:numId="18">
    <w:abstractNumId w:val="22"/>
  </w:num>
  <w:num w:numId="19">
    <w:abstractNumId w:val="39"/>
  </w:num>
  <w:num w:numId="20">
    <w:abstractNumId w:val="11"/>
  </w:num>
  <w:num w:numId="21">
    <w:abstractNumId w:val="20"/>
  </w:num>
  <w:num w:numId="22">
    <w:abstractNumId w:val="10"/>
  </w:num>
  <w:num w:numId="23">
    <w:abstractNumId w:val="48"/>
  </w:num>
  <w:num w:numId="24">
    <w:abstractNumId w:val="4"/>
  </w:num>
  <w:num w:numId="25">
    <w:abstractNumId w:val="21"/>
  </w:num>
  <w:num w:numId="2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num>
  <w:num w:numId="28">
    <w:abstractNumId w:val="12"/>
  </w:num>
  <w:num w:numId="29">
    <w:abstractNumId w:val="33"/>
  </w:num>
  <w:num w:numId="30">
    <w:abstractNumId w:val="28"/>
  </w:num>
  <w:num w:numId="31">
    <w:abstractNumId w:val="38"/>
  </w:num>
  <w:num w:numId="32">
    <w:abstractNumId w:val="8"/>
  </w:num>
  <w:num w:numId="33">
    <w:abstractNumId w:val="31"/>
  </w:num>
  <w:num w:numId="34">
    <w:abstractNumId w:val="25"/>
  </w:num>
  <w:num w:numId="35">
    <w:abstractNumId w:val="3"/>
    <w:lvlOverride w:ilvl="0">
      <w:startOverride w:val="1"/>
    </w:lvlOverride>
  </w:num>
  <w:num w:numId="36">
    <w:abstractNumId w:val="15"/>
  </w:num>
  <w:num w:numId="37">
    <w:abstractNumId w:val="34"/>
  </w:num>
  <w:num w:numId="38">
    <w:abstractNumId w:val="30"/>
  </w:num>
  <w:num w:numId="39">
    <w:abstractNumId w:val="30"/>
  </w:num>
  <w:num w:numId="40">
    <w:abstractNumId w:val="30"/>
  </w:num>
  <w:num w:numId="41">
    <w:abstractNumId w:val="9"/>
  </w:num>
  <w:num w:numId="42">
    <w:abstractNumId w:val="37"/>
  </w:num>
  <w:num w:numId="43">
    <w:abstractNumId w:val="27"/>
  </w:num>
  <w:num w:numId="44">
    <w:abstractNumId w:val="36"/>
  </w:num>
  <w:num w:numId="45">
    <w:abstractNumId w:val="46"/>
  </w:num>
  <w:num w:numId="46">
    <w:abstractNumId w:val="47"/>
  </w:num>
  <w:num w:numId="47">
    <w:abstractNumId w:val="42"/>
  </w:num>
  <w:num w:numId="48">
    <w:abstractNumId w:val="36"/>
    <w:lvlOverride w:ilvl="0">
      <w:startOverride w:val="1"/>
    </w:lvlOverride>
  </w:num>
  <w:num w:numId="4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3"/>
  </w:num>
  <w:num w:numId="51">
    <w:abstractNumId w:val="16"/>
  </w:num>
  <w:num w:numId="52">
    <w:abstractNumId w:val="44"/>
  </w:num>
  <w:num w:numId="53">
    <w:abstractNumId w:val="19"/>
  </w:num>
  <w:num w:numId="54">
    <w:abstractNumId w:val="5"/>
  </w:num>
  <w:num w:numId="55">
    <w:abstractNumId w:val="29"/>
  </w:num>
  <w:num w:numId="56">
    <w:abstractNumId w:val="7"/>
  </w:num>
  <w:num w:numId="57">
    <w:abstractNumId w:val="26"/>
  </w:num>
  <w:num w:numId="58">
    <w:abstractNumId w:val="17"/>
  </w:num>
  <w:num w:numId="59">
    <w:abstractNumId w:val="36"/>
  </w:num>
  <w:num w:numId="60">
    <w:abstractNumId w:val="30"/>
  </w:num>
  <w:num w:numId="61">
    <w:abstractNumId w:val="32"/>
  </w:num>
  <w:num w:numId="62">
    <w:abstractNumId w:val="49"/>
  </w:num>
  <w:num w:numId="63">
    <w:abstractNumId w:val="36"/>
  </w:num>
  <w:num w:numId="64">
    <w:abstractNumId w:val="23"/>
  </w:num>
  <w:num w:numId="65">
    <w:abstractNumId w:val="36"/>
    <w:lvlOverride w:ilvl="0">
      <w:startOverride w:val="1"/>
    </w:lvlOverride>
  </w:num>
  <w:num w:numId="66">
    <w:abstractNumId w:val="0"/>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662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3AC0"/>
    <w:rsid w:val="00000D74"/>
    <w:rsid w:val="000038C0"/>
    <w:rsid w:val="000061B8"/>
    <w:rsid w:val="00006823"/>
    <w:rsid w:val="00010667"/>
    <w:rsid w:val="00010CE4"/>
    <w:rsid w:val="000129D5"/>
    <w:rsid w:val="00015AE7"/>
    <w:rsid w:val="0001627B"/>
    <w:rsid w:val="00016E21"/>
    <w:rsid w:val="0001719C"/>
    <w:rsid w:val="00017FDB"/>
    <w:rsid w:val="00020F8A"/>
    <w:rsid w:val="0002224E"/>
    <w:rsid w:val="00023CD6"/>
    <w:rsid w:val="000247BA"/>
    <w:rsid w:val="00024B68"/>
    <w:rsid w:val="00026F91"/>
    <w:rsid w:val="0003047D"/>
    <w:rsid w:val="00030772"/>
    <w:rsid w:val="00030AB6"/>
    <w:rsid w:val="00030E51"/>
    <w:rsid w:val="00032E2C"/>
    <w:rsid w:val="00032ECB"/>
    <w:rsid w:val="000330F1"/>
    <w:rsid w:val="00035639"/>
    <w:rsid w:val="000361C6"/>
    <w:rsid w:val="00036D0B"/>
    <w:rsid w:val="000418DD"/>
    <w:rsid w:val="00042FBD"/>
    <w:rsid w:val="00045263"/>
    <w:rsid w:val="0004764C"/>
    <w:rsid w:val="0004792D"/>
    <w:rsid w:val="0005011A"/>
    <w:rsid w:val="00050293"/>
    <w:rsid w:val="0005045A"/>
    <w:rsid w:val="00051C1E"/>
    <w:rsid w:val="000539F9"/>
    <w:rsid w:val="0005402E"/>
    <w:rsid w:val="000548A2"/>
    <w:rsid w:val="00054C27"/>
    <w:rsid w:val="00055EC3"/>
    <w:rsid w:val="000563CE"/>
    <w:rsid w:val="00056519"/>
    <w:rsid w:val="00056837"/>
    <w:rsid w:val="00057DFD"/>
    <w:rsid w:val="00061891"/>
    <w:rsid w:val="00062114"/>
    <w:rsid w:val="0006366A"/>
    <w:rsid w:val="000659B6"/>
    <w:rsid w:val="00065BE1"/>
    <w:rsid w:val="0006686F"/>
    <w:rsid w:val="0006722A"/>
    <w:rsid w:val="000700F1"/>
    <w:rsid w:val="0007057E"/>
    <w:rsid w:val="00071EEA"/>
    <w:rsid w:val="00072264"/>
    <w:rsid w:val="000732CF"/>
    <w:rsid w:val="00073F5F"/>
    <w:rsid w:val="0007463F"/>
    <w:rsid w:val="000748A9"/>
    <w:rsid w:val="00075B96"/>
    <w:rsid w:val="00077F63"/>
    <w:rsid w:val="000814E8"/>
    <w:rsid w:val="0008196A"/>
    <w:rsid w:val="00083A77"/>
    <w:rsid w:val="00083C77"/>
    <w:rsid w:val="00087598"/>
    <w:rsid w:val="000907E3"/>
    <w:rsid w:val="0009112D"/>
    <w:rsid w:val="000915ED"/>
    <w:rsid w:val="0009209D"/>
    <w:rsid w:val="000921CF"/>
    <w:rsid w:val="00092ACB"/>
    <w:rsid w:val="000969BD"/>
    <w:rsid w:val="000969BF"/>
    <w:rsid w:val="000A0C22"/>
    <w:rsid w:val="000A0E4B"/>
    <w:rsid w:val="000A1400"/>
    <w:rsid w:val="000A367B"/>
    <w:rsid w:val="000A3C43"/>
    <w:rsid w:val="000A44DF"/>
    <w:rsid w:val="000A4A51"/>
    <w:rsid w:val="000A5D2B"/>
    <w:rsid w:val="000A6516"/>
    <w:rsid w:val="000A7DD7"/>
    <w:rsid w:val="000B32BC"/>
    <w:rsid w:val="000B458D"/>
    <w:rsid w:val="000B4728"/>
    <w:rsid w:val="000B49BB"/>
    <w:rsid w:val="000B58A8"/>
    <w:rsid w:val="000B5DE3"/>
    <w:rsid w:val="000B728E"/>
    <w:rsid w:val="000C0A57"/>
    <w:rsid w:val="000C0BF0"/>
    <w:rsid w:val="000C230C"/>
    <w:rsid w:val="000C6AB4"/>
    <w:rsid w:val="000C7354"/>
    <w:rsid w:val="000D2389"/>
    <w:rsid w:val="000D329C"/>
    <w:rsid w:val="000D34E3"/>
    <w:rsid w:val="000D5524"/>
    <w:rsid w:val="000D71D9"/>
    <w:rsid w:val="000D76E0"/>
    <w:rsid w:val="000D7E8B"/>
    <w:rsid w:val="000E1EA5"/>
    <w:rsid w:val="000E4449"/>
    <w:rsid w:val="000E543A"/>
    <w:rsid w:val="000E6097"/>
    <w:rsid w:val="000E7DB2"/>
    <w:rsid w:val="000E7EBA"/>
    <w:rsid w:val="000F030B"/>
    <w:rsid w:val="000F2A6F"/>
    <w:rsid w:val="000F49C6"/>
    <w:rsid w:val="000F68FA"/>
    <w:rsid w:val="000F7FC0"/>
    <w:rsid w:val="00100816"/>
    <w:rsid w:val="00101749"/>
    <w:rsid w:val="001018E1"/>
    <w:rsid w:val="00102E77"/>
    <w:rsid w:val="00103829"/>
    <w:rsid w:val="001046D2"/>
    <w:rsid w:val="00104BD6"/>
    <w:rsid w:val="00106297"/>
    <w:rsid w:val="00107ADB"/>
    <w:rsid w:val="00107C5B"/>
    <w:rsid w:val="00111FCE"/>
    <w:rsid w:val="00112BA8"/>
    <w:rsid w:val="001148AC"/>
    <w:rsid w:val="001163B8"/>
    <w:rsid w:val="001168CE"/>
    <w:rsid w:val="00116A99"/>
    <w:rsid w:val="00117DBE"/>
    <w:rsid w:val="00122289"/>
    <w:rsid w:val="001229A5"/>
    <w:rsid w:val="0012415D"/>
    <w:rsid w:val="0012489B"/>
    <w:rsid w:val="00124BDA"/>
    <w:rsid w:val="00125879"/>
    <w:rsid w:val="00130017"/>
    <w:rsid w:val="00130F91"/>
    <w:rsid w:val="001337A2"/>
    <w:rsid w:val="001349ED"/>
    <w:rsid w:val="0013619C"/>
    <w:rsid w:val="00136299"/>
    <w:rsid w:val="001370C5"/>
    <w:rsid w:val="00137424"/>
    <w:rsid w:val="00140318"/>
    <w:rsid w:val="001417AF"/>
    <w:rsid w:val="001419F6"/>
    <w:rsid w:val="00141AD9"/>
    <w:rsid w:val="001451D4"/>
    <w:rsid w:val="00146CE6"/>
    <w:rsid w:val="00152903"/>
    <w:rsid w:val="00153DE3"/>
    <w:rsid w:val="00153FD5"/>
    <w:rsid w:val="0015614F"/>
    <w:rsid w:val="001564CB"/>
    <w:rsid w:val="001577C2"/>
    <w:rsid w:val="0016067F"/>
    <w:rsid w:val="00160DE8"/>
    <w:rsid w:val="0016241E"/>
    <w:rsid w:val="00162877"/>
    <w:rsid w:val="00163077"/>
    <w:rsid w:val="00163290"/>
    <w:rsid w:val="001633C4"/>
    <w:rsid w:val="001639FD"/>
    <w:rsid w:val="00163FE9"/>
    <w:rsid w:val="0016713C"/>
    <w:rsid w:val="001704D5"/>
    <w:rsid w:val="00170F60"/>
    <w:rsid w:val="00171591"/>
    <w:rsid w:val="00172475"/>
    <w:rsid w:val="001726C5"/>
    <w:rsid w:val="00173981"/>
    <w:rsid w:val="001742D6"/>
    <w:rsid w:val="001748A9"/>
    <w:rsid w:val="00176A74"/>
    <w:rsid w:val="0017719D"/>
    <w:rsid w:val="001822B6"/>
    <w:rsid w:val="00183668"/>
    <w:rsid w:val="00183FD7"/>
    <w:rsid w:val="001856BB"/>
    <w:rsid w:val="00185CAB"/>
    <w:rsid w:val="001868BA"/>
    <w:rsid w:val="001875B7"/>
    <w:rsid w:val="00187CB3"/>
    <w:rsid w:val="00190213"/>
    <w:rsid w:val="0019050A"/>
    <w:rsid w:val="001910D4"/>
    <w:rsid w:val="0019222E"/>
    <w:rsid w:val="00193AC9"/>
    <w:rsid w:val="00196AFB"/>
    <w:rsid w:val="001976E3"/>
    <w:rsid w:val="001A1FF1"/>
    <w:rsid w:val="001A2FB1"/>
    <w:rsid w:val="001A381E"/>
    <w:rsid w:val="001A44EC"/>
    <w:rsid w:val="001A450E"/>
    <w:rsid w:val="001A4BD5"/>
    <w:rsid w:val="001A4F7A"/>
    <w:rsid w:val="001A4FA5"/>
    <w:rsid w:val="001A51A5"/>
    <w:rsid w:val="001A5CD4"/>
    <w:rsid w:val="001B58AA"/>
    <w:rsid w:val="001B60F4"/>
    <w:rsid w:val="001B6E18"/>
    <w:rsid w:val="001B7E48"/>
    <w:rsid w:val="001C0A25"/>
    <w:rsid w:val="001C17CE"/>
    <w:rsid w:val="001C1D05"/>
    <w:rsid w:val="001C2C73"/>
    <w:rsid w:val="001C2F3E"/>
    <w:rsid w:val="001C36CA"/>
    <w:rsid w:val="001C3C95"/>
    <w:rsid w:val="001C3D99"/>
    <w:rsid w:val="001C44D1"/>
    <w:rsid w:val="001C556A"/>
    <w:rsid w:val="001C6A31"/>
    <w:rsid w:val="001C6AEE"/>
    <w:rsid w:val="001C7630"/>
    <w:rsid w:val="001D0344"/>
    <w:rsid w:val="001D21D1"/>
    <w:rsid w:val="001D2A74"/>
    <w:rsid w:val="001D4308"/>
    <w:rsid w:val="001D6D15"/>
    <w:rsid w:val="001D74FD"/>
    <w:rsid w:val="001D7F8C"/>
    <w:rsid w:val="001D7FE2"/>
    <w:rsid w:val="001E02AA"/>
    <w:rsid w:val="001E5F1D"/>
    <w:rsid w:val="001E74DA"/>
    <w:rsid w:val="001F0E5D"/>
    <w:rsid w:val="001F30A8"/>
    <w:rsid w:val="001F5BDB"/>
    <w:rsid w:val="001F6D4B"/>
    <w:rsid w:val="001F7558"/>
    <w:rsid w:val="00205B57"/>
    <w:rsid w:val="00205E0B"/>
    <w:rsid w:val="00206D75"/>
    <w:rsid w:val="00210B77"/>
    <w:rsid w:val="002114BF"/>
    <w:rsid w:val="002122C0"/>
    <w:rsid w:val="00213BCF"/>
    <w:rsid w:val="002157E0"/>
    <w:rsid w:val="00216A57"/>
    <w:rsid w:val="00220207"/>
    <w:rsid w:val="0022291D"/>
    <w:rsid w:val="002230E8"/>
    <w:rsid w:val="0022334F"/>
    <w:rsid w:val="00223C27"/>
    <w:rsid w:val="00225352"/>
    <w:rsid w:val="002264FE"/>
    <w:rsid w:val="00226819"/>
    <w:rsid w:val="00226D6B"/>
    <w:rsid w:val="00232227"/>
    <w:rsid w:val="00233101"/>
    <w:rsid w:val="00233817"/>
    <w:rsid w:val="002367FF"/>
    <w:rsid w:val="002379A7"/>
    <w:rsid w:val="00240162"/>
    <w:rsid w:val="00240CE9"/>
    <w:rsid w:val="002414CF"/>
    <w:rsid w:val="0024178D"/>
    <w:rsid w:val="002434BA"/>
    <w:rsid w:val="00246089"/>
    <w:rsid w:val="00246093"/>
    <w:rsid w:val="00246702"/>
    <w:rsid w:val="00247C59"/>
    <w:rsid w:val="00247F2E"/>
    <w:rsid w:val="002507B4"/>
    <w:rsid w:val="00250ADC"/>
    <w:rsid w:val="00250B07"/>
    <w:rsid w:val="00250F89"/>
    <w:rsid w:val="00255685"/>
    <w:rsid w:val="002573BA"/>
    <w:rsid w:val="00257553"/>
    <w:rsid w:val="00257837"/>
    <w:rsid w:val="00260FB2"/>
    <w:rsid w:val="00261530"/>
    <w:rsid w:val="00262128"/>
    <w:rsid w:val="00266082"/>
    <w:rsid w:val="002660F2"/>
    <w:rsid w:val="0027165D"/>
    <w:rsid w:val="00273CEB"/>
    <w:rsid w:val="0027403F"/>
    <w:rsid w:val="00274368"/>
    <w:rsid w:val="00277D2A"/>
    <w:rsid w:val="002805DB"/>
    <w:rsid w:val="00281C89"/>
    <w:rsid w:val="0028282F"/>
    <w:rsid w:val="0028543A"/>
    <w:rsid w:val="00291409"/>
    <w:rsid w:val="002925F4"/>
    <w:rsid w:val="00295293"/>
    <w:rsid w:val="0029593B"/>
    <w:rsid w:val="00297FC5"/>
    <w:rsid w:val="002A0417"/>
    <w:rsid w:val="002A0C94"/>
    <w:rsid w:val="002A16D8"/>
    <w:rsid w:val="002A1BC8"/>
    <w:rsid w:val="002A2932"/>
    <w:rsid w:val="002A3EF2"/>
    <w:rsid w:val="002A4CA4"/>
    <w:rsid w:val="002A6CC7"/>
    <w:rsid w:val="002B0DED"/>
    <w:rsid w:val="002B1036"/>
    <w:rsid w:val="002B19A2"/>
    <w:rsid w:val="002B2D0D"/>
    <w:rsid w:val="002B381A"/>
    <w:rsid w:val="002B4FCC"/>
    <w:rsid w:val="002B5F99"/>
    <w:rsid w:val="002B7408"/>
    <w:rsid w:val="002B79EC"/>
    <w:rsid w:val="002B7CFD"/>
    <w:rsid w:val="002B7FCC"/>
    <w:rsid w:val="002C16AD"/>
    <w:rsid w:val="002C1DA3"/>
    <w:rsid w:val="002C210F"/>
    <w:rsid w:val="002C388E"/>
    <w:rsid w:val="002C3AA4"/>
    <w:rsid w:val="002C523B"/>
    <w:rsid w:val="002C523F"/>
    <w:rsid w:val="002C57D4"/>
    <w:rsid w:val="002D10A0"/>
    <w:rsid w:val="002D3600"/>
    <w:rsid w:val="002D4E11"/>
    <w:rsid w:val="002D7D0D"/>
    <w:rsid w:val="002E062C"/>
    <w:rsid w:val="002E1FF5"/>
    <w:rsid w:val="002E3141"/>
    <w:rsid w:val="002E4DDC"/>
    <w:rsid w:val="002E64F5"/>
    <w:rsid w:val="002F1B8F"/>
    <w:rsid w:val="002F2E9E"/>
    <w:rsid w:val="002F4F1A"/>
    <w:rsid w:val="002F7762"/>
    <w:rsid w:val="00300D66"/>
    <w:rsid w:val="00301163"/>
    <w:rsid w:val="00302480"/>
    <w:rsid w:val="003036BA"/>
    <w:rsid w:val="003050E6"/>
    <w:rsid w:val="00305503"/>
    <w:rsid w:val="00306CE7"/>
    <w:rsid w:val="00306F36"/>
    <w:rsid w:val="00310887"/>
    <w:rsid w:val="00314B06"/>
    <w:rsid w:val="003165E6"/>
    <w:rsid w:val="00317364"/>
    <w:rsid w:val="003209E8"/>
    <w:rsid w:val="00320F80"/>
    <w:rsid w:val="00321167"/>
    <w:rsid w:val="003215B5"/>
    <w:rsid w:val="003221CF"/>
    <w:rsid w:val="0032288D"/>
    <w:rsid w:val="003233ED"/>
    <w:rsid w:val="00323D00"/>
    <w:rsid w:val="0032438C"/>
    <w:rsid w:val="00324D9F"/>
    <w:rsid w:val="00327948"/>
    <w:rsid w:val="00327A78"/>
    <w:rsid w:val="0033000F"/>
    <w:rsid w:val="003300FA"/>
    <w:rsid w:val="00332011"/>
    <w:rsid w:val="00332518"/>
    <w:rsid w:val="00332539"/>
    <w:rsid w:val="00332925"/>
    <w:rsid w:val="00332C99"/>
    <w:rsid w:val="003332ED"/>
    <w:rsid w:val="00334688"/>
    <w:rsid w:val="00335EF9"/>
    <w:rsid w:val="003368DC"/>
    <w:rsid w:val="00345927"/>
    <w:rsid w:val="00345AD1"/>
    <w:rsid w:val="003463F1"/>
    <w:rsid w:val="003473F4"/>
    <w:rsid w:val="00347A80"/>
    <w:rsid w:val="003501AD"/>
    <w:rsid w:val="00350584"/>
    <w:rsid w:val="00350ACD"/>
    <w:rsid w:val="00350CEC"/>
    <w:rsid w:val="00350E9B"/>
    <w:rsid w:val="00351857"/>
    <w:rsid w:val="0035393B"/>
    <w:rsid w:val="003545E8"/>
    <w:rsid w:val="00357BE7"/>
    <w:rsid w:val="003610E1"/>
    <w:rsid w:val="00361FEA"/>
    <w:rsid w:val="00362BC9"/>
    <w:rsid w:val="003641CC"/>
    <w:rsid w:val="003641F5"/>
    <w:rsid w:val="00364AA2"/>
    <w:rsid w:val="0036542C"/>
    <w:rsid w:val="003671BE"/>
    <w:rsid w:val="0036743F"/>
    <w:rsid w:val="0037015C"/>
    <w:rsid w:val="00371CF7"/>
    <w:rsid w:val="00372485"/>
    <w:rsid w:val="00372DDA"/>
    <w:rsid w:val="00373200"/>
    <w:rsid w:val="00374E4B"/>
    <w:rsid w:val="00375EF5"/>
    <w:rsid w:val="003767A5"/>
    <w:rsid w:val="00380BFA"/>
    <w:rsid w:val="00381D15"/>
    <w:rsid w:val="00385254"/>
    <w:rsid w:val="00385427"/>
    <w:rsid w:val="003872A2"/>
    <w:rsid w:val="00392730"/>
    <w:rsid w:val="00397901"/>
    <w:rsid w:val="00397F67"/>
    <w:rsid w:val="003A03F1"/>
    <w:rsid w:val="003A04DB"/>
    <w:rsid w:val="003A079B"/>
    <w:rsid w:val="003A36B4"/>
    <w:rsid w:val="003A5531"/>
    <w:rsid w:val="003A5F5B"/>
    <w:rsid w:val="003A6AE7"/>
    <w:rsid w:val="003A789A"/>
    <w:rsid w:val="003B12EC"/>
    <w:rsid w:val="003B22D1"/>
    <w:rsid w:val="003B4AC9"/>
    <w:rsid w:val="003C0652"/>
    <w:rsid w:val="003C09B7"/>
    <w:rsid w:val="003C114E"/>
    <w:rsid w:val="003C1B83"/>
    <w:rsid w:val="003C4169"/>
    <w:rsid w:val="003C5923"/>
    <w:rsid w:val="003C77E0"/>
    <w:rsid w:val="003C79F4"/>
    <w:rsid w:val="003D17D7"/>
    <w:rsid w:val="003D2678"/>
    <w:rsid w:val="003D34D0"/>
    <w:rsid w:val="003D5CD2"/>
    <w:rsid w:val="003D71A3"/>
    <w:rsid w:val="003D7842"/>
    <w:rsid w:val="003E2B8A"/>
    <w:rsid w:val="003E2EB0"/>
    <w:rsid w:val="003E329D"/>
    <w:rsid w:val="003F0E49"/>
    <w:rsid w:val="003F0F84"/>
    <w:rsid w:val="003F10EE"/>
    <w:rsid w:val="003F16F6"/>
    <w:rsid w:val="003F4DC7"/>
    <w:rsid w:val="003F5235"/>
    <w:rsid w:val="003F6009"/>
    <w:rsid w:val="003F7492"/>
    <w:rsid w:val="00401C2E"/>
    <w:rsid w:val="004027E4"/>
    <w:rsid w:val="004030E0"/>
    <w:rsid w:val="00405D51"/>
    <w:rsid w:val="00410048"/>
    <w:rsid w:val="0041071D"/>
    <w:rsid w:val="00411E72"/>
    <w:rsid w:val="00413FAA"/>
    <w:rsid w:val="004141A7"/>
    <w:rsid w:val="00414AFC"/>
    <w:rsid w:val="004151A7"/>
    <w:rsid w:val="00415310"/>
    <w:rsid w:val="004167C8"/>
    <w:rsid w:val="00417359"/>
    <w:rsid w:val="004202D1"/>
    <w:rsid w:val="004207CA"/>
    <w:rsid w:val="00421709"/>
    <w:rsid w:val="00421E87"/>
    <w:rsid w:val="00423763"/>
    <w:rsid w:val="0042416F"/>
    <w:rsid w:val="0042762F"/>
    <w:rsid w:val="00427DC7"/>
    <w:rsid w:val="00430710"/>
    <w:rsid w:val="00431613"/>
    <w:rsid w:val="00431792"/>
    <w:rsid w:val="00432767"/>
    <w:rsid w:val="0043297A"/>
    <w:rsid w:val="00432EB2"/>
    <w:rsid w:val="004333AB"/>
    <w:rsid w:val="004355DF"/>
    <w:rsid w:val="0043714F"/>
    <w:rsid w:val="00441FF4"/>
    <w:rsid w:val="004438B5"/>
    <w:rsid w:val="0044635E"/>
    <w:rsid w:val="00447037"/>
    <w:rsid w:val="0045124D"/>
    <w:rsid w:val="00454596"/>
    <w:rsid w:val="00455E6C"/>
    <w:rsid w:val="0045605D"/>
    <w:rsid w:val="00456580"/>
    <w:rsid w:val="00456887"/>
    <w:rsid w:val="00457955"/>
    <w:rsid w:val="0046135B"/>
    <w:rsid w:val="00461531"/>
    <w:rsid w:val="00461D47"/>
    <w:rsid w:val="00463D5F"/>
    <w:rsid w:val="00464160"/>
    <w:rsid w:val="00465245"/>
    <w:rsid w:val="00471085"/>
    <w:rsid w:val="004718CC"/>
    <w:rsid w:val="00474060"/>
    <w:rsid w:val="0047450E"/>
    <w:rsid w:val="004747B9"/>
    <w:rsid w:val="00475C2F"/>
    <w:rsid w:val="00481695"/>
    <w:rsid w:val="00484213"/>
    <w:rsid w:val="0049081E"/>
    <w:rsid w:val="004922A4"/>
    <w:rsid w:val="00492C3F"/>
    <w:rsid w:val="00494817"/>
    <w:rsid w:val="00494B3C"/>
    <w:rsid w:val="00495A96"/>
    <w:rsid w:val="00495B06"/>
    <w:rsid w:val="00495BB3"/>
    <w:rsid w:val="004978EB"/>
    <w:rsid w:val="00497B6C"/>
    <w:rsid w:val="004A1997"/>
    <w:rsid w:val="004A1C68"/>
    <w:rsid w:val="004A2F7F"/>
    <w:rsid w:val="004A4CBA"/>
    <w:rsid w:val="004A56BB"/>
    <w:rsid w:val="004B0E50"/>
    <w:rsid w:val="004B1751"/>
    <w:rsid w:val="004B39D9"/>
    <w:rsid w:val="004B3B4F"/>
    <w:rsid w:val="004B4423"/>
    <w:rsid w:val="004B50E1"/>
    <w:rsid w:val="004B7AEB"/>
    <w:rsid w:val="004C0253"/>
    <w:rsid w:val="004C7A02"/>
    <w:rsid w:val="004D004D"/>
    <w:rsid w:val="004D0441"/>
    <w:rsid w:val="004D04B8"/>
    <w:rsid w:val="004D12BA"/>
    <w:rsid w:val="004D2C42"/>
    <w:rsid w:val="004D48E9"/>
    <w:rsid w:val="004D56FF"/>
    <w:rsid w:val="004D5B76"/>
    <w:rsid w:val="004D6BC0"/>
    <w:rsid w:val="004D799C"/>
    <w:rsid w:val="004E0254"/>
    <w:rsid w:val="004E11B7"/>
    <w:rsid w:val="004E16B0"/>
    <w:rsid w:val="004E39D3"/>
    <w:rsid w:val="004E508A"/>
    <w:rsid w:val="004E616D"/>
    <w:rsid w:val="004E7708"/>
    <w:rsid w:val="004F0A2B"/>
    <w:rsid w:val="004F13F1"/>
    <w:rsid w:val="004F1BDE"/>
    <w:rsid w:val="004F2CEE"/>
    <w:rsid w:val="004F2E05"/>
    <w:rsid w:val="004F3750"/>
    <w:rsid w:val="004F3BB9"/>
    <w:rsid w:val="004F556E"/>
    <w:rsid w:val="004F591C"/>
    <w:rsid w:val="004F61BD"/>
    <w:rsid w:val="004F7863"/>
    <w:rsid w:val="004F7F44"/>
    <w:rsid w:val="00500098"/>
    <w:rsid w:val="00500570"/>
    <w:rsid w:val="005037B4"/>
    <w:rsid w:val="005047F6"/>
    <w:rsid w:val="005070EF"/>
    <w:rsid w:val="005079BF"/>
    <w:rsid w:val="00507B33"/>
    <w:rsid w:val="00511F3C"/>
    <w:rsid w:val="0051269A"/>
    <w:rsid w:val="00512AC9"/>
    <w:rsid w:val="0051358A"/>
    <w:rsid w:val="005136DB"/>
    <w:rsid w:val="00513842"/>
    <w:rsid w:val="00516830"/>
    <w:rsid w:val="005208C7"/>
    <w:rsid w:val="005211D9"/>
    <w:rsid w:val="005212CF"/>
    <w:rsid w:val="005219E7"/>
    <w:rsid w:val="00521AD6"/>
    <w:rsid w:val="00521C8A"/>
    <w:rsid w:val="00524039"/>
    <w:rsid w:val="005306A3"/>
    <w:rsid w:val="00531B9A"/>
    <w:rsid w:val="00531D15"/>
    <w:rsid w:val="005364D9"/>
    <w:rsid w:val="00537604"/>
    <w:rsid w:val="00537793"/>
    <w:rsid w:val="005417DA"/>
    <w:rsid w:val="00542377"/>
    <w:rsid w:val="00542DC7"/>
    <w:rsid w:val="00542F0C"/>
    <w:rsid w:val="005450A7"/>
    <w:rsid w:val="00545CF0"/>
    <w:rsid w:val="0054612B"/>
    <w:rsid w:val="00547472"/>
    <w:rsid w:val="005476EB"/>
    <w:rsid w:val="00547775"/>
    <w:rsid w:val="00550C26"/>
    <w:rsid w:val="00551782"/>
    <w:rsid w:val="00553253"/>
    <w:rsid w:val="005619B4"/>
    <w:rsid w:val="005631EC"/>
    <w:rsid w:val="00563279"/>
    <w:rsid w:val="00563EF1"/>
    <w:rsid w:val="00564132"/>
    <w:rsid w:val="00565090"/>
    <w:rsid w:val="005657D8"/>
    <w:rsid w:val="005660FB"/>
    <w:rsid w:val="00566AB4"/>
    <w:rsid w:val="00571942"/>
    <w:rsid w:val="00572E09"/>
    <w:rsid w:val="0057337D"/>
    <w:rsid w:val="005735CD"/>
    <w:rsid w:val="00575AC5"/>
    <w:rsid w:val="0057605D"/>
    <w:rsid w:val="00577686"/>
    <w:rsid w:val="005777A5"/>
    <w:rsid w:val="00580358"/>
    <w:rsid w:val="00581342"/>
    <w:rsid w:val="00581347"/>
    <w:rsid w:val="00581AC9"/>
    <w:rsid w:val="005849F8"/>
    <w:rsid w:val="00584F5E"/>
    <w:rsid w:val="005861FF"/>
    <w:rsid w:val="005938DF"/>
    <w:rsid w:val="00594CB7"/>
    <w:rsid w:val="00594E9C"/>
    <w:rsid w:val="005A099B"/>
    <w:rsid w:val="005A2D9C"/>
    <w:rsid w:val="005A47B4"/>
    <w:rsid w:val="005A55FE"/>
    <w:rsid w:val="005A6A11"/>
    <w:rsid w:val="005A718D"/>
    <w:rsid w:val="005B5114"/>
    <w:rsid w:val="005B5401"/>
    <w:rsid w:val="005C23F5"/>
    <w:rsid w:val="005C7E7A"/>
    <w:rsid w:val="005D2250"/>
    <w:rsid w:val="005D2502"/>
    <w:rsid w:val="005D40BB"/>
    <w:rsid w:val="005D4519"/>
    <w:rsid w:val="005D47F3"/>
    <w:rsid w:val="005D49BF"/>
    <w:rsid w:val="005D49FE"/>
    <w:rsid w:val="005D4AA5"/>
    <w:rsid w:val="005D57A1"/>
    <w:rsid w:val="005D6F4E"/>
    <w:rsid w:val="005D7C73"/>
    <w:rsid w:val="005E025F"/>
    <w:rsid w:val="005E3ACD"/>
    <w:rsid w:val="005E7226"/>
    <w:rsid w:val="005E7A57"/>
    <w:rsid w:val="005F0D2A"/>
    <w:rsid w:val="005F24B0"/>
    <w:rsid w:val="005F2BAC"/>
    <w:rsid w:val="005F41CB"/>
    <w:rsid w:val="005F7283"/>
    <w:rsid w:val="006017EA"/>
    <w:rsid w:val="006024D0"/>
    <w:rsid w:val="006026FE"/>
    <w:rsid w:val="00603262"/>
    <w:rsid w:val="00604315"/>
    <w:rsid w:val="00604E26"/>
    <w:rsid w:val="006052CF"/>
    <w:rsid w:val="00605E85"/>
    <w:rsid w:val="00607B8D"/>
    <w:rsid w:val="00611F5C"/>
    <w:rsid w:val="00614104"/>
    <w:rsid w:val="00614893"/>
    <w:rsid w:val="00615272"/>
    <w:rsid w:val="00616340"/>
    <w:rsid w:val="00616E09"/>
    <w:rsid w:val="00620C47"/>
    <w:rsid w:val="00622A3B"/>
    <w:rsid w:val="00622EEA"/>
    <w:rsid w:val="0062396C"/>
    <w:rsid w:val="00623E07"/>
    <w:rsid w:val="00623FF9"/>
    <w:rsid w:val="0062523F"/>
    <w:rsid w:val="006275FD"/>
    <w:rsid w:val="00627D4E"/>
    <w:rsid w:val="00630B73"/>
    <w:rsid w:val="0063210C"/>
    <w:rsid w:val="00632B89"/>
    <w:rsid w:val="006341E9"/>
    <w:rsid w:val="00634478"/>
    <w:rsid w:val="0063515A"/>
    <w:rsid w:val="006364E7"/>
    <w:rsid w:val="0063759F"/>
    <w:rsid w:val="00640272"/>
    <w:rsid w:val="00641B38"/>
    <w:rsid w:val="00642E75"/>
    <w:rsid w:val="00644373"/>
    <w:rsid w:val="00645915"/>
    <w:rsid w:val="006519C3"/>
    <w:rsid w:val="00652B30"/>
    <w:rsid w:val="0065438E"/>
    <w:rsid w:val="00656345"/>
    <w:rsid w:val="00656DC6"/>
    <w:rsid w:val="0065701B"/>
    <w:rsid w:val="00657C5A"/>
    <w:rsid w:val="0066064F"/>
    <w:rsid w:val="00660EC6"/>
    <w:rsid w:val="00662F01"/>
    <w:rsid w:val="00664110"/>
    <w:rsid w:val="00664D17"/>
    <w:rsid w:val="00665A91"/>
    <w:rsid w:val="00666520"/>
    <w:rsid w:val="00667C5B"/>
    <w:rsid w:val="00671460"/>
    <w:rsid w:val="00671572"/>
    <w:rsid w:val="00672C79"/>
    <w:rsid w:val="00672E7D"/>
    <w:rsid w:val="00675677"/>
    <w:rsid w:val="006758F2"/>
    <w:rsid w:val="006879A0"/>
    <w:rsid w:val="00691EB8"/>
    <w:rsid w:val="006924F9"/>
    <w:rsid w:val="00692913"/>
    <w:rsid w:val="00692CDE"/>
    <w:rsid w:val="00693073"/>
    <w:rsid w:val="00695ABD"/>
    <w:rsid w:val="00696044"/>
    <w:rsid w:val="00696313"/>
    <w:rsid w:val="006969A5"/>
    <w:rsid w:val="006977FF"/>
    <w:rsid w:val="006A01FA"/>
    <w:rsid w:val="006A0E9E"/>
    <w:rsid w:val="006A25C7"/>
    <w:rsid w:val="006A4AAD"/>
    <w:rsid w:val="006A6DA2"/>
    <w:rsid w:val="006A7AB2"/>
    <w:rsid w:val="006B18EB"/>
    <w:rsid w:val="006B4688"/>
    <w:rsid w:val="006B518E"/>
    <w:rsid w:val="006B55C0"/>
    <w:rsid w:val="006B5717"/>
    <w:rsid w:val="006B571D"/>
    <w:rsid w:val="006B582F"/>
    <w:rsid w:val="006B7CCB"/>
    <w:rsid w:val="006B7EE6"/>
    <w:rsid w:val="006C0733"/>
    <w:rsid w:val="006C0CEB"/>
    <w:rsid w:val="006C3B1E"/>
    <w:rsid w:val="006C3FF4"/>
    <w:rsid w:val="006C4214"/>
    <w:rsid w:val="006C47FD"/>
    <w:rsid w:val="006C565D"/>
    <w:rsid w:val="006C56B8"/>
    <w:rsid w:val="006C5C19"/>
    <w:rsid w:val="006C5CDE"/>
    <w:rsid w:val="006C6425"/>
    <w:rsid w:val="006C70A0"/>
    <w:rsid w:val="006D0629"/>
    <w:rsid w:val="006D1541"/>
    <w:rsid w:val="006D27CB"/>
    <w:rsid w:val="006D2F08"/>
    <w:rsid w:val="006D34E8"/>
    <w:rsid w:val="006D3ECB"/>
    <w:rsid w:val="006D4AA0"/>
    <w:rsid w:val="006D50E7"/>
    <w:rsid w:val="006D51E8"/>
    <w:rsid w:val="006D576C"/>
    <w:rsid w:val="006D5865"/>
    <w:rsid w:val="006D6F1C"/>
    <w:rsid w:val="006D7FE2"/>
    <w:rsid w:val="006E063A"/>
    <w:rsid w:val="006E120D"/>
    <w:rsid w:val="006E4B1B"/>
    <w:rsid w:val="006E521A"/>
    <w:rsid w:val="006E5445"/>
    <w:rsid w:val="006E6DC7"/>
    <w:rsid w:val="006E7D93"/>
    <w:rsid w:val="006F1768"/>
    <w:rsid w:val="006F204D"/>
    <w:rsid w:val="006F2430"/>
    <w:rsid w:val="006F3FAD"/>
    <w:rsid w:val="006F5717"/>
    <w:rsid w:val="006F5F36"/>
    <w:rsid w:val="00700E5A"/>
    <w:rsid w:val="00702540"/>
    <w:rsid w:val="007029A3"/>
    <w:rsid w:val="007037C1"/>
    <w:rsid w:val="00703962"/>
    <w:rsid w:val="007046C7"/>
    <w:rsid w:val="00705745"/>
    <w:rsid w:val="00706E4E"/>
    <w:rsid w:val="00706FF1"/>
    <w:rsid w:val="0070791C"/>
    <w:rsid w:val="00711965"/>
    <w:rsid w:val="007124A5"/>
    <w:rsid w:val="0071383C"/>
    <w:rsid w:val="00713847"/>
    <w:rsid w:val="007141A7"/>
    <w:rsid w:val="00714F84"/>
    <w:rsid w:val="00715722"/>
    <w:rsid w:val="00717A29"/>
    <w:rsid w:val="00721032"/>
    <w:rsid w:val="00721B55"/>
    <w:rsid w:val="007238B4"/>
    <w:rsid w:val="007245C6"/>
    <w:rsid w:val="00726CE4"/>
    <w:rsid w:val="00734143"/>
    <w:rsid w:val="0073457F"/>
    <w:rsid w:val="0073515F"/>
    <w:rsid w:val="00737B80"/>
    <w:rsid w:val="00737E47"/>
    <w:rsid w:val="00740EAC"/>
    <w:rsid w:val="007415F7"/>
    <w:rsid w:val="00743269"/>
    <w:rsid w:val="00744956"/>
    <w:rsid w:val="00745988"/>
    <w:rsid w:val="00745A5C"/>
    <w:rsid w:val="0074605F"/>
    <w:rsid w:val="007465B0"/>
    <w:rsid w:val="00747C7E"/>
    <w:rsid w:val="00747CC0"/>
    <w:rsid w:val="00747E94"/>
    <w:rsid w:val="0075070F"/>
    <w:rsid w:val="0075280B"/>
    <w:rsid w:val="007528B1"/>
    <w:rsid w:val="00754C83"/>
    <w:rsid w:val="007574DF"/>
    <w:rsid w:val="00763857"/>
    <w:rsid w:val="00764679"/>
    <w:rsid w:val="00765543"/>
    <w:rsid w:val="00765DF8"/>
    <w:rsid w:val="00766749"/>
    <w:rsid w:val="00767BB0"/>
    <w:rsid w:val="00767C1B"/>
    <w:rsid w:val="007714A9"/>
    <w:rsid w:val="00774226"/>
    <w:rsid w:val="00774F88"/>
    <w:rsid w:val="00774FDB"/>
    <w:rsid w:val="00775144"/>
    <w:rsid w:val="007752C5"/>
    <w:rsid w:val="00777351"/>
    <w:rsid w:val="00777BA2"/>
    <w:rsid w:val="00781114"/>
    <w:rsid w:val="00781408"/>
    <w:rsid w:val="00784F7F"/>
    <w:rsid w:val="00786EA9"/>
    <w:rsid w:val="007878BD"/>
    <w:rsid w:val="00791097"/>
    <w:rsid w:val="0079177C"/>
    <w:rsid w:val="007949A7"/>
    <w:rsid w:val="00795D2E"/>
    <w:rsid w:val="00795E1B"/>
    <w:rsid w:val="007967BE"/>
    <w:rsid w:val="00796A78"/>
    <w:rsid w:val="00796F25"/>
    <w:rsid w:val="007A02E1"/>
    <w:rsid w:val="007A0FA7"/>
    <w:rsid w:val="007A2A4B"/>
    <w:rsid w:val="007A2E98"/>
    <w:rsid w:val="007A33C0"/>
    <w:rsid w:val="007A3BA3"/>
    <w:rsid w:val="007A567D"/>
    <w:rsid w:val="007A6CC0"/>
    <w:rsid w:val="007A7FEC"/>
    <w:rsid w:val="007B0844"/>
    <w:rsid w:val="007B125B"/>
    <w:rsid w:val="007B1499"/>
    <w:rsid w:val="007B16F2"/>
    <w:rsid w:val="007B1BBF"/>
    <w:rsid w:val="007B2960"/>
    <w:rsid w:val="007B2ED3"/>
    <w:rsid w:val="007B355D"/>
    <w:rsid w:val="007B7980"/>
    <w:rsid w:val="007C0DEF"/>
    <w:rsid w:val="007C0E28"/>
    <w:rsid w:val="007C2E27"/>
    <w:rsid w:val="007C32C5"/>
    <w:rsid w:val="007C5D5A"/>
    <w:rsid w:val="007C607F"/>
    <w:rsid w:val="007C79DD"/>
    <w:rsid w:val="007D0CB4"/>
    <w:rsid w:val="007D1A97"/>
    <w:rsid w:val="007D2CD6"/>
    <w:rsid w:val="007D3063"/>
    <w:rsid w:val="007D3961"/>
    <w:rsid w:val="007D3CEB"/>
    <w:rsid w:val="007D57AB"/>
    <w:rsid w:val="007D62DD"/>
    <w:rsid w:val="007E00B2"/>
    <w:rsid w:val="007E113F"/>
    <w:rsid w:val="007E1252"/>
    <w:rsid w:val="007E36D9"/>
    <w:rsid w:val="007E5E64"/>
    <w:rsid w:val="007E6E43"/>
    <w:rsid w:val="007E7683"/>
    <w:rsid w:val="007F0205"/>
    <w:rsid w:val="007F1714"/>
    <w:rsid w:val="007F1955"/>
    <w:rsid w:val="007F2B98"/>
    <w:rsid w:val="007F3F17"/>
    <w:rsid w:val="007F49FA"/>
    <w:rsid w:val="007F54C4"/>
    <w:rsid w:val="007F6E9A"/>
    <w:rsid w:val="0080128C"/>
    <w:rsid w:val="00802F61"/>
    <w:rsid w:val="008044D4"/>
    <w:rsid w:val="00810AB4"/>
    <w:rsid w:val="008169E9"/>
    <w:rsid w:val="00816E3B"/>
    <w:rsid w:val="0081755F"/>
    <w:rsid w:val="00817B56"/>
    <w:rsid w:val="00820177"/>
    <w:rsid w:val="0082093E"/>
    <w:rsid w:val="00821A88"/>
    <w:rsid w:val="00822E37"/>
    <w:rsid w:val="00823E2E"/>
    <w:rsid w:val="0082495D"/>
    <w:rsid w:val="00826E4B"/>
    <w:rsid w:val="008270A3"/>
    <w:rsid w:val="008276C0"/>
    <w:rsid w:val="00831326"/>
    <w:rsid w:val="00831AC3"/>
    <w:rsid w:val="00831E44"/>
    <w:rsid w:val="00833853"/>
    <w:rsid w:val="00834135"/>
    <w:rsid w:val="008359B4"/>
    <w:rsid w:val="00837E14"/>
    <w:rsid w:val="008408FF"/>
    <w:rsid w:val="0084219B"/>
    <w:rsid w:val="00842C20"/>
    <w:rsid w:val="00844262"/>
    <w:rsid w:val="00845A44"/>
    <w:rsid w:val="00847C4F"/>
    <w:rsid w:val="00851F3F"/>
    <w:rsid w:val="00852667"/>
    <w:rsid w:val="0085266A"/>
    <w:rsid w:val="00856EDC"/>
    <w:rsid w:val="00861FAC"/>
    <w:rsid w:val="008623B5"/>
    <w:rsid w:val="0086329E"/>
    <w:rsid w:val="0086408B"/>
    <w:rsid w:val="00864CBE"/>
    <w:rsid w:val="00864D13"/>
    <w:rsid w:val="00866F09"/>
    <w:rsid w:val="00867529"/>
    <w:rsid w:val="0087010E"/>
    <w:rsid w:val="008707B3"/>
    <w:rsid w:val="00870ABA"/>
    <w:rsid w:val="008710E1"/>
    <w:rsid w:val="008716E5"/>
    <w:rsid w:val="008754FE"/>
    <w:rsid w:val="00876906"/>
    <w:rsid w:val="00881CA9"/>
    <w:rsid w:val="00883628"/>
    <w:rsid w:val="00883D7F"/>
    <w:rsid w:val="00884ECB"/>
    <w:rsid w:val="00885544"/>
    <w:rsid w:val="0088634E"/>
    <w:rsid w:val="008871A4"/>
    <w:rsid w:val="00887F46"/>
    <w:rsid w:val="00890006"/>
    <w:rsid w:val="00891E11"/>
    <w:rsid w:val="00893AB8"/>
    <w:rsid w:val="00893D0C"/>
    <w:rsid w:val="00894B77"/>
    <w:rsid w:val="00897348"/>
    <w:rsid w:val="008A04C8"/>
    <w:rsid w:val="008A196F"/>
    <w:rsid w:val="008A2D13"/>
    <w:rsid w:val="008A6913"/>
    <w:rsid w:val="008B13F6"/>
    <w:rsid w:val="008B1562"/>
    <w:rsid w:val="008B256B"/>
    <w:rsid w:val="008B3B67"/>
    <w:rsid w:val="008B3F88"/>
    <w:rsid w:val="008B4A7D"/>
    <w:rsid w:val="008B6F78"/>
    <w:rsid w:val="008B70F3"/>
    <w:rsid w:val="008B71C4"/>
    <w:rsid w:val="008B76DF"/>
    <w:rsid w:val="008C10F4"/>
    <w:rsid w:val="008C4201"/>
    <w:rsid w:val="008C65F7"/>
    <w:rsid w:val="008D44F3"/>
    <w:rsid w:val="008D5DCA"/>
    <w:rsid w:val="008D7B5A"/>
    <w:rsid w:val="008E2804"/>
    <w:rsid w:val="008E2F18"/>
    <w:rsid w:val="008E4767"/>
    <w:rsid w:val="008E49E5"/>
    <w:rsid w:val="008E53F8"/>
    <w:rsid w:val="008E66EC"/>
    <w:rsid w:val="008E6A9C"/>
    <w:rsid w:val="008E6F0E"/>
    <w:rsid w:val="008E7A8C"/>
    <w:rsid w:val="008F0C71"/>
    <w:rsid w:val="008F11F2"/>
    <w:rsid w:val="008F14EF"/>
    <w:rsid w:val="008F1F60"/>
    <w:rsid w:val="008F4162"/>
    <w:rsid w:val="008F52B2"/>
    <w:rsid w:val="008F6CFD"/>
    <w:rsid w:val="008F6F6F"/>
    <w:rsid w:val="00901375"/>
    <w:rsid w:val="009026C8"/>
    <w:rsid w:val="009030DF"/>
    <w:rsid w:val="00903285"/>
    <w:rsid w:val="00904768"/>
    <w:rsid w:val="00905DCB"/>
    <w:rsid w:val="00906F40"/>
    <w:rsid w:val="0090731E"/>
    <w:rsid w:val="009121D6"/>
    <w:rsid w:val="00912730"/>
    <w:rsid w:val="00915977"/>
    <w:rsid w:val="00915B1C"/>
    <w:rsid w:val="00916039"/>
    <w:rsid w:val="009174F3"/>
    <w:rsid w:val="0091797D"/>
    <w:rsid w:val="00921307"/>
    <w:rsid w:val="00921F76"/>
    <w:rsid w:val="00922D07"/>
    <w:rsid w:val="00923CBA"/>
    <w:rsid w:val="00925000"/>
    <w:rsid w:val="00926703"/>
    <w:rsid w:val="00927691"/>
    <w:rsid w:val="00927A5F"/>
    <w:rsid w:val="00930F06"/>
    <w:rsid w:val="00934E07"/>
    <w:rsid w:val="00935919"/>
    <w:rsid w:val="00935B63"/>
    <w:rsid w:val="0094002D"/>
    <w:rsid w:val="009405A5"/>
    <w:rsid w:val="00940686"/>
    <w:rsid w:val="0094078F"/>
    <w:rsid w:val="00940FA3"/>
    <w:rsid w:val="009412D7"/>
    <w:rsid w:val="00941FB0"/>
    <w:rsid w:val="009426D4"/>
    <w:rsid w:val="0094271C"/>
    <w:rsid w:val="00943399"/>
    <w:rsid w:val="00943CB4"/>
    <w:rsid w:val="00944954"/>
    <w:rsid w:val="0094555F"/>
    <w:rsid w:val="00947F25"/>
    <w:rsid w:val="0095000B"/>
    <w:rsid w:val="00950159"/>
    <w:rsid w:val="00950B17"/>
    <w:rsid w:val="00951961"/>
    <w:rsid w:val="009531CB"/>
    <w:rsid w:val="0095490B"/>
    <w:rsid w:val="0096058D"/>
    <w:rsid w:val="00960A33"/>
    <w:rsid w:val="00966B09"/>
    <w:rsid w:val="00971223"/>
    <w:rsid w:val="00971914"/>
    <w:rsid w:val="009722EC"/>
    <w:rsid w:val="00972C86"/>
    <w:rsid w:val="009731AB"/>
    <w:rsid w:val="009742E4"/>
    <w:rsid w:val="00974363"/>
    <w:rsid w:val="009774B1"/>
    <w:rsid w:val="00977581"/>
    <w:rsid w:val="00977B3D"/>
    <w:rsid w:val="00981898"/>
    <w:rsid w:val="0098444A"/>
    <w:rsid w:val="009848BB"/>
    <w:rsid w:val="00984AF1"/>
    <w:rsid w:val="00984DF2"/>
    <w:rsid w:val="00985D07"/>
    <w:rsid w:val="00987C99"/>
    <w:rsid w:val="009934F8"/>
    <w:rsid w:val="0099571A"/>
    <w:rsid w:val="0099577C"/>
    <w:rsid w:val="009A0305"/>
    <w:rsid w:val="009A0311"/>
    <w:rsid w:val="009A03AC"/>
    <w:rsid w:val="009A32CE"/>
    <w:rsid w:val="009A38B3"/>
    <w:rsid w:val="009A5969"/>
    <w:rsid w:val="009A7A2A"/>
    <w:rsid w:val="009B01B4"/>
    <w:rsid w:val="009B114B"/>
    <w:rsid w:val="009B2568"/>
    <w:rsid w:val="009B2601"/>
    <w:rsid w:val="009B28BE"/>
    <w:rsid w:val="009B4E9E"/>
    <w:rsid w:val="009C0BA4"/>
    <w:rsid w:val="009C1690"/>
    <w:rsid w:val="009C1871"/>
    <w:rsid w:val="009C3146"/>
    <w:rsid w:val="009C4170"/>
    <w:rsid w:val="009C576D"/>
    <w:rsid w:val="009C6852"/>
    <w:rsid w:val="009C6881"/>
    <w:rsid w:val="009C7759"/>
    <w:rsid w:val="009C7D0A"/>
    <w:rsid w:val="009D043D"/>
    <w:rsid w:val="009D07C8"/>
    <w:rsid w:val="009D3FB8"/>
    <w:rsid w:val="009D4B2E"/>
    <w:rsid w:val="009D651A"/>
    <w:rsid w:val="009D6C71"/>
    <w:rsid w:val="009D7D49"/>
    <w:rsid w:val="009E0631"/>
    <w:rsid w:val="009E16D0"/>
    <w:rsid w:val="009E38FD"/>
    <w:rsid w:val="009E39DE"/>
    <w:rsid w:val="009F0019"/>
    <w:rsid w:val="009F13D6"/>
    <w:rsid w:val="009F1A9F"/>
    <w:rsid w:val="009F1D43"/>
    <w:rsid w:val="009F2176"/>
    <w:rsid w:val="009F22E5"/>
    <w:rsid w:val="009F2732"/>
    <w:rsid w:val="009F2944"/>
    <w:rsid w:val="009F4C6B"/>
    <w:rsid w:val="009F50F0"/>
    <w:rsid w:val="009F5241"/>
    <w:rsid w:val="009F586C"/>
    <w:rsid w:val="009F66AF"/>
    <w:rsid w:val="009F78A8"/>
    <w:rsid w:val="00A00C12"/>
    <w:rsid w:val="00A02AD6"/>
    <w:rsid w:val="00A04D54"/>
    <w:rsid w:val="00A04E93"/>
    <w:rsid w:val="00A05D25"/>
    <w:rsid w:val="00A07096"/>
    <w:rsid w:val="00A07318"/>
    <w:rsid w:val="00A07BF6"/>
    <w:rsid w:val="00A11370"/>
    <w:rsid w:val="00A12AAE"/>
    <w:rsid w:val="00A224CE"/>
    <w:rsid w:val="00A22522"/>
    <w:rsid w:val="00A23241"/>
    <w:rsid w:val="00A23905"/>
    <w:rsid w:val="00A2396E"/>
    <w:rsid w:val="00A241CB"/>
    <w:rsid w:val="00A24AFD"/>
    <w:rsid w:val="00A24F5C"/>
    <w:rsid w:val="00A26014"/>
    <w:rsid w:val="00A26A6D"/>
    <w:rsid w:val="00A32F96"/>
    <w:rsid w:val="00A32F9F"/>
    <w:rsid w:val="00A33E01"/>
    <w:rsid w:val="00A342CB"/>
    <w:rsid w:val="00A35604"/>
    <w:rsid w:val="00A4084B"/>
    <w:rsid w:val="00A40871"/>
    <w:rsid w:val="00A412AB"/>
    <w:rsid w:val="00A4193E"/>
    <w:rsid w:val="00A4394D"/>
    <w:rsid w:val="00A440E0"/>
    <w:rsid w:val="00A44267"/>
    <w:rsid w:val="00A442EF"/>
    <w:rsid w:val="00A51D1A"/>
    <w:rsid w:val="00A53E1C"/>
    <w:rsid w:val="00A5418D"/>
    <w:rsid w:val="00A545E8"/>
    <w:rsid w:val="00A5474E"/>
    <w:rsid w:val="00A56E20"/>
    <w:rsid w:val="00A60645"/>
    <w:rsid w:val="00A62F94"/>
    <w:rsid w:val="00A64234"/>
    <w:rsid w:val="00A64BEC"/>
    <w:rsid w:val="00A64D55"/>
    <w:rsid w:val="00A677C2"/>
    <w:rsid w:val="00A702C4"/>
    <w:rsid w:val="00A70965"/>
    <w:rsid w:val="00A70A7A"/>
    <w:rsid w:val="00A70ADF"/>
    <w:rsid w:val="00A71466"/>
    <w:rsid w:val="00A7219B"/>
    <w:rsid w:val="00A72636"/>
    <w:rsid w:val="00A74B5E"/>
    <w:rsid w:val="00A759FE"/>
    <w:rsid w:val="00A77D11"/>
    <w:rsid w:val="00A81BED"/>
    <w:rsid w:val="00A81EC4"/>
    <w:rsid w:val="00A82458"/>
    <w:rsid w:val="00A825DC"/>
    <w:rsid w:val="00A825DF"/>
    <w:rsid w:val="00A82EEF"/>
    <w:rsid w:val="00A83CE4"/>
    <w:rsid w:val="00A86529"/>
    <w:rsid w:val="00A8663C"/>
    <w:rsid w:val="00A86F22"/>
    <w:rsid w:val="00A87C38"/>
    <w:rsid w:val="00A90CDE"/>
    <w:rsid w:val="00A95968"/>
    <w:rsid w:val="00A96764"/>
    <w:rsid w:val="00A967FD"/>
    <w:rsid w:val="00A96D7D"/>
    <w:rsid w:val="00AA04D4"/>
    <w:rsid w:val="00AA1589"/>
    <w:rsid w:val="00AA2DE5"/>
    <w:rsid w:val="00AA4F56"/>
    <w:rsid w:val="00AA52F7"/>
    <w:rsid w:val="00AA55D7"/>
    <w:rsid w:val="00AA605F"/>
    <w:rsid w:val="00AA6661"/>
    <w:rsid w:val="00AB0792"/>
    <w:rsid w:val="00AB156C"/>
    <w:rsid w:val="00AB1EF2"/>
    <w:rsid w:val="00AB4C65"/>
    <w:rsid w:val="00AB61E6"/>
    <w:rsid w:val="00AB6814"/>
    <w:rsid w:val="00AB702D"/>
    <w:rsid w:val="00AC04BA"/>
    <w:rsid w:val="00AC0E39"/>
    <w:rsid w:val="00AC1C2D"/>
    <w:rsid w:val="00AC475B"/>
    <w:rsid w:val="00AC4E53"/>
    <w:rsid w:val="00AC5892"/>
    <w:rsid w:val="00AD1E3F"/>
    <w:rsid w:val="00AD2AD8"/>
    <w:rsid w:val="00AD2E52"/>
    <w:rsid w:val="00AD3082"/>
    <w:rsid w:val="00AD32B4"/>
    <w:rsid w:val="00AD3E7E"/>
    <w:rsid w:val="00AD4AD0"/>
    <w:rsid w:val="00AD5436"/>
    <w:rsid w:val="00AD5575"/>
    <w:rsid w:val="00AD5F02"/>
    <w:rsid w:val="00AD60CD"/>
    <w:rsid w:val="00AD6C8C"/>
    <w:rsid w:val="00AE091D"/>
    <w:rsid w:val="00AE0BD6"/>
    <w:rsid w:val="00AE20BF"/>
    <w:rsid w:val="00AE2E01"/>
    <w:rsid w:val="00AE310C"/>
    <w:rsid w:val="00AE3B60"/>
    <w:rsid w:val="00AE53A1"/>
    <w:rsid w:val="00AE5BF9"/>
    <w:rsid w:val="00AE63DC"/>
    <w:rsid w:val="00AE6BCE"/>
    <w:rsid w:val="00AF2484"/>
    <w:rsid w:val="00AF4439"/>
    <w:rsid w:val="00AF63E7"/>
    <w:rsid w:val="00AF6E17"/>
    <w:rsid w:val="00AF7517"/>
    <w:rsid w:val="00B0062C"/>
    <w:rsid w:val="00B0165D"/>
    <w:rsid w:val="00B01B60"/>
    <w:rsid w:val="00B02E11"/>
    <w:rsid w:val="00B031F3"/>
    <w:rsid w:val="00B0364D"/>
    <w:rsid w:val="00B041CD"/>
    <w:rsid w:val="00B052A4"/>
    <w:rsid w:val="00B05327"/>
    <w:rsid w:val="00B074F7"/>
    <w:rsid w:val="00B125DE"/>
    <w:rsid w:val="00B13650"/>
    <w:rsid w:val="00B13FDD"/>
    <w:rsid w:val="00B15CA4"/>
    <w:rsid w:val="00B172D8"/>
    <w:rsid w:val="00B21181"/>
    <w:rsid w:val="00B22676"/>
    <w:rsid w:val="00B22EB2"/>
    <w:rsid w:val="00B26E56"/>
    <w:rsid w:val="00B27442"/>
    <w:rsid w:val="00B30E4B"/>
    <w:rsid w:val="00B31167"/>
    <w:rsid w:val="00B3258E"/>
    <w:rsid w:val="00B32893"/>
    <w:rsid w:val="00B329D8"/>
    <w:rsid w:val="00B32BB9"/>
    <w:rsid w:val="00B33AE1"/>
    <w:rsid w:val="00B36B0B"/>
    <w:rsid w:val="00B37C38"/>
    <w:rsid w:val="00B4033F"/>
    <w:rsid w:val="00B4288C"/>
    <w:rsid w:val="00B43262"/>
    <w:rsid w:val="00B435B6"/>
    <w:rsid w:val="00B44100"/>
    <w:rsid w:val="00B46CBA"/>
    <w:rsid w:val="00B46E84"/>
    <w:rsid w:val="00B46F94"/>
    <w:rsid w:val="00B47ABC"/>
    <w:rsid w:val="00B534A4"/>
    <w:rsid w:val="00B542DC"/>
    <w:rsid w:val="00B57B89"/>
    <w:rsid w:val="00B6003C"/>
    <w:rsid w:val="00B613F3"/>
    <w:rsid w:val="00B61F03"/>
    <w:rsid w:val="00B626E4"/>
    <w:rsid w:val="00B64DF7"/>
    <w:rsid w:val="00B7044A"/>
    <w:rsid w:val="00B717B2"/>
    <w:rsid w:val="00B71E4E"/>
    <w:rsid w:val="00B72141"/>
    <w:rsid w:val="00B725B5"/>
    <w:rsid w:val="00B72F4A"/>
    <w:rsid w:val="00B73529"/>
    <w:rsid w:val="00B743D4"/>
    <w:rsid w:val="00B759BC"/>
    <w:rsid w:val="00B76636"/>
    <w:rsid w:val="00B776A3"/>
    <w:rsid w:val="00B80FD7"/>
    <w:rsid w:val="00B82649"/>
    <w:rsid w:val="00B82BF3"/>
    <w:rsid w:val="00B82EDA"/>
    <w:rsid w:val="00B83C27"/>
    <w:rsid w:val="00B84BC3"/>
    <w:rsid w:val="00B84BDD"/>
    <w:rsid w:val="00B85287"/>
    <w:rsid w:val="00B86EBF"/>
    <w:rsid w:val="00B874C6"/>
    <w:rsid w:val="00B901A7"/>
    <w:rsid w:val="00B92812"/>
    <w:rsid w:val="00BA04FA"/>
    <w:rsid w:val="00BA05FA"/>
    <w:rsid w:val="00BA07B6"/>
    <w:rsid w:val="00BA07FE"/>
    <w:rsid w:val="00BA1F58"/>
    <w:rsid w:val="00BA2883"/>
    <w:rsid w:val="00BA37D4"/>
    <w:rsid w:val="00BA4146"/>
    <w:rsid w:val="00BB2390"/>
    <w:rsid w:val="00BB45A1"/>
    <w:rsid w:val="00BB4FD6"/>
    <w:rsid w:val="00BB509B"/>
    <w:rsid w:val="00BB7686"/>
    <w:rsid w:val="00BB7E45"/>
    <w:rsid w:val="00BC0CC7"/>
    <w:rsid w:val="00BC23F9"/>
    <w:rsid w:val="00BC3421"/>
    <w:rsid w:val="00BC490F"/>
    <w:rsid w:val="00BC5845"/>
    <w:rsid w:val="00BC732C"/>
    <w:rsid w:val="00BD2FA9"/>
    <w:rsid w:val="00BD3300"/>
    <w:rsid w:val="00BD42B8"/>
    <w:rsid w:val="00BD6630"/>
    <w:rsid w:val="00BD67E8"/>
    <w:rsid w:val="00BD6A84"/>
    <w:rsid w:val="00BE217A"/>
    <w:rsid w:val="00BE2580"/>
    <w:rsid w:val="00BE266D"/>
    <w:rsid w:val="00BE3938"/>
    <w:rsid w:val="00BE3B54"/>
    <w:rsid w:val="00BE4728"/>
    <w:rsid w:val="00BE4C11"/>
    <w:rsid w:val="00BE71C0"/>
    <w:rsid w:val="00BF069F"/>
    <w:rsid w:val="00BF1189"/>
    <w:rsid w:val="00BF1E58"/>
    <w:rsid w:val="00BF610C"/>
    <w:rsid w:val="00BF6F82"/>
    <w:rsid w:val="00C0060B"/>
    <w:rsid w:val="00C00929"/>
    <w:rsid w:val="00C009E3"/>
    <w:rsid w:val="00C01513"/>
    <w:rsid w:val="00C0277D"/>
    <w:rsid w:val="00C03A8C"/>
    <w:rsid w:val="00C05338"/>
    <w:rsid w:val="00C053A1"/>
    <w:rsid w:val="00C06351"/>
    <w:rsid w:val="00C07512"/>
    <w:rsid w:val="00C1327B"/>
    <w:rsid w:val="00C13415"/>
    <w:rsid w:val="00C135DF"/>
    <w:rsid w:val="00C14F5C"/>
    <w:rsid w:val="00C16198"/>
    <w:rsid w:val="00C205D8"/>
    <w:rsid w:val="00C2083D"/>
    <w:rsid w:val="00C20E9B"/>
    <w:rsid w:val="00C229DC"/>
    <w:rsid w:val="00C24A53"/>
    <w:rsid w:val="00C34A05"/>
    <w:rsid w:val="00C353B4"/>
    <w:rsid w:val="00C36F04"/>
    <w:rsid w:val="00C4032F"/>
    <w:rsid w:val="00C40BC2"/>
    <w:rsid w:val="00C40D77"/>
    <w:rsid w:val="00C41C3C"/>
    <w:rsid w:val="00C44047"/>
    <w:rsid w:val="00C4423E"/>
    <w:rsid w:val="00C4429F"/>
    <w:rsid w:val="00C442B0"/>
    <w:rsid w:val="00C4496F"/>
    <w:rsid w:val="00C45155"/>
    <w:rsid w:val="00C46A05"/>
    <w:rsid w:val="00C47697"/>
    <w:rsid w:val="00C477E8"/>
    <w:rsid w:val="00C50233"/>
    <w:rsid w:val="00C52137"/>
    <w:rsid w:val="00C54757"/>
    <w:rsid w:val="00C5492F"/>
    <w:rsid w:val="00C5498F"/>
    <w:rsid w:val="00C55235"/>
    <w:rsid w:val="00C55FF0"/>
    <w:rsid w:val="00C56FC0"/>
    <w:rsid w:val="00C607D1"/>
    <w:rsid w:val="00C60E71"/>
    <w:rsid w:val="00C618AC"/>
    <w:rsid w:val="00C61B84"/>
    <w:rsid w:val="00C63AC0"/>
    <w:rsid w:val="00C64CD0"/>
    <w:rsid w:val="00C65007"/>
    <w:rsid w:val="00C6565C"/>
    <w:rsid w:val="00C6626A"/>
    <w:rsid w:val="00C6684F"/>
    <w:rsid w:val="00C70E70"/>
    <w:rsid w:val="00C71796"/>
    <w:rsid w:val="00C75F8D"/>
    <w:rsid w:val="00C77380"/>
    <w:rsid w:val="00C80513"/>
    <w:rsid w:val="00C83E49"/>
    <w:rsid w:val="00C84EB7"/>
    <w:rsid w:val="00C86991"/>
    <w:rsid w:val="00C87DAB"/>
    <w:rsid w:val="00C87FB3"/>
    <w:rsid w:val="00C90598"/>
    <w:rsid w:val="00C936E6"/>
    <w:rsid w:val="00C9392A"/>
    <w:rsid w:val="00C957DD"/>
    <w:rsid w:val="00C96CBD"/>
    <w:rsid w:val="00C96CDA"/>
    <w:rsid w:val="00C97736"/>
    <w:rsid w:val="00CA2066"/>
    <w:rsid w:val="00CA345A"/>
    <w:rsid w:val="00CA7D55"/>
    <w:rsid w:val="00CB0A9A"/>
    <w:rsid w:val="00CB1E82"/>
    <w:rsid w:val="00CB3E7F"/>
    <w:rsid w:val="00CB44E7"/>
    <w:rsid w:val="00CB4BA8"/>
    <w:rsid w:val="00CB52D7"/>
    <w:rsid w:val="00CB5537"/>
    <w:rsid w:val="00CB6881"/>
    <w:rsid w:val="00CC04B6"/>
    <w:rsid w:val="00CC1789"/>
    <w:rsid w:val="00CC33F4"/>
    <w:rsid w:val="00CC4F13"/>
    <w:rsid w:val="00CC6732"/>
    <w:rsid w:val="00CC73A7"/>
    <w:rsid w:val="00CC7B66"/>
    <w:rsid w:val="00CD395F"/>
    <w:rsid w:val="00CD3E14"/>
    <w:rsid w:val="00CD4808"/>
    <w:rsid w:val="00CD51FE"/>
    <w:rsid w:val="00CD55A5"/>
    <w:rsid w:val="00CD5856"/>
    <w:rsid w:val="00CD67CF"/>
    <w:rsid w:val="00CE1CCC"/>
    <w:rsid w:val="00CE3C96"/>
    <w:rsid w:val="00CE51A8"/>
    <w:rsid w:val="00CF369B"/>
    <w:rsid w:val="00CF444D"/>
    <w:rsid w:val="00CF5475"/>
    <w:rsid w:val="00CF7048"/>
    <w:rsid w:val="00CF736C"/>
    <w:rsid w:val="00CF7569"/>
    <w:rsid w:val="00D00E28"/>
    <w:rsid w:val="00D01695"/>
    <w:rsid w:val="00D0269E"/>
    <w:rsid w:val="00D026F4"/>
    <w:rsid w:val="00D029DB"/>
    <w:rsid w:val="00D04E57"/>
    <w:rsid w:val="00D05D6C"/>
    <w:rsid w:val="00D05E0B"/>
    <w:rsid w:val="00D073E4"/>
    <w:rsid w:val="00D07E2D"/>
    <w:rsid w:val="00D12C62"/>
    <w:rsid w:val="00D13669"/>
    <w:rsid w:val="00D13B06"/>
    <w:rsid w:val="00D150C6"/>
    <w:rsid w:val="00D15810"/>
    <w:rsid w:val="00D16367"/>
    <w:rsid w:val="00D16D4E"/>
    <w:rsid w:val="00D16FE3"/>
    <w:rsid w:val="00D23137"/>
    <w:rsid w:val="00D250D5"/>
    <w:rsid w:val="00D2681C"/>
    <w:rsid w:val="00D27F41"/>
    <w:rsid w:val="00D31251"/>
    <w:rsid w:val="00D31E44"/>
    <w:rsid w:val="00D33855"/>
    <w:rsid w:val="00D35DCE"/>
    <w:rsid w:val="00D36441"/>
    <w:rsid w:val="00D36F34"/>
    <w:rsid w:val="00D371EC"/>
    <w:rsid w:val="00D37F16"/>
    <w:rsid w:val="00D4064E"/>
    <w:rsid w:val="00D40890"/>
    <w:rsid w:val="00D41819"/>
    <w:rsid w:val="00D42C28"/>
    <w:rsid w:val="00D42F6E"/>
    <w:rsid w:val="00D44E9B"/>
    <w:rsid w:val="00D47AEB"/>
    <w:rsid w:val="00D47C3D"/>
    <w:rsid w:val="00D50DB9"/>
    <w:rsid w:val="00D51302"/>
    <w:rsid w:val="00D52C43"/>
    <w:rsid w:val="00D53B0E"/>
    <w:rsid w:val="00D53D0B"/>
    <w:rsid w:val="00D55B7D"/>
    <w:rsid w:val="00D60239"/>
    <w:rsid w:val="00D60446"/>
    <w:rsid w:val="00D60B54"/>
    <w:rsid w:val="00D60FA1"/>
    <w:rsid w:val="00D61A6F"/>
    <w:rsid w:val="00D63CF5"/>
    <w:rsid w:val="00D63E43"/>
    <w:rsid w:val="00D6507F"/>
    <w:rsid w:val="00D66399"/>
    <w:rsid w:val="00D71C88"/>
    <w:rsid w:val="00D730BC"/>
    <w:rsid w:val="00D73912"/>
    <w:rsid w:val="00D771E1"/>
    <w:rsid w:val="00D8112F"/>
    <w:rsid w:val="00D81D78"/>
    <w:rsid w:val="00D81E67"/>
    <w:rsid w:val="00D82563"/>
    <w:rsid w:val="00D83879"/>
    <w:rsid w:val="00D83EE8"/>
    <w:rsid w:val="00D85226"/>
    <w:rsid w:val="00D85CA5"/>
    <w:rsid w:val="00D87B94"/>
    <w:rsid w:val="00D90106"/>
    <w:rsid w:val="00D90182"/>
    <w:rsid w:val="00D9081B"/>
    <w:rsid w:val="00D92D49"/>
    <w:rsid w:val="00D92EC1"/>
    <w:rsid w:val="00D943C6"/>
    <w:rsid w:val="00D949C4"/>
    <w:rsid w:val="00D95E09"/>
    <w:rsid w:val="00D96DEA"/>
    <w:rsid w:val="00DA1223"/>
    <w:rsid w:val="00DA4926"/>
    <w:rsid w:val="00DA4E41"/>
    <w:rsid w:val="00DA4E87"/>
    <w:rsid w:val="00DA551E"/>
    <w:rsid w:val="00DA576D"/>
    <w:rsid w:val="00DA7D65"/>
    <w:rsid w:val="00DB117A"/>
    <w:rsid w:val="00DB1541"/>
    <w:rsid w:val="00DB4562"/>
    <w:rsid w:val="00DB4615"/>
    <w:rsid w:val="00DB5173"/>
    <w:rsid w:val="00DB54AE"/>
    <w:rsid w:val="00DB6CFD"/>
    <w:rsid w:val="00DB7873"/>
    <w:rsid w:val="00DC031B"/>
    <w:rsid w:val="00DC05CA"/>
    <w:rsid w:val="00DC108C"/>
    <w:rsid w:val="00DC187B"/>
    <w:rsid w:val="00DC4A5D"/>
    <w:rsid w:val="00DC5251"/>
    <w:rsid w:val="00DC5EA6"/>
    <w:rsid w:val="00DC6824"/>
    <w:rsid w:val="00DC7EC5"/>
    <w:rsid w:val="00DD009D"/>
    <w:rsid w:val="00DD1912"/>
    <w:rsid w:val="00DD1A43"/>
    <w:rsid w:val="00DD6545"/>
    <w:rsid w:val="00DD73C2"/>
    <w:rsid w:val="00DD7577"/>
    <w:rsid w:val="00DE0920"/>
    <w:rsid w:val="00DE2B62"/>
    <w:rsid w:val="00DE310B"/>
    <w:rsid w:val="00DE319B"/>
    <w:rsid w:val="00DE3954"/>
    <w:rsid w:val="00DE47C6"/>
    <w:rsid w:val="00DE6DB8"/>
    <w:rsid w:val="00DF06A8"/>
    <w:rsid w:val="00DF18C7"/>
    <w:rsid w:val="00DF34FE"/>
    <w:rsid w:val="00DF56AA"/>
    <w:rsid w:val="00DF56AF"/>
    <w:rsid w:val="00DF62DF"/>
    <w:rsid w:val="00DF78E7"/>
    <w:rsid w:val="00E007EA"/>
    <w:rsid w:val="00E04E04"/>
    <w:rsid w:val="00E110E0"/>
    <w:rsid w:val="00E14287"/>
    <w:rsid w:val="00E15371"/>
    <w:rsid w:val="00E206FD"/>
    <w:rsid w:val="00E21978"/>
    <w:rsid w:val="00E21C5A"/>
    <w:rsid w:val="00E22193"/>
    <w:rsid w:val="00E24104"/>
    <w:rsid w:val="00E2458D"/>
    <w:rsid w:val="00E277DC"/>
    <w:rsid w:val="00E2787A"/>
    <w:rsid w:val="00E27AD4"/>
    <w:rsid w:val="00E302D0"/>
    <w:rsid w:val="00E31F51"/>
    <w:rsid w:val="00E32CB2"/>
    <w:rsid w:val="00E32FBA"/>
    <w:rsid w:val="00E33208"/>
    <w:rsid w:val="00E34854"/>
    <w:rsid w:val="00E35707"/>
    <w:rsid w:val="00E36AA1"/>
    <w:rsid w:val="00E36EAD"/>
    <w:rsid w:val="00E40A8C"/>
    <w:rsid w:val="00E41ECB"/>
    <w:rsid w:val="00E454E3"/>
    <w:rsid w:val="00E463BE"/>
    <w:rsid w:val="00E50547"/>
    <w:rsid w:val="00E5075F"/>
    <w:rsid w:val="00E5463D"/>
    <w:rsid w:val="00E54C08"/>
    <w:rsid w:val="00E54FDB"/>
    <w:rsid w:val="00E55581"/>
    <w:rsid w:val="00E5617D"/>
    <w:rsid w:val="00E563D7"/>
    <w:rsid w:val="00E56B25"/>
    <w:rsid w:val="00E57F73"/>
    <w:rsid w:val="00E644A1"/>
    <w:rsid w:val="00E64CBA"/>
    <w:rsid w:val="00E660FB"/>
    <w:rsid w:val="00E663F4"/>
    <w:rsid w:val="00E666F2"/>
    <w:rsid w:val="00E66863"/>
    <w:rsid w:val="00E66BE0"/>
    <w:rsid w:val="00E66DD4"/>
    <w:rsid w:val="00E66EF0"/>
    <w:rsid w:val="00E67158"/>
    <w:rsid w:val="00E71484"/>
    <w:rsid w:val="00E723F7"/>
    <w:rsid w:val="00E726F1"/>
    <w:rsid w:val="00E748CC"/>
    <w:rsid w:val="00E75415"/>
    <w:rsid w:val="00E75DE7"/>
    <w:rsid w:val="00E775B1"/>
    <w:rsid w:val="00E8152A"/>
    <w:rsid w:val="00E83622"/>
    <w:rsid w:val="00E853F7"/>
    <w:rsid w:val="00E85C03"/>
    <w:rsid w:val="00E87AA7"/>
    <w:rsid w:val="00E9076D"/>
    <w:rsid w:val="00E93629"/>
    <w:rsid w:val="00E93B5C"/>
    <w:rsid w:val="00E94CEC"/>
    <w:rsid w:val="00E956F7"/>
    <w:rsid w:val="00EA04EF"/>
    <w:rsid w:val="00EA091D"/>
    <w:rsid w:val="00EA2B33"/>
    <w:rsid w:val="00EA2F84"/>
    <w:rsid w:val="00EA39B6"/>
    <w:rsid w:val="00EA6F19"/>
    <w:rsid w:val="00EB1D68"/>
    <w:rsid w:val="00EB39EA"/>
    <w:rsid w:val="00EB536A"/>
    <w:rsid w:val="00EB65B5"/>
    <w:rsid w:val="00EB7090"/>
    <w:rsid w:val="00EC0D9D"/>
    <w:rsid w:val="00EC1BBE"/>
    <w:rsid w:val="00EC2FF4"/>
    <w:rsid w:val="00EC5CD7"/>
    <w:rsid w:val="00EC5EBD"/>
    <w:rsid w:val="00EC61F5"/>
    <w:rsid w:val="00EC65B3"/>
    <w:rsid w:val="00ED0352"/>
    <w:rsid w:val="00ED2FFD"/>
    <w:rsid w:val="00ED39AB"/>
    <w:rsid w:val="00ED785F"/>
    <w:rsid w:val="00ED7D31"/>
    <w:rsid w:val="00EE0975"/>
    <w:rsid w:val="00EE0B9B"/>
    <w:rsid w:val="00EE1F80"/>
    <w:rsid w:val="00EE3189"/>
    <w:rsid w:val="00EE3A3B"/>
    <w:rsid w:val="00EE5415"/>
    <w:rsid w:val="00EE5FB3"/>
    <w:rsid w:val="00EE61C2"/>
    <w:rsid w:val="00EE6BEA"/>
    <w:rsid w:val="00EE7F79"/>
    <w:rsid w:val="00EF2304"/>
    <w:rsid w:val="00EF2C3E"/>
    <w:rsid w:val="00EF4478"/>
    <w:rsid w:val="00EF54DB"/>
    <w:rsid w:val="00EF715A"/>
    <w:rsid w:val="00EF7DDE"/>
    <w:rsid w:val="00F02232"/>
    <w:rsid w:val="00F0228F"/>
    <w:rsid w:val="00F02318"/>
    <w:rsid w:val="00F04298"/>
    <w:rsid w:val="00F064AB"/>
    <w:rsid w:val="00F06E14"/>
    <w:rsid w:val="00F104B4"/>
    <w:rsid w:val="00F179D4"/>
    <w:rsid w:val="00F2052E"/>
    <w:rsid w:val="00F25313"/>
    <w:rsid w:val="00F27CC2"/>
    <w:rsid w:val="00F30685"/>
    <w:rsid w:val="00F31118"/>
    <w:rsid w:val="00F32A12"/>
    <w:rsid w:val="00F33C56"/>
    <w:rsid w:val="00F347C7"/>
    <w:rsid w:val="00F34848"/>
    <w:rsid w:val="00F353E8"/>
    <w:rsid w:val="00F4054D"/>
    <w:rsid w:val="00F415C5"/>
    <w:rsid w:val="00F42D46"/>
    <w:rsid w:val="00F4310F"/>
    <w:rsid w:val="00F435DD"/>
    <w:rsid w:val="00F441B6"/>
    <w:rsid w:val="00F4496C"/>
    <w:rsid w:val="00F44F3A"/>
    <w:rsid w:val="00F454D5"/>
    <w:rsid w:val="00F45BBD"/>
    <w:rsid w:val="00F4620C"/>
    <w:rsid w:val="00F50A2E"/>
    <w:rsid w:val="00F51F10"/>
    <w:rsid w:val="00F52940"/>
    <w:rsid w:val="00F529A5"/>
    <w:rsid w:val="00F5331A"/>
    <w:rsid w:val="00F55422"/>
    <w:rsid w:val="00F57445"/>
    <w:rsid w:val="00F60460"/>
    <w:rsid w:val="00F60F00"/>
    <w:rsid w:val="00F614C0"/>
    <w:rsid w:val="00F62AFB"/>
    <w:rsid w:val="00F64EC9"/>
    <w:rsid w:val="00F70CA1"/>
    <w:rsid w:val="00F735D0"/>
    <w:rsid w:val="00F75386"/>
    <w:rsid w:val="00F77797"/>
    <w:rsid w:val="00F77A97"/>
    <w:rsid w:val="00F77EE1"/>
    <w:rsid w:val="00F80E0D"/>
    <w:rsid w:val="00F8100C"/>
    <w:rsid w:val="00F831B6"/>
    <w:rsid w:val="00F83848"/>
    <w:rsid w:val="00F87946"/>
    <w:rsid w:val="00F87AC2"/>
    <w:rsid w:val="00F90CAE"/>
    <w:rsid w:val="00F93925"/>
    <w:rsid w:val="00F967A9"/>
    <w:rsid w:val="00F96A6C"/>
    <w:rsid w:val="00F975E9"/>
    <w:rsid w:val="00FA1B7D"/>
    <w:rsid w:val="00FA3B41"/>
    <w:rsid w:val="00FA783C"/>
    <w:rsid w:val="00FB1686"/>
    <w:rsid w:val="00FB2D68"/>
    <w:rsid w:val="00FB53D9"/>
    <w:rsid w:val="00FC07B9"/>
    <w:rsid w:val="00FC094F"/>
    <w:rsid w:val="00FC4E21"/>
    <w:rsid w:val="00FC5C3F"/>
    <w:rsid w:val="00FC5F6D"/>
    <w:rsid w:val="00FC63D4"/>
    <w:rsid w:val="00FC6A4C"/>
    <w:rsid w:val="00FC7F48"/>
    <w:rsid w:val="00FD0107"/>
    <w:rsid w:val="00FD12E6"/>
    <w:rsid w:val="00FD2C2F"/>
    <w:rsid w:val="00FD3B31"/>
    <w:rsid w:val="00FD47E0"/>
    <w:rsid w:val="00FD6059"/>
    <w:rsid w:val="00FD655D"/>
    <w:rsid w:val="00FE0707"/>
    <w:rsid w:val="00FE0BD9"/>
    <w:rsid w:val="00FE1823"/>
    <w:rsid w:val="00FE390A"/>
    <w:rsid w:val="00FE3AAC"/>
    <w:rsid w:val="00FE3F49"/>
    <w:rsid w:val="00FE487A"/>
    <w:rsid w:val="00FE5562"/>
    <w:rsid w:val="00FF0569"/>
    <w:rsid w:val="00FF2059"/>
    <w:rsid w:val="00FF206E"/>
    <w:rsid w:val="00FF31FE"/>
    <w:rsid w:val="00FF3C69"/>
    <w:rsid w:val="00FF449E"/>
    <w:rsid w:val="00FF6C78"/>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6625">
      <o:colormru v:ext="edit" colors="red,#4d4d4f"/>
    </o:shapedefaults>
    <o:shapelayout v:ext="edit">
      <o:idmap v:ext="edit" data="1"/>
    </o:shapelayout>
  </w:shapeDefaults>
  <w:decimalSymbol w:val="."/>
  <w:listSeparator w:val=","/>
  <w14:docId w14:val="16585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aliases w:val="RIS 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aliases w:val="List Bullet 1"/>
    <w:basedOn w:val="Normal"/>
    <w:link w:val="ListBulletChar"/>
    <w:qFormat/>
    <w:rsid w:val="001C6AEE"/>
    <w:pPr>
      <w:spacing w:after="80"/>
    </w:pPr>
  </w:style>
  <w:style w:type="paragraph" w:styleId="ListBullet2">
    <w:name w:val="List Bullet 2"/>
    <w:basedOn w:val="Normal"/>
    <w:qFormat/>
    <w:rsid w:val="001C6AEE"/>
    <w:p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rsid w:val="00566AB4"/>
    <w:rPr>
      <w:rFonts w:ascii="Arial" w:hAnsi="Arial"/>
      <w:vertAlign w:val="superscript"/>
    </w:rPr>
  </w:style>
  <w:style w:type="paragraph" w:styleId="FootnoteText">
    <w:name w:val="footnote text"/>
    <w:aliases w:val="ACMA Footnote Text,footnote text,Footnote Text Char Char,Footnote Text Char1 Char Char,Footnote Text Char Char Char Char,Footnote Text Char1 Char Char Char Char,Footnote Text Char Char Char Char Char Char,f,fn,Footnote Text Char1"/>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12"/>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styleId="UnresolvedMention">
    <w:name w:val="Unresolved Mention"/>
    <w:basedOn w:val="DefaultParagraphFont"/>
    <w:uiPriority w:val="99"/>
    <w:semiHidden/>
    <w:unhideWhenUsed/>
    <w:rsid w:val="00B82EDA"/>
    <w:rPr>
      <w:color w:val="605E5C"/>
      <w:shd w:val="clear" w:color="auto" w:fill="E1DFDD"/>
    </w:rPr>
  </w:style>
  <w:style w:type="character" w:customStyle="1" w:styleId="Heading2Char">
    <w:name w:val="Heading 2 Char"/>
    <w:aliases w:val="RIS Heading 2 Char"/>
    <w:basedOn w:val="DefaultParagraphFont"/>
    <w:link w:val="Heading2"/>
    <w:rsid w:val="00B82EDA"/>
    <w:rPr>
      <w:rFonts w:ascii="Arial" w:hAnsi="Arial" w:cs="Arial"/>
      <w:b/>
      <w:bCs/>
      <w:iCs/>
      <w:sz w:val="28"/>
      <w:szCs w:val="28"/>
    </w:rPr>
  </w:style>
  <w:style w:type="character" w:customStyle="1" w:styleId="Heading3Char">
    <w:name w:val="Heading 3 Char"/>
    <w:basedOn w:val="DefaultParagraphFont"/>
    <w:link w:val="Heading3"/>
    <w:rsid w:val="00B82EDA"/>
    <w:rPr>
      <w:rFonts w:ascii="Arial" w:hAnsi="Arial" w:cs="Arial"/>
      <w:b/>
      <w:bCs/>
      <w:sz w:val="20"/>
      <w:szCs w:val="26"/>
    </w:rPr>
  </w:style>
  <w:style w:type="character" w:customStyle="1" w:styleId="FootnoteTextChar">
    <w:name w:val="Footnote Text Char"/>
    <w:aliases w:val="ACMA Footnote Text Char,footnote text Char,Footnote Text Char Char Char,Footnote Text Char1 Char Char Char,Footnote Text Char Char Char Char Char,Footnote Text Char1 Char Char Char Char Char,f Char,fn Char,Footnote Text Char1 Char"/>
    <w:basedOn w:val="DefaultParagraphFont"/>
    <w:link w:val="FootnoteText"/>
    <w:locked/>
    <w:rsid w:val="00B82EDA"/>
    <w:rPr>
      <w:rFonts w:ascii="Arial" w:hAnsi="Arial"/>
      <w:sz w:val="16"/>
      <w:szCs w:val="16"/>
    </w:rPr>
  </w:style>
  <w:style w:type="paragraph" w:styleId="ListParagraph">
    <w:name w:val="List Paragraph"/>
    <w:aliases w:val="List Paragraph1,Recommendation"/>
    <w:basedOn w:val="Normal"/>
    <w:link w:val="ListParagraphChar"/>
    <w:uiPriority w:val="34"/>
    <w:qFormat/>
    <w:rsid w:val="00D949C4"/>
    <w:pPr>
      <w:ind w:left="720"/>
      <w:contextualSpacing/>
    </w:pPr>
  </w:style>
  <w:style w:type="paragraph" w:customStyle="1" w:styleId="Default">
    <w:name w:val="Default"/>
    <w:rsid w:val="00335EF9"/>
    <w:pPr>
      <w:autoSpaceDE w:val="0"/>
      <w:autoSpaceDN w:val="0"/>
      <w:adjustRightInd w:val="0"/>
    </w:pPr>
    <w:rPr>
      <w:rFonts w:ascii="Arial" w:hAnsi="Arial" w:cs="Arial"/>
      <w:color w:val="000000"/>
    </w:rPr>
  </w:style>
  <w:style w:type="character" w:customStyle="1" w:styleId="ilfuvd">
    <w:name w:val="ilfuvd"/>
    <w:basedOn w:val="DefaultParagraphFont"/>
    <w:rsid w:val="00C87FB3"/>
  </w:style>
  <w:style w:type="character" w:customStyle="1" w:styleId="ListBulletChar">
    <w:name w:val="List Bullet Char"/>
    <w:aliases w:val="List Bullet 1 Char"/>
    <w:basedOn w:val="DefaultParagraphFont"/>
    <w:link w:val="ListBullet"/>
    <w:rsid w:val="006026FE"/>
    <w:rPr>
      <w:rFonts w:ascii="Arial" w:hAnsi="Arial"/>
      <w:sz w:val="20"/>
    </w:rPr>
  </w:style>
  <w:style w:type="character" w:customStyle="1" w:styleId="ListParagraphChar">
    <w:name w:val="List Paragraph Char"/>
    <w:aliases w:val="List Paragraph1 Char,Recommendation Char"/>
    <w:basedOn w:val="DefaultParagraphFont"/>
    <w:link w:val="ListParagraph"/>
    <w:uiPriority w:val="34"/>
    <w:rsid w:val="003300FA"/>
    <w:rPr>
      <w:rFonts w:ascii="Arial" w:hAnsi="Arial"/>
      <w:sz w:val="20"/>
    </w:rPr>
  </w:style>
  <w:style w:type="table" w:styleId="PlainTable1">
    <w:name w:val="Plain Table 1"/>
    <w:basedOn w:val="TableNormal"/>
    <w:uiPriority w:val="41"/>
    <w:rsid w:val="001856BB"/>
    <w:rPr>
      <w:sz w:val="20"/>
      <w:szCs w:val="20"/>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BodyText">
    <w:name w:val="Body Text"/>
    <w:basedOn w:val="Normal"/>
    <w:link w:val="BodyTextChar1"/>
    <w:autoRedefine/>
    <w:qFormat/>
    <w:rsid w:val="00024B68"/>
    <w:pPr>
      <w:spacing w:before="120" w:line="320" w:lineRule="exact"/>
      <w:jc w:val="both"/>
    </w:pPr>
    <w:rPr>
      <w:rFonts w:ascii="Verdana" w:eastAsia="'宋体" w:hAnsi="Verdana" w:cs="Arial"/>
      <w:sz w:val="22"/>
      <w:szCs w:val="22"/>
    </w:rPr>
  </w:style>
  <w:style w:type="character" w:customStyle="1" w:styleId="BodyTextChar">
    <w:name w:val="Body Text Char"/>
    <w:basedOn w:val="DefaultParagraphFont"/>
    <w:semiHidden/>
    <w:rsid w:val="00024B68"/>
    <w:rPr>
      <w:rFonts w:ascii="Arial" w:hAnsi="Arial"/>
      <w:sz w:val="20"/>
    </w:rPr>
  </w:style>
  <w:style w:type="character" w:customStyle="1" w:styleId="BodyTextChar1">
    <w:name w:val="Body Text Char1"/>
    <w:basedOn w:val="DefaultParagraphFont"/>
    <w:link w:val="BodyText"/>
    <w:rsid w:val="00024B68"/>
    <w:rPr>
      <w:rFonts w:ascii="Verdana" w:eastAsia="'宋体" w:hAnsi="Verdana" w:cs="Arial"/>
      <w:sz w:val="22"/>
      <w:szCs w:val="22"/>
    </w:rPr>
  </w:style>
  <w:style w:type="paragraph" w:styleId="Revision">
    <w:name w:val="Revision"/>
    <w:hidden/>
    <w:semiHidden/>
    <w:rsid w:val="001148AC"/>
    <w:rPr>
      <w:rFonts w:ascii="Arial" w:hAnsi="Arial"/>
      <w:sz w:val="20"/>
    </w:rPr>
  </w:style>
  <w:style w:type="paragraph" w:styleId="EndnoteText">
    <w:name w:val="endnote text"/>
    <w:basedOn w:val="Normal"/>
    <w:link w:val="EndnoteTextChar"/>
    <w:semiHidden/>
    <w:unhideWhenUsed/>
    <w:rsid w:val="00D250D5"/>
    <w:pPr>
      <w:spacing w:after="0" w:line="240" w:lineRule="auto"/>
    </w:pPr>
    <w:rPr>
      <w:szCs w:val="20"/>
    </w:rPr>
  </w:style>
  <w:style w:type="character" w:customStyle="1" w:styleId="EndnoteTextChar">
    <w:name w:val="Endnote Text Char"/>
    <w:basedOn w:val="DefaultParagraphFont"/>
    <w:link w:val="EndnoteText"/>
    <w:semiHidden/>
    <w:rsid w:val="00D250D5"/>
    <w:rPr>
      <w:rFonts w:ascii="Arial" w:hAnsi="Arial"/>
      <w:sz w:val="20"/>
      <w:szCs w:val="20"/>
    </w:rPr>
  </w:style>
  <w:style w:type="character" w:styleId="EndnoteReference">
    <w:name w:val="endnote reference"/>
    <w:basedOn w:val="DefaultParagraphFont"/>
    <w:semiHidden/>
    <w:unhideWhenUsed/>
    <w:rsid w:val="00D250D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687533">
      <w:bodyDiv w:val="1"/>
      <w:marLeft w:val="0"/>
      <w:marRight w:val="0"/>
      <w:marTop w:val="0"/>
      <w:marBottom w:val="0"/>
      <w:divBdr>
        <w:top w:val="none" w:sz="0" w:space="0" w:color="auto"/>
        <w:left w:val="none" w:sz="0" w:space="0" w:color="auto"/>
        <w:bottom w:val="none" w:sz="0" w:space="0" w:color="auto"/>
        <w:right w:val="none" w:sz="0" w:space="0" w:color="auto"/>
      </w:divBdr>
    </w:div>
    <w:div w:id="389351232">
      <w:bodyDiv w:val="1"/>
      <w:marLeft w:val="0"/>
      <w:marRight w:val="0"/>
      <w:marTop w:val="0"/>
      <w:marBottom w:val="0"/>
      <w:divBdr>
        <w:top w:val="none" w:sz="0" w:space="0" w:color="auto"/>
        <w:left w:val="none" w:sz="0" w:space="0" w:color="auto"/>
        <w:bottom w:val="none" w:sz="0" w:space="0" w:color="auto"/>
        <w:right w:val="none" w:sz="0" w:space="0" w:color="auto"/>
      </w:divBdr>
    </w:div>
    <w:div w:id="501508308">
      <w:bodyDiv w:val="1"/>
      <w:marLeft w:val="0"/>
      <w:marRight w:val="0"/>
      <w:marTop w:val="0"/>
      <w:marBottom w:val="0"/>
      <w:divBdr>
        <w:top w:val="none" w:sz="0" w:space="0" w:color="auto"/>
        <w:left w:val="none" w:sz="0" w:space="0" w:color="auto"/>
        <w:bottom w:val="none" w:sz="0" w:space="0" w:color="auto"/>
        <w:right w:val="none" w:sz="0" w:space="0" w:color="auto"/>
      </w:divBdr>
    </w:div>
    <w:div w:id="790829672">
      <w:bodyDiv w:val="1"/>
      <w:marLeft w:val="0"/>
      <w:marRight w:val="0"/>
      <w:marTop w:val="0"/>
      <w:marBottom w:val="0"/>
      <w:divBdr>
        <w:top w:val="none" w:sz="0" w:space="0" w:color="auto"/>
        <w:left w:val="none" w:sz="0" w:space="0" w:color="auto"/>
        <w:bottom w:val="none" w:sz="0" w:space="0" w:color="auto"/>
        <w:right w:val="none" w:sz="0" w:space="0" w:color="auto"/>
      </w:divBdr>
    </w:div>
    <w:div w:id="947157447">
      <w:bodyDiv w:val="1"/>
      <w:marLeft w:val="0"/>
      <w:marRight w:val="0"/>
      <w:marTop w:val="0"/>
      <w:marBottom w:val="0"/>
      <w:divBdr>
        <w:top w:val="none" w:sz="0" w:space="0" w:color="auto"/>
        <w:left w:val="none" w:sz="0" w:space="0" w:color="auto"/>
        <w:bottom w:val="none" w:sz="0" w:space="0" w:color="auto"/>
        <w:right w:val="none" w:sz="0" w:space="0" w:color="auto"/>
      </w:divBdr>
    </w:div>
    <w:div w:id="1249776854">
      <w:bodyDiv w:val="1"/>
      <w:marLeft w:val="0"/>
      <w:marRight w:val="0"/>
      <w:marTop w:val="0"/>
      <w:marBottom w:val="0"/>
      <w:divBdr>
        <w:top w:val="none" w:sz="0" w:space="0" w:color="auto"/>
        <w:left w:val="none" w:sz="0" w:space="0" w:color="auto"/>
        <w:bottom w:val="none" w:sz="0" w:space="0" w:color="auto"/>
        <w:right w:val="none" w:sz="0" w:space="0" w:color="auto"/>
      </w:divBdr>
    </w:div>
    <w:div w:id="1254585799">
      <w:bodyDiv w:val="1"/>
      <w:marLeft w:val="0"/>
      <w:marRight w:val="0"/>
      <w:marTop w:val="0"/>
      <w:marBottom w:val="0"/>
      <w:divBdr>
        <w:top w:val="none" w:sz="0" w:space="0" w:color="auto"/>
        <w:left w:val="none" w:sz="0" w:space="0" w:color="auto"/>
        <w:bottom w:val="none" w:sz="0" w:space="0" w:color="auto"/>
        <w:right w:val="none" w:sz="0" w:space="0" w:color="auto"/>
      </w:divBdr>
    </w:div>
    <w:div w:id="1418794552">
      <w:bodyDiv w:val="1"/>
      <w:marLeft w:val="0"/>
      <w:marRight w:val="0"/>
      <w:marTop w:val="0"/>
      <w:marBottom w:val="0"/>
      <w:divBdr>
        <w:top w:val="none" w:sz="0" w:space="0" w:color="auto"/>
        <w:left w:val="none" w:sz="0" w:space="0" w:color="auto"/>
        <w:bottom w:val="none" w:sz="0" w:space="0" w:color="auto"/>
        <w:right w:val="none" w:sz="0" w:space="0" w:color="auto"/>
      </w:divBdr>
      <w:divsChild>
        <w:div w:id="348878068">
          <w:marLeft w:val="0"/>
          <w:marRight w:val="0"/>
          <w:marTop w:val="0"/>
          <w:marBottom w:val="0"/>
          <w:divBdr>
            <w:top w:val="none" w:sz="0" w:space="0" w:color="auto"/>
            <w:left w:val="none" w:sz="0" w:space="0" w:color="auto"/>
            <w:bottom w:val="none" w:sz="0" w:space="0" w:color="auto"/>
            <w:right w:val="none" w:sz="0" w:space="0" w:color="auto"/>
          </w:divBdr>
          <w:divsChild>
            <w:div w:id="159394613">
              <w:marLeft w:val="0"/>
              <w:marRight w:val="0"/>
              <w:marTop w:val="0"/>
              <w:marBottom w:val="0"/>
              <w:divBdr>
                <w:top w:val="none" w:sz="0" w:space="0" w:color="auto"/>
                <w:left w:val="none" w:sz="0" w:space="0" w:color="auto"/>
                <w:bottom w:val="none" w:sz="0" w:space="0" w:color="auto"/>
                <w:right w:val="none" w:sz="0" w:space="0" w:color="auto"/>
              </w:divBdr>
              <w:divsChild>
                <w:div w:id="211961337">
                  <w:marLeft w:val="0"/>
                  <w:marRight w:val="0"/>
                  <w:marTop w:val="0"/>
                  <w:marBottom w:val="0"/>
                  <w:divBdr>
                    <w:top w:val="none" w:sz="0" w:space="0" w:color="auto"/>
                    <w:left w:val="none" w:sz="0" w:space="0" w:color="auto"/>
                    <w:bottom w:val="none" w:sz="0" w:space="0" w:color="auto"/>
                    <w:right w:val="none" w:sz="0" w:space="0" w:color="auto"/>
                  </w:divBdr>
                  <w:divsChild>
                    <w:div w:id="1933390395">
                      <w:marLeft w:val="0"/>
                      <w:marRight w:val="0"/>
                      <w:marTop w:val="0"/>
                      <w:marBottom w:val="0"/>
                      <w:divBdr>
                        <w:top w:val="none" w:sz="0" w:space="0" w:color="auto"/>
                        <w:left w:val="none" w:sz="0" w:space="0" w:color="auto"/>
                        <w:bottom w:val="none" w:sz="0" w:space="0" w:color="auto"/>
                        <w:right w:val="none" w:sz="0" w:space="0" w:color="auto"/>
                      </w:divBdr>
                      <w:divsChild>
                        <w:div w:id="399794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175073">
      <w:bodyDiv w:val="1"/>
      <w:marLeft w:val="0"/>
      <w:marRight w:val="0"/>
      <w:marTop w:val="0"/>
      <w:marBottom w:val="0"/>
      <w:divBdr>
        <w:top w:val="none" w:sz="0" w:space="0" w:color="auto"/>
        <w:left w:val="none" w:sz="0" w:space="0" w:color="auto"/>
        <w:bottom w:val="none" w:sz="0" w:space="0" w:color="auto"/>
        <w:right w:val="none" w:sz="0" w:space="0" w:color="auto"/>
      </w:divBdr>
    </w:div>
    <w:div w:id="1440103162">
      <w:bodyDiv w:val="1"/>
      <w:marLeft w:val="0"/>
      <w:marRight w:val="0"/>
      <w:marTop w:val="0"/>
      <w:marBottom w:val="0"/>
      <w:divBdr>
        <w:top w:val="none" w:sz="0" w:space="0" w:color="auto"/>
        <w:left w:val="none" w:sz="0" w:space="0" w:color="auto"/>
        <w:bottom w:val="none" w:sz="0" w:space="0" w:color="auto"/>
        <w:right w:val="none" w:sz="0" w:space="0" w:color="auto"/>
      </w:divBdr>
    </w:div>
    <w:div w:id="1461991306">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03980851">
      <w:bodyDiv w:val="1"/>
      <w:marLeft w:val="0"/>
      <w:marRight w:val="0"/>
      <w:marTop w:val="0"/>
      <w:marBottom w:val="0"/>
      <w:divBdr>
        <w:top w:val="none" w:sz="0" w:space="0" w:color="auto"/>
        <w:left w:val="none" w:sz="0" w:space="0" w:color="auto"/>
        <w:bottom w:val="none" w:sz="0" w:space="0" w:color="auto"/>
        <w:right w:val="none" w:sz="0" w:space="0" w:color="auto"/>
      </w:divBdr>
    </w:div>
    <w:div w:id="2020545498">
      <w:bodyDiv w:val="1"/>
      <w:marLeft w:val="0"/>
      <w:marRight w:val="0"/>
      <w:marTop w:val="0"/>
      <w:marBottom w:val="0"/>
      <w:divBdr>
        <w:top w:val="none" w:sz="0" w:space="0" w:color="auto"/>
        <w:left w:val="none" w:sz="0" w:space="0" w:color="auto"/>
        <w:bottom w:val="none" w:sz="0" w:space="0" w:color="auto"/>
        <w:right w:val="none" w:sz="0" w:space="0" w:color="auto"/>
      </w:divBdr>
    </w:div>
    <w:div w:id="2023044044">
      <w:bodyDiv w:val="1"/>
      <w:marLeft w:val="0"/>
      <w:marRight w:val="0"/>
      <w:marTop w:val="0"/>
      <w:marBottom w:val="0"/>
      <w:divBdr>
        <w:top w:val="none" w:sz="0" w:space="0" w:color="auto"/>
        <w:left w:val="none" w:sz="0" w:space="0" w:color="auto"/>
        <w:bottom w:val="none" w:sz="0" w:space="0" w:color="auto"/>
        <w:right w:val="none" w:sz="0" w:space="0" w:color="auto"/>
      </w:divBdr>
    </w:div>
    <w:div w:id="2032603772">
      <w:bodyDiv w:val="1"/>
      <w:marLeft w:val="0"/>
      <w:marRight w:val="0"/>
      <w:marTop w:val="0"/>
      <w:marBottom w:val="0"/>
      <w:divBdr>
        <w:top w:val="none" w:sz="0" w:space="0" w:color="auto"/>
        <w:left w:val="none" w:sz="0" w:space="0" w:color="auto"/>
        <w:bottom w:val="none" w:sz="0" w:space="0" w:color="auto"/>
        <w:right w:val="none" w:sz="0" w:space="0" w:color="auto"/>
      </w:divBdr>
    </w:div>
    <w:div w:id="2060282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eader" Target="header7.xml"/><Relationship Id="rId21" Type="http://schemas.openxmlformats.org/officeDocument/2006/relationships/footer" Target="footer4.xml"/><Relationship Id="rId42" Type="http://schemas.openxmlformats.org/officeDocument/2006/relationships/image" Target="media/image8.png"/><Relationship Id="rId47" Type="http://schemas.openxmlformats.org/officeDocument/2006/relationships/image" Target="media/image10.png"/><Relationship Id="rId63" Type="http://schemas.openxmlformats.org/officeDocument/2006/relationships/image" Target="media/image24.jpeg"/><Relationship Id="rId68" Type="http://schemas.openxmlformats.org/officeDocument/2006/relationships/image" Target="media/image27.png"/><Relationship Id="rId84" Type="http://schemas.openxmlformats.org/officeDocument/2006/relationships/hyperlink" Target="https://www.acma.gov.au/Industry/Spectrum/Spectrum-planning/About-spectrum-planning/australian-spectrum-management-principles-spectrum-planning-acma" TargetMode="External"/><Relationship Id="rId89" Type="http://schemas.openxmlformats.org/officeDocument/2006/relationships/hyperlink" Target="http://www.wia.org.au/members/bandplans/data/" TargetMode="Externa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footer" Target="footer8.xml"/><Relationship Id="rId107" Type="http://schemas.openxmlformats.org/officeDocument/2006/relationships/image" Target="media/image43.png"/><Relationship Id="rId11" Type="http://schemas.openxmlformats.org/officeDocument/2006/relationships/hyperlink" Target="http://i.creativecommons.org/l/by/3.0/88x31.png" TargetMode="External"/><Relationship Id="rId24" Type="http://schemas.openxmlformats.org/officeDocument/2006/relationships/hyperlink" Target="https://www.acma.gov.au/theACMA/future-approach-to-the-3_6-ghz-band" TargetMode="External"/><Relationship Id="rId32" Type="http://schemas.openxmlformats.org/officeDocument/2006/relationships/image" Target="media/image5.png"/><Relationship Id="rId37" Type="http://schemas.openxmlformats.org/officeDocument/2006/relationships/hyperlink" Target="https://www.acma.gov.au/theACMA/future-approach-to-the-3_6-ghz-band" TargetMode="External"/><Relationship Id="rId40" Type="http://schemas.openxmlformats.org/officeDocument/2006/relationships/hyperlink" Target="https://www.legislation.gov.au/Details/F2016C00286" TargetMode="External"/><Relationship Id="rId45" Type="http://schemas.openxmlformats.org/officeDocument/2006/relationships/hyperlink" Target="https://www.acma.gov.au/Industry/Spectrum/Spectrum-planning/Current-APs-info-and-resources/frequency-assignment-requirements-spectrum-planning-acma" TargetMode="External"/><Relationship Id="rId53" Type="http://schemas.openxmlformats.org/officeDocument/2006/relationships/image" Target="media/image14.jpeg"/><Relationship Id="rId58" Type="http://schemas.openxmlformats.org/officeDocument/2006/relationships/image" Target="media/image19.png"/><Relationship Id="rId66" Type="http://schemas.openxmlformats.org/officeDocument/2006/relationships/image" Target="media/image25.png"/><Relationship Id="rId74" Type="http://schemas.openxmlformats.org/officeDocument/2006/relationships/image" Target="media/image33.png"/><Relationship Id="rId79" Type="http://schemas.openxmlformats.org/officeDocument/2006/relationships/hyperlink" Target="mailto:freqplan@acma.gov.au" TargetMode="External"/><Relationship Id="rId87" Type="http://schemas.openxmlformats.org/officeDocument/2006/relationships/image" Target="media/image39.png"/><Relationship Id="rId102" Type="http://schemas.openxmlformats.org/officeDocument/2006/relationships/header" Target="header9.xml"/><Relationship Id="rId5" Type="http://schemas.openxmlformats.org/officeDocument/2006/relationships/webSettings" Target="webSettings.xml"/><Relationship Id="rId61" Type="http://schemas.openxmlformats.org/officeDocument/2006/relationships/image" Target="media/image22.jpeg"/><Relationship Id="rId82" Type="http://schemas.openxmlformats.org/officeDocument/2006/relationships/hyperlink" Target="https://www.acma.gov.au/-/media/Spectrum-Engineering/Information/Word-Document/australian_spectrum_map_grid_28feb2012-docx.docx?la=en" TargetMode="External"/><Relationship Id="rId90" Type="http://schemas.openxmlformats.org/officeDocument/2006/relationships/hyperlink" Target="https://www.legislation.gov.au/Details/F2016C00432" TargetMode="External"/><Relationship Id="rId95" Type="http://schemas.openxmlformats.org/officeDocument/2006/relationships/hyperlink" Target="https://www.acma.gov.au/Industry/Spectrum/Radiocomms-licensing/Spectrum-licences/auction-summary-3point4-ghz-fixed-wireless-access-2000" TargetMode="External"/><Relationship Id="rId19" Type="http://schemas.openxmlformats.org/officeDocument/2006/relationships/header" Target="header5.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eader" Target="header8.xml"/><Relationship Id="rId30" Type="http://schemas.openxmlformats.org/officeDocument/2006/relationships/image" Target="media/image4.emf"/><Relationship Id="rId35" Type="http://schemas.openxmlformats.org/officeDocument/2006/relationships/hyperlink" Target="https://www.legislation.gov.au/Details/F2016C00432" TargetMode="External"/><Relationship Id="rId43" Type="http://schemas.openxmlformats.org/officeDocument/2006/relationships/hyperlink" Target="https://www.acma.gov.au/theACMA/future-approach-to-the-3_6-ghz-band" TargetMode="External"/><Relationship Id="rId48" Type="http://schemas.openxmlformats.org/officeDocument/2006/relationships/image" Target="media/image11.png"/><Relationship Id="rId56" Type="http://schemas.openxmlformats.org/officeDocument/2006/relationships/image" Target="media/image17.jpeg"/><Relationship Id="rId64" Type="http://schemas.openxmlformats.org/officeDocument/2006/relationships/hyperlink" Target="https://web.acma.gov.au/rrl/register_search.main_page" TargetMode="External"/><Relationship Id="rId69" Type="http://schemas.openxmlformats.org/officeDocument/2006/relationships/image" Target="media/image28.png"/><Relationship Id="rId77" Type="http://schemas.openxmlformats.org/officeDocument/2006/relationships/image" Target="media/image36.png"/><Relationship Id="rId100" Type="http://schemas.openxmlformats.org/officeDocument/2006/relationships/image" Target="media/image41.png"/><Relationship Id="rId105" Type="http://schemas.openxmlformats.org/officeDocument/2006/relationships/footer" Target="footer10.xml"/><Relationship Id="rId8" Type="http://schemas.openxmlformats.org/officeDocument/2006/relationships/header" Target="header1.xml"/><Relationship Id="rId51" Type="http://schemas.openxmlformats.org/officeDocument/2006/relationships/image" Target="media/image12.jpeg"/><Relationship Id="rId72" Type="http://schemas.openxmlformats.org/officeDocument/2006/relationships/image" Target="media/image31.png"/><Relationship Id="rId80" Type="http://schemas.openxmlformats.org/officeDocument/2006/relationships/hyperlink" Target="https://www.acma.gov.au/theACMA/About/Corporate/Accountability/privacy-and-consultations" TargetMode="External"/><Relationship Id="rId85" Type="http://schemas.openxmlformats.org/officeDocument/2006/relationships/image" Target="media/image37.png"/><Relationship Id="rId93" Type="http://schemas.openxmlformats.org/officeDocument/2006/relationships/hyperlink" Target="http://www.acma.gov.au/Industry/Spectrum/Radiocomms-licensing/Class-licences/spectrum-embargoes-spectrum-planning-acma" TargetMode="External"/><Relationship Id="rId98" Type="http://schemas.openxmlformats.org/officeDocument/2006/relationships/hyperlink" Target="http://www.acma.gov.au/theACMA/convert-hcis-area-description-to-a-placemark"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Industry/Spectrum/Spectrum-planning/About-spectrum-planning/australian-spectrum-management-principles-spectrum-planning-acma" TargetMode="External"/><Relationship Id="rId33" Type="http://schemas.openxmlformats.org/officeDocument/2006/relationships/hyperlink" Target="https://www.acma.gov.au/Industry/Spectrum/Spectrum-planning/Current-APs-info-and-resources/frequency-assignment-requirements-spectrum-planning-acma" TargetMode="External"/><Relationship Id="rId38" Type="http://schemas.openxmlformats.org/officeDocument/2006/relationships/hyperlink" Target="https://www.acma.gov.au/Industry/Spectrum/Spectrum-planning/Current-APs-info-and-resources/frequency-assignment-requirements-spectrum-planning-acma" TargetMode="External"/><Relationship Id="rId46" Type="http://schemas.openxmlformats.org/officeDocument/2006/relationships/hyperlink" Target="https://www.legislation.gov.au/Details/F2016C00286" TargetMode="External"/><Relationship Id="rId59" Type="http://schemas.openxmlformats.org/officeDocument/2006/relationships/image" Target="media/image20.png"/><Relationship Id="rId67" Type="http://schemas.openxmlformats.org/officeDocument/2006/relationships/image" Target="media/image26.png"/><Relationship Id="rId103" Type="http://schemas.openxmlformats.org/officeDocument/2006/relationships/header" Target="header10.xml"/><Relationship Id="rId108" Type="http://schemas.openxmlformats.org/officeDocument/2006/relationships/fontTable" Target="fontTable.xml"/><Relationship Id="rId20" Type="http://schemas.openxmlformats.org/officeDocument/2006/relationships/header" Target="header6.xml"/><Relationship Id="rId41" Type="http://schemas.openxmlformats.org/officeDocument/2006/relationships/image" Target="media/image7.png"/><Relationship Id="rId54" Type="http://schemas.openxmlformats.org/officeDocument/2006/relationships/image" Target="media/image15.jpeg"/><Relationship Id="rId62" Type="http://schemas.openxmlformats.org/officeDocument/2006/relationships/image" Target="media/image23.jpeg"/><Relationship Id="rId70" Type="http://schemas.openxmlformats.org/officeDocument/2006/relationships/image" Target="media/image29.png"/><Relationship Id="rId75" Type="http://schemas.openxmlformats.org/officeDocument/2006/relationships/image" Target="media/image34.png"/><Relationship Id="rId83" Type="http://schemas.openxmlformats.org/officeDocument/2006/relationships/hyperlink" Target="https://www.acma.gov.au/Industry/Spectrum/Spectrum-planning/About-spectrum-planning/technical-framework-3_4-ghz" TargetMode="External"/><Relationship Id="rId88" Type="http://schemas.openxmlformats.org/officeDocument/2006/relationships/hyperlink" Target="https://www.legislation.gov.au/Details/F2014L01399" TargetMode="External"/><Relationship Id="rId91" Type="http://schemas.openxmlformats.org/officeDocument/2006/relationships/hyperlink" Target="http://www.acma.gov.au/Industry/Spectrum/Radiocomms-licensing/Class-licences/spectrum-embargoes-spectrum-planning-acma" TargetMode="External"/><Relationship Id="rId96" Type="http://schemas.openxmlformats.org/officeDocument/2006/relationships/hyperlink" Target="https://www.legislation.gov.au/Details/F2018L00222"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oter" Target="footer7.xml"/><Relationship Id="rId36" Type="http://schemas.openxmlformats.org/officeDocument/2006/relationships/image" Target="media/image6.png"/><Relationship Id="rId49" Type="http://schemas.openxmlformats.org/officeDocument/2006/relationships/hyperlink" Target="https://www.acma.gov.au/theACMA/future-approach-to-the-3_6-ghz-band" TargetMode="External"/><Relationship Id="rId57" Type="http://schemas.openxmlformats.org/officeDocument/2006/relationships/image" Target="media/image18.jpeg"/><Relationship Id="rId106" Type="http://schemas.openxmlformats.org/officeDocument/2006/relationships/image" Target="media/image42.png"/><Relationship Id="rId10" Type="http://schemas.openxmlformats.org/officeDocument/2006/relationships/header" Target="header2.xml"/><Relationship Id="rId31" Type="http://schemas.openxmlformats.org/officeDocument/2006/relationships/hyperlink" Target="https://www.acma.gov.au/Industry/Spectrum/Spectrum-projects/5-Year-Spectrum-Outlook" TargetMode="External"/><Relationship Id="rId44" Type="http://schemas.openxmlformats.org/officeDocument/2006/relationships/image" Target="media/image9.png"/><Relationship Id="rId52" Type="http://schemas.openxmlformats.org/officeDocument/2006/relationships/image" Target="media/image13.jpeg"/><Relationship Id="rId60" Type="http://schemas.openxmlformats.org/officeDocument/2006/relationships/image" Target="media/image21.jpeg"/><Relationship Id="rId65" Type="http://schemas.openxmlformats.org/officeDocument/2006/relationships/hyperlink" Target="https://www.legislation.gov.au/Details/F2018L01045" TargetMode="External"/><Relationship Id="rId73" Type="http://schemas.openxmlformats.org/officeDocument/2006/relationships/image" Target="media/image32.png"/><Relationship Id="rId78" Type="http://schemas.openxmlformats.org/officeDocument/2006/relationships/hyperlink" Target="http://www.acma.gov.au/theACMA/Consultations/Consultations" TargetMode="External"/><Relationship Id="rId81" Type="http://schemas.openxmlformats.org/officeDocument/2006/relationships/hyperlink" Target="http://www.acma.gov.au/privacypolicy" TargetMode="External"/><Relationship Id="rId86" Type="http://schemas.openxmlformats.org/officeDocument/2006/relationships/image" Target="media/image38.png"/><Relationship Id="rId94" Type="http://schemas.openxmlformats.org/officeDocument/2006/relationships/hyperlink" Target="https://www.acma.gov.au/Industry/Spectrum/Radiocomms-licensing/Spectrum-licences/auction-summary-3point4-ghz-fixed-wireless-access-2000" TargetMode="External"/><Relationship Id="rId99" Type="http://schemas.openxmlformats.org/officeDocument/2006/relationships/image" Target="media/image40.png"/><Relationship Id="rId101" Type="http://schemas.openxmlformats.org/officeDocument/2006/relationships/hyperlink" Target="https://www.legislation.gov.au/Details/F2018L00222"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39" Type="http://schemas.openxmlformats.org/officeDocument/2006/relationships/hyperlink" Target="https://www.acma.gov.au/Industry/Spectrum/Spectrum-planning/Current-APs-info-and-resources/frequency-assignment-requirements-spectrum-planning-acma" TargetMode="External"/><Relationship Id="rId109" Type="http://schemas.openxmlformats.org/officeDocument/2006/relationships/theme" Target="theme/theme1.xml"/><Relationship Id="rId34" Type="http://schemas.openxmlformats.org/officeDocument/2006/relationships/hyperlink" Target="http://www.wia.org.au/members/bandplans/data/" TargetMode="External"/><Relationship Id="rId50" Type="http://schemas.openxmlformats.org/officeDocument/2006/relationships/hyperlink" Target="https://www.legislation.gov.au/Details/F2014L01399" TargetMode="External"/><Relationship Id="rId55" Type="http://schemas.openxmlformats.org/officeDocument/2006/relationships/image" Target="media/image16.jpeg"/><Relationship Id="rId76" Type="http://schemas.openxmlformats.org/officeDocument/2006/relationships/image" Target="media/image35.png"/><Relationship Id="rId97" Type="http://schemas.openxmlformats.org/officeDocument/2006/relationships/hyperlink" Target="https://www.acma.gov.au/-/media/Spectrum-Engineering/Information/Word-Document/australian_spectrum_map_grid_28feb2012-docx.docx?la=en" TargetMode="External"/><Relationship Id="rId104" Type="http://schemas.openxmlformats.org/officeDocument/2006/relationships/footer" Target="footer9.xml"/><Relationship Id="rId7" Type="http://schemas.openxmlformats.org/officeDocument/2006/relationships/endnotes" Target="endnotes.xml"/><Relationship Id="rId71" Type="http://schemas.openxmlformats.org/officeDocument/2006/relationships/image" Target="media/image30.png"/><Relationship Id="rId92" Type="http://schemas.openxmlformats.org/officeDocument/2006/relationships/hyperlink" Target="http://www.acma.gov.au/Industry/Spectrum/Radiocomms-licensing/Class-licences/spectrum-embargoes-spectrum-planning-acm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s://www.acma.gov.au/Industry/Spectrum/Radiocomms-licensing/Spectrum-licences/spectrum-licence-technical-liaison-groups-1" TargetMode="External"/><Relationship Id="rId2" Type="http://schemas.openxmlformats.org/officeDocument/2006/relationships/hyperlink" Target="http://www.acma.gov.au/Industry/Spectrum/Spectrum-planning/About-spectrum-planning/principles-for-spectrum-management" TargetMode="External"/><Relationship Id="rId1" Type="http://schemas.openxmlformats.org/officeDocument/2006/relationships/hyperlink" Target="https://www.acma.gov.au/theACMA/acma-corporate-plan" TargetMode="External"/><Relationship Id="rId4" Type="http://schemas.openxmlformats.org/officeDocument/2006/relationships/hyperlink" Target="http://www.skyworksinc.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FEBE25-5DC3-49AA-8357-0B97CFD877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67</Pages>
  <Words>20008</Words>
  <Characters>114050</Characters>
  <Application>Microsoft Office Word</Application>
  <DocSecurity>0</DocSecurity>
  <Lines>950</Lines>
  <Paragraphs>267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133791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2019-05-06T02:03:00Z</dcterms:created>
  <dcterms:modified xsi:type="dcterms:W3CDTF">2019-05-06T02:13:00Z</dcterms:modified>
  <cp:category/>
</cp:coreProperties>
</file>