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alias w:val="Title"/>
        <w:id w:val="4150108"/>
        <w:placeholder>
          <w:docPart w:val="18AF5856D714456CBC62B09CB8EC01CA"/>
        </w:placeholder>
        <w:dataBinding w:prefixMappings="xmlns:ns0='http://purl.org/dc/elements/1.1/' xmlns:ns1='http://schemas.openxmlformats.org/package/2006/metadata/core-properties' " w:xpath="/ns1:coreProperties[1]/ns0:title[1]" w:storeItemID="{6C3C8BC8-F283-45AE-878A-BAB7291924A1}"/>
        <w:text/>
      </w:sdtPr>
      <w:sdtEndPr/>
      <w:sdtContent>
        <w:p w14:paraId="7A85D5E0" w14:textId="4720E507" w:rsidR="00273480" w:rsidRPr="006E0B49" w:rsidRDefault="00DC7F68" w:rsidP="004305FC">
          <w:pPr>
            <w:pStyle w:val="Heading1"/>
          </w:pPr>
          <w:r>
            <w:t>T</w:t>
          </w:r>
          <w:r w:rsidR="005631CB">
            <w:t>he ACMA’s benefits estimation for the Telecommunications Consumer Protection code</w:t>
          </w:r>
        </w:p>
      </w:sdtContent>
    </w:sdt>
    <w:p w14:paraId="7B6AE7C9" w14:textId="6F6C45AE" w:rsidR="009E6D32" w:rsidRDefault="00DC7F68" w:rsidP="009E6D32">
      <w:pPr>
        <w:pStyle w:val="Subtitle"/>
      </w:pPr>
      <w:r>
        <w:t xml:space="preserve">A Peer Review </w:t>
      </w:r>
      <w:r w:rsidR="005631CB">
        <w:t>Prepared for the ACMA</w:t>
      </w:r>
    </w:p>
    <w:p w14:paraId="4F4AFC22" w14:textId="77777777" w:rsidR="009E6D32" w:rsidRDefault="00D15AC1" w:rsidP="009E6D32">
      <w:r>
        <w:t>The ACMA has asked Frontier Economics to peer review its estimat</w:t>
      </w:r>
      <w:r w:rsidR="00D91DD7">
        <w:t>e</w:t>
      </w:r>
      <w:r>
        <w:t xml:space="preserve"> of benefits from the implementation of the Telecommunications Consumer Protection (TCP) code</w:t>
      </w:r>
      <w:r w:rsidR="00DF6FD3">
        <w:t>. The TCP code was introduced in 2012, with elements being progressively introduced over the past few years.</w:t>
      </w:r>
    </w:p>
    <w:p w14:paraId="0AB796C5" w14:textId="77777777" w:rsidR="00DF6FD3" w:rsidRDefault="00DF6FD3" w:rsidP="009E6D32">
      <w:r>
        <w:t>For the purposes of the peer review, the ACMA supplied us with a (draft) written document outlining the methodology and results of the benefit estimations, and an Excel spreadsheet containing the benefit calculations. We have reviewed both the methodology and calculations in our peer review.</w:t>
      </w:r>
    </w:p>
    <w:p w14:paraId="401FC50E" w14:textId="77777777" w:rsidR="00DF6283" w:rsidRDefault="00EE039E" w:rsidP="009E6D32">
      <w:r>
        <w:t xml:space="preserve">Overall, we conclude that the ACMA’s estimates </w:t>
      </w:r>
      <w:r w:rsidR="00DF6283">
        <w:t xml:space="preserve">of the benefits of the TCP changes consumers are reasonable. </w:t>
      </w:r>
    </w:p>
    <w:p w14:paraId="1DD77A7D" w14:textId="6F242DAA" w:rsidR="008843E3" w:rsidRDefault="00DF6283" w:rsidP="009E6D32">
      <w:r>
        <w:t>Some care would need to be taken before using these figures to support regulatory intervention, as some of the identified benefits may count as costs for industry.</w:t>
      </w:r>
      <w:r w:rsidR="008843E3">
        <w:rPr>
          <w:rStyle w:val="EndnoteReference"/>
        </w:rPr>
        <w:endnoteReference w:id="1"/>
      </w:r>
    </w:p>
    <w:p w14:paraId="6E82BD10" w14:textId="77777777" w:rsidR="00EE039E" w:rsidRDefault="00EE039E" w:rsidP="009E6D32">
      <w:r>
        <w:t>In the remainder of this note, we document our review and comment on particular inputs and assumptions.</w:t>
      </w:r>
    </w:p>
    <w:p w14:paraId="289BFCBC" w14:textId="77777777" w:rsidR="000F48E9" w:rsidRDefault="001114D9" w:rsidP="009E6D32">
      <w:pPr>
        <w:pStyle w:val="Heading2"/>
      </w:pPr>
      <w:r>
        <w:t>Overview of benefit estimations</w:t>
      </w:r>
    </w:p>
    <w:p w14:paraId="033B7DC2" w14:textId="77777777" w:rsidR="001114D9" w:rsidRDefault="001114D9" w:rsidP="00466992">
      <w:r>
        <w:t>The ACMA</w:t>
      </w:r>
      <w:r w:rsidR="00D91DD7">
        <w:t xml:space="preserve"> seeks to estimate the benefits of different kinds of behavioural change resulting from the TCP code</w:t>
      </w:r>
      <w:r>
        <w:t>:</w:t>
      </w:r>
    </w:p>
    <w:p w14:paraId="1C543D91" w14:textId="77777777" w:rsidR="001114D9" w:rsidRDefault="001114D9" w:rsidP="001114D9">
      <w:pPr>
        <w:pStyle w:val="FEBullet2"/>
      </w:pPr>
      <w:r>
        <w:t xml:space="preserve">Benefits from </w:t>
      </w:r>
      <w:r w:rsidRPr="00C6053E">
        <w:rPr>
          <w:b/>
        </w:rPr>
        <w:t>fewer complaints</w:t>
      </w:r>
      <w:r>
        <w:t xml:space="preserve">, with benefits accruing to both </w:t>
      </w:r>
      <w:r w:rsidR="00E40A2B">
        <w:t>consumers</w:t>
      </w:r>
      <w:r>
        <w:t xml:space="preserve"> and to industry (including </w:t>
      </w:r>
      <w:r w:rsidR="00E40A2B">
        <w:t xml:space="preserve">through reductions in required </w:t>
      </w:r>
      <w:r>
        <w:t>TIO funding</w:t>
      </w:r>
      <w:r w:rsidR="00E40A2B">
        <w:t xml:space="preserve"> to resolve disputes</w:t>
      </w:r>
      <w:r>
        <w:t>)</w:t>
      </w:r>
    </w:p>
    <w:p w14:paraId="66CA9F18" w14:textId="77777777" w:rsidR="001114D9" w:rsidRDefault="001114D9" w:rsidP="001114D9">
      <w:pPr>
        <w:pStyle w:val="FEBullet2"/>
      </w:pPr>
      <w:r>
        <w:t xml:space="preserve">Benefits from </w:t>
      </w:r>
      <w:r w:rsidRPr="00C6053E">
        <w:rPr>
          <w:b/>
        </w:rPr>
        <w:t>better matching of customer usage patterns with available mobile plans</w:t>
      </w:r>
      <w:r w:rsidR="00E40A2B">
        <w:t>, so that there is less ‘wastage’ by consumers</w:t>
      </w:r>
      <w:r w:rsidR="00D91DD7">
        <w:t xml:space="preserve"> in the sense of spending more than they need to</w:t>
      </w:r>
    </w:p>
    <w:p w14:paraId="06464E23" w14:textId="77777777" w:rsidR="001114D9" w:rsidRDefault="001114D9" w:rsidP="001114D9">
      <w:pPr>
        <w:pStyle w:val="FEBullet2"/>
      </w:pPr>
      <w:r>
        <w:t xml:space="preserve">Benefits from </w:t>
      </w:r>
      <w:r w:rsidRPr="00C6053E">
        <w:rPr>
          <w:b/>
        </w:rPr>
        <w:t>reductions in unexpectedly high bills</w:t>
      </w:r>
      <w:r w:rsidR="00E40A2B">
        <w:t>, where consumers’ lack of information hinders their ability to acquire the desired level of service (and particularly usage of data services)</w:t>
      </w:r>
    </w:p>
    <w:p w14:paraId="52305634" w14:textId="2AF27877" w:rsidR="00AB373E" w:rsidRDefault="00D91DD7" w:rsidP="001114D9">
      <w:r>
        <w:t xml:space="preserve">The ACMA’s analysis </w:t>
      </w:r>
      <w:r w:rsidR="00AB373E">
        <w:t>suggest</w:t>
      </w:r>
      <w:r>
        <w:t>s</w:t>
      </w:r>
      <w:r w:rsidR="00AB373E">
        <w:t xml:space="preserve"> that </w:t>
      </w:r>
      <w:r w:rsidR="00E40A2B">
        <w:t>the a</w:t>
      </w:r>
      <w:r w:rsidR="00DF6283">
        <w:t>ggregate benefits to Australian consumers</w:t>
      </w:r>
      <w:r w:rsidR="00E40A2B">
        <w:t xml:space="preserve"> are in the</w:t>
      </w:r>
      <w:r>
        <w:t xml:space="preserve"> order of $</w:t>
      </w:r>
      <w:r w:rsidR="00982FEC">
        <w:t xml:space="preserve">545 </w:t>
      </w:r>
      <w:r>
        <w:t>million per year, with smaller benefits associated with reductions</w:t>
      </w:r>
      <w:r w:rsidR="003754D1">
        <w:t xml:space="preserve"> in consumer complaints</w:t>
      </w:r>
      <w:r>
        <w:t xml:space="preserve"> and larger benefits associated with reductions in wastage </w:t>
      </w:r>
      <w:r w:rsidR="00982FEC">
        <w:t xml:space="preserve">from wrong contracts </w:t>
      </w:r>
      <w:r>
        <w:t>and from unexpectedly high bills.</w:t>
      </w:r>
    </w:p>
    <w:p w14:paraId="2367D94A" w14:textId="77777777" w:rsidR="00AB373E" w:rsidRDefault="00AB373E" w:rsidP="00AB373E">
      <w:pPr>
        <w:pStyle w:val="Heading2"/>
      </w:pPr>
      <w:r>
        <w:lastRenderedPageBreak/>
        <w:t>Estimation of benefits from fewer complaints</w:t>
      </w:r>
    </w:p>
    <w:p w14:paraId="6207C1E6" w14:textId="77777777" w:rsidR="002E51A4" w:rsidRDefault="004B3AFC" w:rsidP="00010D19">
      <w:r>
        <w:t xml:space="preserve">The </w:t>
      </w:r>
      <w:r w:rsidR="00001512">
        <w:t xml:space="preserve">ACMA’s </w:t>
      </w:r>
      <w:r>
        <w:t xml:space="preserve">methodology </w:t>
      </w:r>
      <w:r w:rsidR="00001512">
        <w:t>is to estimate</w:t>
      </w:r>
      <w:r>
        <w:t xml:space="preserve"> the reduction in complaints to the Telecommunications Industry Ombudsman (TIO)</w:t>
      </w:r>
      <w:r w:rsidR="00001512">
        <w:t xml:space="preserve"> before and after the introduction of the TCP code. This reduction is converted into a </w:t>
      </w:r>
      <w:r>
        <w:t xml:space="preserve">dollar value </w:t>
      </w:r>
      <w:r w:rsidR="00001512">
        <w:t xml:space="preserve">which reflects the value of consumer and staff </w:t>
      </w:r>
      <w:r>
        <w:t>time saved.</w:t>
      </w:r>
      <w:r w:rsidR="00010D19">
        <w:t xml:space="preserve"> </w:t>
      </w:r>
      <w:r w:rsidR="002E51A4">
        <w:t xml:space="preserve">The benefits </w:t>
      </w:r>
      <w:r w:rsidR="00010D19">
        <w:t>to consumers and to industry are</w:t>
      </w:r>
      <w:r w:rsidR="002E51A4">
        <w:t xml:space="preserve"> estimated separately.</w:t>
      </w:r>
    </w:p>
    <w:p w14:paraId="5EA68279" w14:textId="77777777" w:rsidR="004B3AFC" w:rsidRDefault="00010D19" w:rsidP="00AB373E">
      <w:r>
        <w:t>In our view, t</w:t>
      </w:r>
      <w:r w:rsidR="004B3AFC">
        <w:t>h</w:t>
      </w:r>
      <w:r>
        <w:t>e</w:t>
      </w:r>
      <w:r w:rsidR="004B3AFC">
        <w:t xml:space="preserve"> method </w:t>
      </w:r>
      <w:r>
        <w:t xml:space="preserve">adopted is broadly an </w:t>
      </w:r>
      <w:r w:rsidR="004B3AFC">
        <w:t>appropriate measure of benefits.</w:t>
      </w:r>
      <w:r w:rsidR="00D15AC1">
        <w:t xml:space="preserve"> </w:t>
      </w:r>
      <w:r>
        <w:t xml:space="preserve">Reductions in costs </w:t>
      </w:r>
      <w:r w:rsidR="00D15AC1">
        <w:t>create more economic value</w:t>
      </w:r>
      <w:r>
        <w:t xml:space="preserve"> – the difference between consumer willingness to pay and the costs of production</w:t>
      </w:r>
      <w:r w:rsidR="00D15AC1">
        <w:t>.</w:t>
      </w:r>
    </w:p>
    <w:p w14:paraId="34E847B4" w14:textId="77777777" w:rsidR="00001512" w:rsidRDefault="00010D19" w:rsidP="00010D19">
      <w:r>
        <w:t xml:space="preserve">On the specific estimation, we note that </w:t>
      </w:r>
      <w:r w:rsidR="00001512">
        <w:t xml:space="preserve">the estimates </w:t>
      </w:r>
      <w:r>
        <w:t xml:space="preserve">of complaint reduction </w:t>
      </w:r>
      <w:r w:rsidR="00001512">
        <w:t xml:space="preserve">should be built on a causal nexus between the </w:t>
      </w:r>
      <w:r>
        <w:t xml:space="preserve">introduction of the </w:t>
      </w:r>
      <w:r w:rsidR="00001512">
        <w:t xml:space="preserve">TCP code and </w:t>
      </w:r>
      <w:r>
        <w:t>reduced complaints</w:t>
      </w:r>
      <w:r w:rsidR="00001512">
        <w:t xml:space="preserve">. </w:t>
      </w:r>
      <w:r>
        <w:t>Ideally, t</w:t>
      </w:r>
      <w:r w:rsidR="00001512">
        <w:t xml:space="preserve">his </w:t>
      </w:r>
      <w:r>
        <w:t>would involve</w:t>
      </w:r>
      <w:r w:rsidR="00001512">
        <w:t xml:space="preserve">: </w:t>
      </w:r>
    </w:p>
    <w:p w14:paraId="4E13A5DF" w14:textId="77777777" w:rsidR="00001512" w:rsidRDefault="00001512" w:rsidP="00010D19">
      <w:pPr>
        <w:pStyle w:val="FEBullet2"/>
      </w:pPr>
      <w:r>
        <w:t xml:space="preserve">a good </w:t>
      </w:r>
      <w:r w:rsidRPr="00010D19">
        <w:t>theoretical</w:t>
      </w:r>
      <w:r>
        <w:t xml:space="preserve"> </w:t>
      </w:r>
      <w:r w:rsidR="003754D1">
        <w:t xml:space="preserve">or principled </w:t>
      </w:r>
      <w:r>
        <w:t xml:space="preserve">argument that the TCP code </w:t>
      </w:r>
      <w:r w:rsidR="00010D19">
        <w:t>would</w:t>
      </w:r>
      <w:r>
        <w:t xml:space="preserve"> cause</w:t>
      </w:r>
      <w:r w:rsidR="00010D19">
        <w:t xml:space="preserve"> the identified effect (complaint reduction)</w:t>
      </w:r>
    </w:p>
    <w:p w14:paraId="62CF41EA" w14:textId="77777777" w:rsidR="00001512" w:rsidRDefault="00001512" w:rsidP="00010D19">
      <w:pPr>
        <w:pStyle w:val="FEBullet2"/>
      </w:pPr>
      <w:r>
        <w:t>an understanding of other factors that might explain the observed effect, and evidence or reasoning to explain why the TCP code effect is the more likely explanatory variable. This might be done, for example, by identifying whether the same kinds of results have been observed in similar markets but where the issues addressed in the TCP have not been resolved.</w:t>
      </w:r>
    </w:p>
    <w:p w14:paraId="4420890C" w14:textId="77777777" w:rsidR="00842C31" w:rsidRDefault="00842C31" w:rsidP="00AB373E">
      <w:r>
        <w:t>In our opinion, the ACMA does make out a credible case</w:t>
      </w:r>
      <w:r w:rsidR="003754D1">
        <w:t xml:space="preserve"> in principle</w:t>
      </w:r>
      <w:r>
        <w:t xml:space="preserve"> that the TCP code may plausibly have caused a reduction in complaints.</w:t>
      </w:r>
    </w:p>
    <w:p w14:paraId="2F365F70" w14:textId="77777777" w:rsidR="00842C31" w:rsidRDefault="00842C31" w:rsidP="00AB373E">
      <w:r>
        <w:t xml:space="preserve">The </w:t>
      </w:r>
      <w:r w:rsidR="00EE039E">
        <w:t xml:space="preserve">observation that there was, in fact, a reduction in complaints </w:t>
      </w:r>
      <w:r>
        <w:t>raise</w:t>
      </w:r>
      <w:r w:rsidR="00EE039E">
        <w:t>s</w:t>
      </w:r>
      <w:r>
        <w:t xml:space="preserve"> questions of attribution. Ideally, it would be good to see evidence that similar declines in complaints had not been experienced in other jurisdictions that were not subject to similar codes. </w:t>
      </w:r>
    </w:p>
    <w:p w14:paraId="53F80981" w14:textId="47ED6808" w:rsidR="00842C31" w:rsidRDefault="00842C31" w:rsidP="00AB373E">
      <w:r>
        <w:t>As the ACMA notes, some of the reduction in complaints may have been due to Vodafone correcting (perceived or actual) poor network performance through the years 2010-12. However, we also note that all three mobile operators experienced a reduction in complaints over the relevant period.</w:t>
      </w:r>
      <w:r w:rsidR="00982FEC">
        <w:t xml:space="preserve"> This makes it more likely that the TCP code in fact was responsible for the falls in complaints.</w:t>
      </w:r>
    </w:p>
    <w:p w14:paraId="6D916E15" w14:textId="77777777" w:rsidR="002E51A4" w:rsidRDefault="00842C31" w:rsidP="00842C31">
      <w:r>
        <w:t>Assuming that the attribution of reduced complaints to the TCP is reasonable, we</w:t>
      </w:r>
      <w:r w:rsidR="00C6053E">
        <w:t xml:space="preserve"> consider the ACMA’s estimation techniques</w:t>
      </w:r>
      <w:r>
        <w:t xml:space="preserve"> </w:t>
      </w:r>
      <w:r w:rsidR="00C6053E">
        <w:t xml:space="preserve">and values chosen </w:t>
      </w:r>
      <w:r>
        <w:t xml:space="preserve">to </w:t>
      </w:r>
      <w:r w:rsidR="00C6053E">
        <w:t>be realistic.</w:t>
      </w:r>
    </w:p>
    <w:p w14:paraId="7F38FBC2" w14:textId="77777777" w:rsidR="00771400" w:rsidRDefault="00AB373E" w:rsidP="00AB373E">
      <w:pPr>
        <w:pStyle w:val="Heading2"/>
      </w:pPr>
      <w:r>
        <w:t>Estimation of benefits from reductions in ‘wrong contracts’</w:t>
      </w:r>
    </w:p>
    <w:p w14:paraId="481F437A" w14:textId="45B3D18A" w:rsidR="00664B89" w:rsidRDefault="00664B89" w:rsidP="002E51A4">
      <w:r>
        <w:t>Consumers can choose plans that are inappropriate for how they use their phones. In some cases, there will be objectively better plans that could be chosen (i.e. less expenditure for the same amount of usage and quality).</w:t>
      </w:r>
      <w:r w:rsidR="008843E3">
        <w:rPr>
          <w:rStyle w:val="EndnoteReference"/>
        </w:rPr>
        <w:endnoteReference w:id="2"/>
      </w:r>
      <w:r w:rsidR="008843E3">
        <w:t xml:space="preserve"> </w:t>
      </w:r>
      <w:r>
        <w:t xml:space="preserve">Reductions in this </w:t>
      </w:r>
      <w:r>
        <w:lastRenderedPageBreak/>
        <w:t>‘wastage’ were identified as a major potential benefit from the TCP, which introduced requirements for clearer information for customers to improve their ability to make choices.</w:t>
      </w:r>
    </w:p>
    <w:p w14:paraId="726C7EDA" w14:textId="77777777" w:rsidR="002E51A4" w:rsidRDefault="002E51A4" w:rsidP="002E51A4">
      <w:r>
        <w:t xml:space="preserve">The </w:t>
      </w:r>
      <w:r w:rsidR="00664B89">
        <w:t xml:space="preserve">estimation of benefits by the ACMA </w:t>
      </w:r>
      <w:r>
        <w:t xml:space="preserve">relies on estimating the </w:t>
      </w:r>
      <w:r w:rsidR="00664B89">
        <w:t xml:space="preserve">change in the </w:t>
      </w:r>
      <w:r>
        <w:t>aggregate waste from consumers in spending more than they need to meet their usage requirements.</w:t>
      </w:r>
    </w:p>
    <w:p w14:paraId="474B61BD" w14:textId="77777777" w:rsidR="00664B89" w:rsidRDefault="00664B89" w:rsidP="002E51A4">
      <w:r>
        <w:t xml:space="preserve">The reasoning for </w:t>
      </w:r>
      <w:r w:rsidRPr="00842C31">
        <w:rPr>
          <w:i/>
        </w:rPr>
        <w:t>why</w:t>
      </w:r>
      <w:r>
        <w:t xml:space="preserve"> the TCP may have had an impact on consumers’ choices seems plausible. </w:t>
      </w:r>
    </w:p>
    <w:p w14:paraId="31F162E8" w14:textId="77777777" w:rsidR="00816394" w:rsidRDefault="00664B89" w:rsidP="00834837">
      <w:r>
        <w:t>Quantification of changes</w:t>
      </w:r>
      <w:r w:rsidR="00834837">
        <w:t xml:space="preserve"> seems an </w:t>
      </w:r>
      <w:r w:rsidR="00816394">
        <w:t xml:space="preserve">inherently difficult thing to estimate. </w:t>
      </w:r>
      <w:r w:rsidR="003B04E8">
        <w:t>One would need to</w:t>
      </w:r>
      <w:r w:rsidR="00816394">
        <w:t xml:space="preserve"> show that there is an objectively better plan that </w:t>
      </w:r>
      <w:r w:rsidR="003B04E8">
        <w:t xml:space="preserve">the consumer could have chosen that </w:t>
      </w:r>
      <w:r w:rsidR="00816394">
        <w:t>would have resulted in a cost saving</w:t>
      </w:r>
      <w:r w:rsidR="003B04E8">
        <w:t xml:space="preserve"> without any reduction in the quality of service</w:t>
      </w:r>
      <w:r w:rsidR="00816394">
        <w:t xml:space="preserve">. </w:t>
      </w:r>
      <w:r w:rsidR="00834837">
        <w:t>For this reason, t</w:t>
      </w:r>
      <w:r w:rsidR="00816394">
        <w:t>he ACMA relies on research i</w:t>
      </w:r>
      <w:r w:rsidR="00DB2868">
        <w:t>nitially conducted i</w:t>
      </w:r>
      <w:r w:rsidR="00816394">
        <w:t>n the UK</w:t>
      </w:r>
      <w:r w:rsidR="003B04E8">
        <w:t xml:space="preserve"> for its estimate</w:t>
      </w:r>
      <w:r w:rsidR="00DB2868">
        <w:t xml:space="preserve"> of waste</w:t>
      </w:r>
      <w:r w:rsidR="00834837">
        <w:t xml:space="preserve"> and transposes this to Australia</w:t>
      </w:r>
      <w:r w:rsidR="00816394">
        <w:t xml:space="preserve">. </w:t>
      </w:r>
      <w:r w:rsidR="008C7F05">
        <w:t>Given the difficult</w:t>
      </w:r>
      <w:r w:rsidR="00834837">
        <w:t>y of developing an estimate</w:t>
      </w:r>
      <w:r w:rsidR="008C7F05">
        <w:t xml:space="preserve"> for Australia</w:t>
      </w:r>
      <w:r w:rsidR="00834837">
        <w:t>, the methodology applied appears reasonable.</w:t>
      </w:r>
    </w:p>
    <w:p w14:paraId="146C308E" w14:textId="77777777" w:rsidR="00141780" w:rsidRDefault="00834837" w:rsidP="002E51A4">
      <w:r>
        <w:t xml:space="preserve">The extent of reductions in wastage attributable to better information mandated by the TCP is also difficult to </w:t>
      </w:r>
      <w:r w:rsidR="00141780">
        <w:t>quantify</w:t>
      </w:r>
      <w:r>
        <w:t xml:space="preserve">. </w:t>
      </w:r>
    </w:p>
    <w:p w14:paraId="158F7C00" w14:textId="77777777" w:rsidR="00834837" w:rsidRDefault="00834837" w:rsidP="002E51A4">
      <w:r>
        <w:t>The ACMA relies on survey information suggesting that around one-third of customers had</w:t>
      </w:r>
      <w:r w:rsidR="00756A82">
        <w:t xml:space="preserve"> </w:t>
      </w:r>
      <w:r>
        <w:t>seen a CIS and just under a third had thought the information made it easier to compare offers.</w:t>
      </w:r>
      <w:r w:rsidR="00141780">
        <w:t xml:space="preserve"> This is not directly used </w:t>
      </w:r>
      <w:r w:rsidR="00842C31">
        <w:t xml:space="preserve">in </w:t>
      </w:r>
      <w:r w:rsidR="00141780">
        <w:t>estimat</w:t>
      </w:r>
      <w:r w:rsidR="00842C31">
        <w:t>ing</w:t>
      </w:r>
      <w:r w:rsidR="00141780">
        <w:t xml:space="preserve"> benefits. Rather, the estimate of a 10 per cent saving in waste is based on customer </w:t>
      </w:r>
      <w:r w:rsidR="00842C31">
        <w:t xml:space="preserve">contract </w:t>
      </w:r>
      <w:r w:rsidR="00141780">
        <w:t xml:space="preserve">turnover and the </w:t>
      </w:r>
      <w:r w:rsidR="00842C31">
        <w:t xml:space="preserve">assuming that a </w:t>
      </w:r>
      <w:r w:rsidR="00141780">
        <w:t>proportion of those customers (1 in 4) are better informed and eliminate the waste</w:t>
      </w:r>
      <w:r w:rsidR="00842C31">
        <w:t xml:space="preserve"> as a result of the better information</w:t>
      </w:r>
      <w:r w:rsidR="00141780">
        <w:t>.</w:t>
      </w:r>
    </w:p>
    <w:p w14:paraId="3C94B942" w14:textId="77777777" w:rsidR="00957BD5" w:rsidRPr="00957BD5" w:rsidRDefault="00141780" w:rsidP="00DB2868">
      <w:r>
        <w:t xml:space="preserve">While the estimate is </w:t>
      </w:r>
      <w:r w:rsidR="00842C31">
        <w:t>driven by an assumption, the analysis does indicate that the potential benefits from reductions in contract waste from consumers are large. Notably, the estimate only covers mobile services, with further gains that could be expected if the estimate was extended to fixed line and broadband purchases.</w:t>
      </w:r>
    </w:p>
    <w:p w14:paraId="3093E7BA" w14:textId="77777777" w:rsidR="00AB373E" w:rsidRDefault="00AB373E" w:rsidP="00AB373E">
      <w:pPr>
        <w:pStyle w:val="Heading2"/>
      </w:pPr>
      <w:r>
        <w:t>Estimation of benefits from reductions in unexpectedly high bills</w:t>
      </w:r>
    </w:p>
    <w:p w14:paraId="352DA0BD" w14:textId="459D556B" w:rsidR="00C6053E" w:rsidRDefault="008C7F05" w:rsidP="00225DDD">
      <w:r>
        <w:t>A reduction in unexpectedly high (mobile phone) bills is</w:t>
      </w:r>
      <w:r w:rsidR="00C6053E">
        <w:t xml:space="preserve"> the major source of (consumer) gain identified in the ACMA’s analysis. It accounts for more than </w:t>
      </w:r>
      <w:r w:rsidR="00951DAB">
        <w:t>80</w:t>
      </w:r>
      <w:r w:rsidR="00C6053E">
        <w:t xml:space="preserve"> per cent of the estimate benefits of the TCP.</w:t>
      </w:r>
    </w:p>
    <w:p w14:paraId="327C4828" w14:textId="1C5CAD28" w:rsidR="003B04E8" w:rsidRDefault="003B04E8" w:rsidP="00225DDD">
      <w:r>
        <w:t xml:space="preserve">The </w:t>
      </w:r>
      <w:r w:rsidR="00C6053E">
        <w:t xml:space="preserve">ACMA’s </w:t>
      </w:r>
      <w:r>
        <w:t>basic proposition is that the measures implement</w:t>
      </w:r>
      <w:r w:rsidR="009C4AF7">
        <w:t>ed</w:t>
      </w:r>
      <w:r>
        <w:t xml:space="preserve"> to prevent </w:t>
      </w:r>
      <w:r w:rsidR="008C7F05">
        <w:t>unexpectedly high bil</w:t>
      </w:r>
      <w:r w:rsidR="00951DAB">
        <w:t>l</w:t>
      </w:r>
      <w:r w:rsidR="008C7F05">
        <w:t>s</w:t>
      </w:r>
      <w:r>
        <w:t xml:space="preserve">, such as </w:t>
      </w:r>
      <w:r w:rsidR="009C4AF7">
        <w:t xml:space="preserve">mandatory </w:t>
      </w:r>
      <w:r>
        <w:t>alerts</w:t>
      </w:r>
      <w:r w:rsidR="009C4AF7">
        <w:t xml:space="preserve"> and better transparency of billing information, should have reduced the </w:t>
      </w:r>
      <w:r w:rsidR="009C4AF7" w:rsidRPr="00C6053E">
        <w:rPr>
          <w:i/>
        </w:rPr>
        <w:t>instance</w:t>
      </w:r>
      <w:r w:rsidR="009C4AF7">
        <w:t xml:space="preserve"> and </w:t>
      </w:r>
      <w:r w:rsidR="009C4AF7" w:rsidRPr="00C6053E">
        <w:rPr>
          <w:i/>
        </w:rPr>
        <w:t>magnitude</w:t>
      </w:r>
      <w:r w:rsidR="009C4AF7">
        <w:t xml:space="preserve"> </w:t>
      </w:r>
      <w:r w:rsidR="008C7F05">
        <w:t>of</w:t>
      </w:r>
      <w:r w:rsidR="009C4AF7">
        <w:t xml:space="preserve"> unexpectedly high bills.</w:t>
      </w:r>
    </w:p>
    <w:p w14:paraId="64E8E3AC" w14:textId="77777777" w:rsidR="009C4AF7" w:rsidRDefault="009C4AF7" w:rsidP="00225DDD">
      <w:r>
        <w:t xml:space="preserve">The ACMA’s </w:t>
      </w:r>
      <w:r w:rsidR="00116C82">
        <w:t xml:space="preserve">survey </w:t>
      </w:r>
      <w:r>
        <w:t>information indicates that:</w:t>
      </w:r>
    </w:p>
    <w:p w14:paraId="55731FB7" w14:textId="77777777" w:rsidR="00225DDD" w:rsidRDefault="00225DDD" w:rsidP="009C4AF7">
      <w:pPr>
        <w:pStyle w:val="FEBullet2"/>
      </w:pPr>
      <w:r>
        <w:lastRenderedPageBreak/>
        <w:t xml:space="preserve">A third of consumers reported experiencing unexpected high bills within the previous 12 months in </w:t>
      </w:r>
      <w:r w:rsidR="009C4AF7">
        <w:t>a</w:t>
      </w:r>
      <w:r>
        <w:t xml:space="preserve"> 2013</w:t>
      </w:r>
      <w:r w:rsidR="009C4AF7">
        <w:t xml:space="preserve"> survey</w:t>
      </w:r>
      <w:r>
        <w:t>.</w:t>
      </w:r>
    </w:p>
    <w:p w14:paraId="4AD5BE92" w14:textId="77777777" w:rsidR="006E112A" w:rsidRDefault="00225DDD" w:rsidP="009C4AF7">
      <w:pPr>
        <w:pStyle w:val="FEBullet2"/>
      </w:pPr>
      <w:r>
        <w:t xml:space="preserve">This reduced to 27 per cent in February 2015. </w:t>
      </w:r>
    </w:p>
    <w:p w14:paraId="3C948E57" w14:textId="218E8D77" w:rsidR="00225DDD" w:rsidRDefault="006E112A" w:rsidP="009C4AF7">
      <w:pPr>
        <w:pStyle w:val="FEBullet2"/>
      </w:pPr>
      <w:r>
        <w:t>T</w:t>
      </w:r>
      <w:r w:rsidR="00225DDD">
        <w:t>he</w:t>
      </w:r>
      <w:r w:rsidR="00951DAB">
        <w:t xml:space="preserve"> difference between </w:t>
      </w:r>
      <w:r>
        <w:t>the average unexpectedly high bill</w:t>
      </w:r>
      <w:r w:rsidR="00951DAB">
        <w:t xml:space="preserve"> and </w:t>
      </w:r>
      <w:r>
        <w:t>average normal bill</w:t>
      </w:r>
      <w:r w:rsidR="00951DAB">
        <w:t xml:space="preserve"> fell from $158/bill in 2013 to </w:t>
      </w:r>
      <w:r>
        <w:t xml:space="preserve">$125/bill in 2015. </w:t>
      </w:r>
    </w:p>
    <w:p w14:paraId="2A2577CC" w14:textId="77777777" w:rsidR="00225DDD" w:rsidRDefault="00225DDD" w:rsidP="00225DDD">
      <w:r>
        <w:t xml:space="preserve">The overall saving is the reduction in total unexpected bills – combining </w:t>
      </w:r>
      <w:r w:rsidR="00116C82">
        <w:t>the effects of lower incidence</w:t>
      </w:r>
      <w:r>
        <w:t xml:space="preserve">, and each </w:t>
      </w:r>
      <w:r w:rsidR="00116C82">
        <w:t>incident</w:t>
      </w:r>
      <w:r>
        <w:t xml:space="preserve"> </w:t>
      </w:r>
      <w:r w:rsidR="00116C82">
        <w:t>having a smaller impact</w:t>
      </w:r>
      <w:r>
        <w:t>.</w:t>
      </w:r>
    </w:p>
    <w:p w14:paraId="7A719EEE" w14:textId="77777777" w:rsidR="00F75A04" w:rsidRDefault="00F75A04" w:rsidP="009C4AF7">
      <w:r>
        <w:t>In our opinion, the</w:t>
      </w:r>
      <w:r w:rsidR="00E5551C">
        <w:t>se</w:t>
      </w:r>
      <w:r>
        <w:t xml:space="preserve"> benefits </w:t>
      </w:r>
      <w:r w:rsidR="00116C82">
        <w:t>are genuine but must be</w:t>
      </w:r>
      <w:r>
        <w:t xml:space="preserve"> estimated and presented</w:t>
      </w:r>
      <w:r w:rsidR="00116C82">
        <w:t xml:space="preserve"> carefully</w:t>
      </w:r>
      <w:r>
        <w:t>. This is for three reasons:</w:t>
      </w:r>
    </w:p>
    <w:p w14:paraId="73EAF7C9" w14:textId="77777777" w:rsidR="00F75A04" w:rsidRDefault="00F75A04" w:rsidP="00F75A04">
      <w:pPr>
        <w:pStyle w:val="FEBullet2"/>
      </w:pPr>
      <w:r>
        <w:t>Declines in unexpectedly high bills might be explained by consumers ‘learning’ over time to avoid such high bills – even if there is no change in behaviour due to the TCP</w:t>
      </w:r>
      <w:r w:rsidR="00DA0622">
        <w:t>.</w:t>
      </w:r>
    </w:p>
    <w:p w14:paraId="1830C672" w14:textId="77777777" w:rsidR="00E5551C" w:rsidRDefault="00F75A04" w:rsidP="00F75A04">
      <w:pPr>
        <w:pStyle w:val="FEBullet2"/>
      </w:pPr>
      <w:r>
        <w:t xml:space="preserve">Consumers derive benefits from additional usage, which reduces the </w:t>
      </w:r>
      <w:r w:rsidRPr="00F75A04">
        <w:rPr>
          <w:i/>
        </w:rPr>
        <w:t>net</w:t>
      </w:r>
      <w:r>
        <w:t xml:space="preserve"> cost of </w:t>
      </w:r>
      <w:r w:rsidR="008C7F05">
        <w:t>un</w:t>
      </w:r>
      <w:r>
        <w:t xml:space="preserve">expectedly </w:t>
      </w:r>
      <w:r w:rsidR="008C7F05">
        <w:t>high</w:t>
      </w:r>
      <w:r>
        <w:t xml:space="preserve"> bills</w:t>
      </w:r>
      <w:r w:rsidR="00DA0622">
        <w:t>.</w:t>
      </w:r>
      <w:r w:rsidR="00E5551C">
        <w:rPr>
          <w:rStyle w:val="EndnoteReference"/>
        </w:rPr>
        <w:endnoteReference w:id="3"/>
      </w:r>
    </w:p>
    <w:p w14:paraId="2239B099" w14:textId="77777777" w:rsidR="00F75A04" w:rsidRDefault="00DA0622" w:rsidP="00F75A04">
      <w:pPr>
        <w:pStyle w:val="FEBullet2"/>
      </w:pPr>
      <w:r>
        <w:t xml:space="preserve">A significant component of the savings experienced by consumers might well </w:t>
      </w:r>
      <w:r w:rsidR="00F051B0">
        <w:t xml:space="preserve">be </w:t>
      </w:r>
      <w:r>
        <w:t>transfers between mobile operators and consumers.</w:t>
      </w:r>
      <w:r w:rsidR="00E5551C">
        <w:rPr>
          <w:rStyle w:val="EndnoteReference"/>
        </w:rPr>
        <w:endnoteReference w:id="4"/>
      </w:r>
      <w:r w:rsidR="00E5551C">
        <w:t xml:space="preserve"> </w:t>
      </w:r>
      <w:r w:rsidR="00F051B0">
        <w:t>Consumer benefits are experienced as losses by mobile operators.</w:t>
      </w:r>
    </w:p>
    <w:p w14:paraId="1A38A55E" w14:textId="77777777" w:rsidR="00DA0622" w:rsidRDefault="00DA0622" w:rsidP="00DA0622">
      <w:r>
        <w:t>None of these factors is easy to account for, although we suspect they are all important.</w:t>
      </w:r>
      <w:r w:rsidR="009D3D8F">
        <w:t xml:space="preserve"> We also note that (to counter the last two factors) we would expect that to the extent that the TCP has increased consumer confidence in the price and quality packages offered by mobile operators, they may have encouraged </w:t>
      </w:r>
      <w:r w:rsidR="001F0424">
        <w:t>higher demand than otherwise.</w:t>
      </w:r>
      <w:r w:rsidR="00EE039E">
        <w:t xml:space="preserve"> </w:t>
      </w:r>
    </w:p>
    <w:p w14:paraId="0A2CBB14" w14:textId="77777777" w:rsidR="009C0DB1" w:rsidRDefault="009C0DB1" w:rsidP="00F75A04">
      <w:pPr>
        <w:pStyle w:val="Heading2"/>
      </w:pPr>
      <w:r>
        <w:t>Calculation issues</w:t>
      </w:r>
    </w:p>
    <w:p w14:paraId="71119D05" w14:textId="77777777" w:rsidR="00D15AC1" w:rsidRDefault="00D15AC1" w:rsidP="00D15AC1">
      <w:r>
        <w:t>We have checked the calculations in the spreadsheets provided by the ACMA and confirm that they are accurate and consistent with the descriptions provided in the written materials.</w:t>
      </w:r>
    </w:p>
    <w:p w14:paraId="545EE815" w14:textId="77777777" w:rsidR="00DC7F68" w:rsidRDefault="00DC7F68" w:rsidP="008843E3">
      <w:pPr>
        <w:pStyle w:val="Heading4"/>
      </w:pPr>
      <w:r>
        <w:br w:type="page"/>
      </w:r>
    </w:p>
    <w:p w14:paraId="2C08E83F" w14:textId="0CCA9FBE" w:rsidR="008843E3" w:rsidRPr="00816394" w:rsidRDefault="008843E3" w:rsidP="008843E3">
      <w:pPr>
        <w:pStyle w:val="Heading4"/>
      </w:pPr>
      <w:r>
        <w:lastRenderedPageBreak/>
        <w:t>Endnotes</w:t>
      </w:r>
    </w:p>
    <w:sectPr w:rsidR="008843E3" w:rsidRPr="00816394" w:rsidSect="005E04F3">
      <w:headerReference w:type="even" r:id="rId9"/>
      <w:headerReference w:type="default" r:id="rId10"/>
      <w:footerReference w:type="even" r:id="rId11"/>
      <w:footerReference w:type="default" r:id="rId12"/>
      <w:headerReference w:type="first" r:id="rId13"/>
      <w:footerReference w:type="first" r:id="rId14"/>
      <w:pgSz w:w="11899" w:h="16843" w:code="9"/>
      <w:pgMar w:top="1871" w:right="2160" w:bottom="1871" w:left="2160" w:header="431" w:footer="284"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D4FCD7" w14:textId="77777777" w:rsidR="00951DAB" w:rsidRDefault="00951DAB" w:rsidP="0028152A">
      <w:r>
        <w:separator/>
      </w:r>
    </w:p>
  </w:endnote>
  <w:endnote w:type="continuationSeparator" w:id="0">
    <w:p w14:paraId="664EC44A" w14:textId="77777777" w:rsidR="00951DAB" w:rsidRDefault="00951DAB" w:rsidP="0028152A">
      <w:r>
        <w:continuationSeparator/>
      </w:r>
    </w:p>
  </w:endnote>
  <w:endnote w:id="1">
    <w:p w14:paraId="4E01EDDF" w14:textId="77777777" w:rsidR="008843E3" w:rsidRPr="00DF6283" w:rsidRDefault="008843E3">
      <w:pPr>
        <w:pStyle w:val="EndnoteText"/>
        <w:rPr>
          <w:lang w:val="en-US"/>
        </w:rPr>
      </w:pPr>
      <w:r>
        <w:rPr>
          <w:rStyle w:val="EndnoteReference"/>
        </w:rPr>
        <w:endnoteRef/>
      </w:r>
      <w:r>
        <w:t xml:space="preserve"> </w:t>
      </w:r>
      <w:r>
        <w:rPr>
          <w:lang w:val="en-US"/>
        </w:rPr>
        <w:tab/>
        <w:t>Such transfers are usually ignored in a formal cost benefit analysis.</w:t>
      </w:r>
    </w:p>
  </w:endnote>
  <w:endnote w:id="2">
    <w:p w14:paraId="3B0F5B9B" w14:textId="59F8D7AE" w:rsidR="008843E3" w:rsidRPr="008C7F05" w:rsidRDefault="008843E3">
      <w:pPr>
        <w:pStyle w:val="EndnoteText"/>
        <w:rPr>
          <w:lang w:val="en-US"/>
        </w:rPr>
      </w:pPr>
      <w:r>
        <w:rPr>
          <w:rStyle w:val="EndnoteReference"/>
        </w:rPr>
        <w:endnoteRef/>
      </w:r>
      <w:r>
        <w:t xml:space="preserve"> </w:t>
      </w:r>
      <w:r>
        <w:rPr>
          <w:lang w:val="en-US"/>
        </w:rPr>
        <w:tab/>
        <w:t>It is also plausible that some consumers choose plans that appear inappropriate for their    usage profile but are valued because they provide the security of avoiding unexpectedly high bills or because they offer other benefits, such as a more valued handset.</w:t>
      </w:r>
    </w:p>
  </w:endnote>
  <w:endnote w:id="3">
    <w:p w14:paraId="6894C651" w14:textId="77777777" w:rsidR="00951DAB" w:rsidRDefault="00951DAB" w:rsidP="00DA0622">
      <w:pPr>
        <w:pStyle w:val="EndnoteText"/>
        <w:keepNext/>
      </w:pPr>
      <w:r>
        <w:rPr>
          <w:rStyle w:val="EndnoteReference"/>
        </w:rPr>
        <w:endnoteRef/>
      </w:r>
      <w:r>
        <w:t xml:space="preserve"> </w:t>
      </w:r>
      <w:r>
        <w:tab/>
      </w:r>
      <w:r w:rsidRPr="00DA0622">
        <w:t xml:space="preserve">The ‘loss’ to consumers from unexpectedly high bills may be overstated, because it implies that consumers derive no benefit from the additional usage which the high bill has bought them. It seems likely that there is a net cost of the additional usage (the bill less </w:t>
      </w:r>
      <w:r>
        <w:t>consumer willingness-to-pay (</w:t>
      </w:r>
      <w:r w:rsidRPr="00DA0622">
        <w:t>WTP</w:t>
      </w:r>
      <w:r>
        <w:t>)</w:t>
      </w:r>
      <w:r w:rsidRPr="00DA0622">
        <w:t xml:space="preserve"> for those units of usage), but that this would be lower than the gross cost which is represented by the bill (revenue). </w:t>
      </w:r>
      <w:r>
        <w:t xml:space="preserve">This may be illustrated using a simple diagram of a representative consumer. The representative consumer </w:t>
      </w:r>
      <w:r w:rsidRPr="00DA0622">
        <w:rPr>
          <w:i/>
        </w:rPr>
        <w:t>i</w:t>
      </w:r>
      <w:r>
        <w:t xml:space="preserve"> has a downward-sloping demand for usage (of calls, data, etc.). This consumer might use</w:t>
      </w:r>
      <w:r w:rsidRPr="00DA0622">
        <w:t xml:space="preserve"> ‘too much’ </w:t>
      </w:r>
      <w:r>
        <w:t>(Q</w:t>
      </w:r>
      <w:r w:rsidRPr="00DA0622">
        <w:rPr>
          <w:vertAlign w:val="superscript"/>
        </w:rPr>
        <w:t>i</w:t>
      </w:r>
      <w:r>
        <w:t xml:space="preserve"> rather than Q</w:t>
      </w:r>
      <w:r>
        <w:rPr>
          <w:vertAlign w:val="superscript"/>
        </w:rPr>
        <w:t>*</w:t>
      </w:r>
      <w:r w:rsidRPr="00DA0622">
        <w:t>)</w:t>
      </w:r>
      <w:r>
        <w:rPr>
          <w:vertAlign w:val="subscript"/>
        </w:rPr>
        <w:t xml:space="preserve"> </w:t>
      </w:r>
      <w:r w:rsidRPr="00DA0622">
        <w:t>because of uncertainty about the price of additional usage of the service</w:t>
      </w:r>
      <w:r>
        <w:t xml:space="preserve"> above plan limits</w:t>
      </w:r>
      <w:r w:rsidRPr="00DA0622">
        <w:t>.</w:t>
      </w:r>
      <w:r>
        <w:t xml:space="preserve"> But that would not imply that the benefits of the additional usage are zero; the net cost to consumers would be ‘B’, not the total size of the bill ‘A + B’.</w:t>
      </w:r>
    </w:p>
    <w:p w14:paraId="2E88FAC7" w14:textId="77777777" w:rsidR="00951DAB" w:rsidRDefault="00951DAB" w:rsidP="00DA0622">
      <w:pPr>
        <w:pStyle w:val="EndnoteText"/>
        <w:jc w:val="center"/>
      </w:pPr>
      <w:r w:rsidRPr="00DA0622">
        <w:rPr>
          <w:noProof/>
          <w:lang w:eastAsia="en-AU"/>
        </w:rPr>
        <w:drawing>
          <wp:inline distT="0" distB="0" distL="0" distR="0" wp14:anchorId="7B52E2AB" wp14:editId="35CEAC8A">
            <wp:extent cx="2328333" cy="2192408"/>
            <wp:effectExtent l="25400" t="25400" r="34290" b="1778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1" cstate="print">
                      <a:clrChange>
                        <a:clrFrom>
                          <a:srgbClr val="FFFFFF"/>
                        </a:clrFrom>
                        <a:clrTo>
                          <a:srgbClr val="FFFFFF">
                            <a:alpha val="0"/>
                          </a:srgbClr>
                        </a:clrTo>
                      </a:clrChange>
                      <a:alphaModFix amt="99000"/>
                      <a:extLst>
                        <a:ext uri="{BEBA8EAE-BF5A-486C-A8C5-ECC9F3942E4B}">
                          <a14:imgProps xmlns:a14="http://schemas.microsoft.com/office/drawing/2010/main">
                            <a14:imgLayer r:embed="rId2">
                              <a14:imgEffect>
                                <a14:colorTemperature colorTemp="7200"/>
                              </a14:imgEffect>
                              <a14:imgEffect>
                                <a14:saturation sat="400000"/>
                              </a14:imgEffect>
                            </a14:imgLayer>
                          </a14:imgProps>
                        </a:ext>
                      </a:extLst>
                    </a:blip>
                    <a:srcRect/>
                    <a:stretch>
                      <a:fillRect/>
                    </a:stretch>
                  </pic:blipFill>
                  <pic:spPr bwMode="auto">
                    <a:xfrm>
                      <a:off x="0" y="0"/>
                      <a:ext cx="2328333" cy="2192408"/>
                    </a:xfrm>
                    <a:prstGeom prst="rect">
                      <a:avLst/>
                    </a:prstGeom>
                    <a:noFill/>
                    <a:ln>
                      <a:solidFill>
                        <a:schemeClr val="tx2"/>
                      </a:solidFill>
                    </a:ln>
                  </pic:spPr>
                </pic:pic>
              </a:graphicData>
            </a:graphic>
          </wp:inline>
        </w:drawing>
      </w:r>
    </w:p>
    <w:p w14:paraId="5809669A" w14:textId="77777777" w:rsidR="00951DAB" w:rsidRDefault="00951DAB" w:rsidP="008843E3">
      <w:pPr>
        <w:pStyle w:val="EndnoteText"/>
        <w:ind w:firstLine="0"/>
        <w:jc w:val="left"/>
      </w:pPr>
      <w:r>
        <w:t>We also note this example as drawn may tend to underestimate the size of B relative to A.</w:t>
      </w:r>
      <w:r w:rsidRPr="006B57BC">
        <w:rPr>
          <w:lang w:val="en-US"/>
        </w:rPr>
        <w:t xml:space="preserve"> </w:t>
      </w:r>
      <w:r>
        <w:rPr>
          <w:lang w:val="en-US"/>
        </w:rPr>
        <w:t>A</w:t>
      </w:r>
      <w:r w:rsidRPr="006B57BC">
        <w:rPr>
          <w:lang w:val="en-US"/>
        </w:rPr>
        <w:t>lthough price is shown as constant per unit, pricing for additional usage often impl</w:t>
      </w:r>
      <w:r>
        <w:rPr>
          <w:lang w:val="en-US"/>
        </w:rPr>
        <w:t xml:space="preserve">ies much higher per unit prices, </w:t>
      </w:r>
      <w:r w:rsidRPr="006B57BC">
        <w:rPr>
          <w:lang w:val="en-US"/>
        </w:rPr>
        <w:t xml:space="preserve">which would increases the size of B relative to A. </w:t>
      </w:r>
    </w:p>
  </w:endnote>
  <w:endnote w:id="4">
    <w:p w14:paraId="7BB218A1" w14:textId="77777777" w:rsidR="00951DAB" w:rsidRDefault="00951DAB">
      <w:pPr>
        <w:pStyle w:val="EndnoteText"/>
      </w:pPr>
      <w:r>
        <w:rPr>
          <w:rStyle w:val="EndnoteReference"/>
        </w:rPr>
        <w:endnoteRef/>
      </w:r>
      <w:r>
        <w:t xml:space="preserve"> </w:t>
      </w:r>
      <w:r>
        <w:tab/>
      </w:r>
      <w:r w:rsidRPr="00DA0622">
        <w:t xml:space="preserve">Benefits relating to better contracting and reductions in high bills are a benefit to consumers, but may be a cost for mobile network operators. That is, there are potentially significant transfers rather than increases in economic value (which is measured by changes in costs and changes in willingness to pay).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648" w:type="dxa"/>
      <w:tblInd w:w="-424" w:type="dxa"/>
      <w:tblLook w:val="01E0" w:firstRow="1" w:lastRow="1" w:firstColumn="1" w:lastColumn="1" w:noHBand="0" w:noVBand="0"/>
    </w:tblPr>
    <w:tblGrid>
      <w:gridCol w:w="6628"/>
      <w:gridCol w:w="2020"/>
    </w:tblGrid>
    <w:tr w:rsidR="00951DAB" w14:paraId="65C17C64" w14:textId="77777777" w:rsidTr="008A761C">
      <w:sdt>
        <w:sdtPr>
          <w:alias w:val="Title"/>
          <w:id w:val="118955206"/>
          <w:dataBinding w:prefixMappings="xmlns:ns0='http://purl.org/dc/elements/1.1/' xmlns:ns1='http://schemas.openxmlformats.org/package/2006/metadata/core-properties' " w:xpath="/ns1:coreProperties[1]/ns0:title[1]" w:storeItemID="{6C3C8BC8-F283-45AE-878A-BAB7291924A1}"/>
          <w:text/>
        </w:sdtPr>
        <w:sdtEndPr/>
        <w:sdtContent>
          <w:tc>
            <w:tcPr>
              <w:tcW w:w="6628" w:type="dxa"/>
            </w:tcPr>
            <w:p w14:paraId="16A3AB80" w14:textId="7A95CEC4" w:rsidR="00951DAB" w:rsidRPr="0081360C" w:rsidRDefault="00DC7F68" w:rsidP="0028152A">
              <w:pPr>
                <w:pStyle w:val="Footer"/>
              </w:pPr>
              <w:r>
                <w:rPr>
                  <w:lang w:val="en-US"/>
                </w:rPr>
                <w:t>The ACMA’s benefits estimation for the Telecommunications Consumer Protection code</w:t>
              </w:r>
            </w:p>
          </w:tc>
        </w:sdtContent>
      </w:sdt>
      <w:sdt>
        <w:sdtPr>
          <w:rPr>
            <w:noProof/>
          </w:rPr>
          <w:alias w:val="Status"/>
          <w:id w:val="118789492"/>
          <w:dataBinding w:prefixMappings="xmlns:ns0='http://purl.org/dc/elements/1.1/' xmlns:ns1='http://schemas.openxmlformats.org/package/2006/metadata/core-properties' " w:xpath="/ns1:coreProperties[1]/ns1:contentStatus[1]" w:storeItemID="{6C3C8BC8-F283-45AE-878A-BAB7291924A1}"/>
          <w:text/>
        </w:sdtPr>
        <w:sdtEndPr/>
        <w:sdtContent>
          <w:tc>
            <w:tcPr>
              <w:tcW w:w="2020" w:type="dxa"/>
            </w:tcPr>
            <w:p w14:paraId="1FF71A87" w14:textId="7183766D" w:rsidR="00951DAB" w:rsidRDefault="00951DAB" w:rsidP="004D2F45">
              <w:pPr>
                <w:pStyle w:val="Footer"/>
                <w:jc w:val="right"/>
              </w:pPr>
              <w:r>
                <w:rPr>
                  <w:noProof/>
                </w:rPr>
                <w:t xml:space="preserve">  </w:t>
              </w:r>
            </w:p>
          </w:tc>
        </w:sdtContent>
      </w:sdt>
    </w:tr>
  </w:tbl>
  <w:p w14:paraId="4ACDEFE1" w14:textId="77777777" w:rsidR="00951DAB" w:rsidRPr="00C35C22" w:rsidRDefault="00951DAB" w:rsidP="0028152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755" w:type="dxa"/>
      <w:tblInd w:w="-298" w:type="dxa"/>
      <w:tblLook w:val="01E0" w:firstRow="1" w:lastRow="1" w:firstColumn="1" w:lastColumn="1" w:noHBand="0" w:noVBand="0"/>
    </w:tblPr>
    <w:tblGrid>
      <w:gridCol w:w="2249"/>
      <w:gridCol w:w="6506"/>
    </w:tblGrid>
    <w:tr w:rsidR="00951DAB" w:rsidRPr="006E0B49" w14:paraId="28433568" w14:textId="77777777" w:rsidTr="008A761C">
      <w:sdt>
        <w:sdtPr>
          <w:rPr>
            <w:noProof/>
          </w:rPr>
          <w:alias w:val="Status"/>
          <w:id w:val="118789493"/>
          <w:dataBinding w:prefixMappings="xmlns:ns0='http://purl.org/dc/elements/1.1/' xmlns:ns1='http://schemas.openxmlformats.org/package/2006/metadata/core-properties' " w:xpath="/ns1:coreProperties[1]/ns1:contentStatus[1]" w:storeItemID="{6C3C8BC8-F283-45AE-878A-BAB7291924A1}"/>
          <w:text/>
        </w:sdtPr>
        <w:sdtEndPr/>
        <w:sdtContent>
          <w:tc>
            <w:tcPr>
              <w:tcW w:w="2249" w:type="dxa"/>
            </w:tcPr>
            <w:p w14:paraId="7ADF91A0" w14:textId="042F3A9C" w:rsidR="00951DAB" w:rsidRPr="006E0B49" w:rsidRDefault="00951DAB" w:rsidP="004D2F45">
              <w:pPr>
                <w:pStyle w:val="Footer"/>
              </w:pPr>
              <w:r>
                <w:rPr>
                  <w:noProof/>
                </w:rPr>
                <w:t xml:space="preserve">  </w:t>
              </w:r>
            </w:p>
          </w:tc>
        </w:sdtContent>
      </w:sdt>
      <w:sdt>
        <w:sdtPr>
          <w:alias w:val="Title"/>
          <w:id w:val="118955205"/>
          <w:dataBinding w:prefixMappings="xmlns:ns0='http://purl.org/dc/elements/1.1/' xmlns:ns1='http://schemas.openxmlformats.org/package/2006/metadata/core-properties' " w:xpath="/ns1:coreProperties[1]/ns0:title[1]" w:storeItemID="{6C3C8BC8-F283-45AE-878A-BAB7291924A1}"/>
          <w:text/>
        </w:sdtPr>
        <w:sdtEndPr/>
        <w:sdtContent>
          <w:tc>
            <w:tcPr>
              <w:tcW w:w="6506" w:type="dxa"/>
            </w:tcPr>
            <w:p w14:paraId="6DE2938B" w14:textId="4A9273AB" w:rsidR="00951DAB" w:rsidRPr="005E04F3" w:rsidRDefault="00DC7F68" w:rsidP="005E04F3">
              <w:pPr>
                <w:pStyle w:val="Footer"/>
                <w:jc w:val="right"/>
              </w:pPr>
              <w:r>
                <w:rPr>
                  <w:lang w:val="en-US"/>
                </w:rPr>
                <w:t>The ACMA’s benefits estimation for the Telecommunications Consumer Protection code</w:t>
              </w:r>
            </w:p>
          </w:tc>
        </w:sdtContent>
      </w:sdt>
    </w:tr>
  </w:tbl>
  <w:p w14:paraId="35649EA3" w14:textId="77777777" w:rsidR="00951DAB" w:rsidRPr="006E0B49" w:rsidRDefault="00951DAB" w:rsidP="0028152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637" w:type="dxa"/>
      <w:tblInd w:w="-256" w:type="dxa"/>
      <w:tblLook w:val="01E0" w:firstRow="1" w:lastRow="1" w:firstColumn="1" w:lastColumn="1" w:noHBand="0" w:noVBand="0"/>
    </w:tblPr>
    <w:tblGrid>
      <w:gridCol w:w="3483"/>
      <w:gridCol w:w="5154"/>
    </w:tblGrid>
    <w:tr w:rsidR="00951DAB" w:rsidRPr="006E0B49" w14:paraId="68EAE480" w14:textId="77777777" w:rsidTr="009E067E">
      <w:sdt>
        <w:sdtPr>
          <w:rPr>
            <w:noProof/>
          </w:rPr>
          <w:alias w:val="Status"/>
          <w:id w:val="118955211"/>
          <w:dataBinding w:prefixMappings="xmlns:ns0='http://purl.org/dc/elements/1.1/' xmlns:ns1='http://schemas.openxmlformats.org/package/2006/metadata/core-properties' " w:xpath="/ns1:coreProperties[1]/ns1:contentStatus[1]" w:storeItemID="{6C3C8BC8-F283-45AE-878A-BAB7291924A1}"/>
          <w:text/>
        </w:sdtPr>
        <w:sdtEndPr/>
        <w:sdtContent>
          <w:tc>
            <w:tcPr>
              <w:tcW w:w="3483" w:type="dxa"/>
            </w:tcPr>
            <w:p w14:paraId="10F9D3DA" w14:textId="373D1EE9" w:rsidR="00951DAB" w:rsidRPr="006E0B49" w:rsidRDefault="00951DAB" w:rsidP="004D2F45">
              <w:pPr>
                <w:pStyle w:val="Footer"/>
                <w:rPr>
                  <w:noProof/>
                </w:rPr>
              </w:pPr>
              <w:r>
                <w:rPr>
                  <w:noProof/>
                </w:rPr>
                <w:t xml:space="preserve">  </w:t>
              </w:r>
            </w:p>
          </w:tc>
        </w:sdtContent>
      </w:sdt>
      <w:tc>
        <w:tcPr>
          <w:tcW w:w="5154" w:type="dxa"/>
        </w:tcPr>
        <w:p w14:paraId="5B41085E" w14:textId="5D26C5CA" w:rsidR="00951DAB" w:rsidRPr="006E0B49" w:rsidRDefault="00F21ABA" w:rsidP="005E04F3">
          <w:pPr>
            <w:pStyle w:val="Footer1"/>
            <w:jc w:val="right"/>
          </w:pPr>
          <w:fldSimple w:instr=" FILENAME   \* MERGEFORMAT ">
            <w:r>
              <w:t>15-10-20 Review WRD STC</w:t>
            </w:r>
          </w:fldSimple>
        </w:p>
      </w:tc>
    </w:tr>
  </w:tbl>
  <w:p w14:paraId="164CE0FD" w14:textId="77777777" w:rsidR="00951DAB" w:rsidRPr="006C0A78" w:rsidRDefault="00951DAB" w:rsidP="006C0A7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736DC0" w14:textId="77777777" w:rsidR="00951DAB" w:rsidRDefault="00951DAB" w:rsidP="0028152A">
      <w:r>
        <w:separator/>
      </w:r>
    </w:p>
  </w:footnote>
  <w:footnote w:type="continuationSeparator" w:id="0">
    <w:p w14:paraId="5D2E6E64" w14:textId="77777777" w:rsidR="00951DAB" w:rsidRDefault="00951DAB" w:rsidP="002815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693" w:type="dxa"/>
      <w:tblInd w:w="-424" w:type="dxa"/>
      <w:tblLook w:val="01E0" w:firstRow="1" w:lastRow="1" w:firstColumn="1" w:lastColumn="1" w:noHBand="0" w:noVBand="0"/>
    </w:tblPr>
    <w:tblGrid>
      <w:gridCol w:w="674"/>
      <w:gridCol w:w="2977"/>
      <w:gridCol w:w="5042"/>
    </w:tblGrid>
    <w:tr w:rsidR="00951DAB" w:rsidRPr="00853024" w14:paraId="5984BF80" w14:textId="77777777" w:rsidTr="009E067E">
      <w:tc>
        <w:tcPr>
          <w:tcW w:w="674" w:type="dxa"/>
        </w:tcPr>
        <w:p w14:paraId="46EFFA2D" w14:textId="77777777" w:rsidR="00951DAB" w:rsidRPr="006077BB" w:rsidRDefault="00951DAB" w:rsidP="000C48A0">
          <w:pPr>
            <w:pStyle w:val="Header"/>
            <w:tabs>
              <w:tab w:val="clear" w:pos="284"/>
              <w:tab w:val="clear" w:pos="8640"/>
            </w:tabs>
            <w:spacing w:before="60" w:after="60"/>
            <w:rPr>
              <w:noProof/>
              <w:color w:val="E83F35"/>
            </w:rPr>
          </w:pPr>
          <w:r w:rsidRPr="006077BB">
            <w:rPr>
              <w:noProof/>
              <w:color w:val="E83F35"/>
            </w:rPr>
            <w:fldChar w:fldCharType="begin"/>
          </w:r>
          <w:r w:rsidRPr="006077BB">
            <w:rPr>
              <w:noProof/>
              <w:color w:val="E83F35"/>
            </w:rPr>
            <w:instrText xml:space="preserve"> page \* MERGEFORMAT </w:instrText>
          </w:r>
          <w:r w:rsidRPr="006077BB">
            <w:rPr>
              <w:noProof/>
              <w:color w:val="E83F35"/>
            </w:rPr>
            <w:fldChar w:fldCharType="separate"/>
          </w:r>
          <w:r w:rsidR="009703EC">
            <w:rPr>
              <w:noProof/>
              <w:color w:val="E83F35"/>
            </w:rPr>
            <w:t>4</w:t>
          </w:r>
          <w:r w:rsidRPr="006077BB">
            <w:rPr>
              <w:noProof/>
              <w:color w:val="E83F35"/>
            </w:rPr>
            <w:fldChar w:fldCharType="end"/>
          </w:r>
        </w:p>
      </w:tc>
      <w:tc>
        <w:tcPr>
          <w:tcW w:w="2977" w:type="dxa"/>
        </w:tcPr>
        <w:p w14:paraId="7F5D774C" w14:textId="77777777" w:rsidR="00951DAB" w:rsidRPr="006077BB" w:rsidRDefault="00951DAB" w:rsidP="00DD20D5">
          <w:pPr>
            <w:pStyle w:val="Header"/>
            <w:tabs>
              <w:tab w:val="clear" w:pos="284"/>
              <w:tab w:val="clear" w:pos="8640"/>
            </w:tabs>
            <w:spacing w:before="60" w:after="60"/>
            <w:jc w:val="left"/>
            <w:rPr>
              <w:noProof/>
            </w:rPr>
          </w:pPr>
          <w:r w:rsidRPr="006077BB">
            <w:rPr>
              <w:noProof/>
            </w:rPr>
            <w:fldChar w:fldCharType="begin"/>
          </w:r>
          <w:r w:rsidRPr="006077BB">
            <w:rPr>
              <w:noProof/>
            </w:rPr>
            <w:instrText xml:space="preserve"> SAVEDATE \@ "MMMM yyyy"\* MERGEFORMAT \* MERGEFORMAT </w:instrText>
          </w:r>
          <w:r w:rsidRPr="006077BB">
            <w:rPr>
              <w:noProof/>
            </w:rPr>
            <w:fldChar w:fldCharType="separate"/>
          </w:r>
          <w:r w:rsidR="009703EC">
            <w:rPr>
              <w:noProof/>
            </w:rPr>
            <w:t>October 2015</w:t>
          </w:r>
          <w:r w:rsidRPr="006077BB">
            <w:rPr>
              <w:noProof/>
            </w:rPr>
            <w:fldChar w:fldCharType="end"/>
          </w:r>
          <w:r w:rsidRPr="006077BB">
            <w:rPr>
              <w:noProof/>
              <w:color w:val="E83F35"/>
            </w:rPr>
            <w:t xml:space="preserve">  |</w:t>
          </w:r>
          <w:r w:rsidRPr="006077BB">
            <w:rPr>
              <w:noProof/>
              <w:color w:val="auto"/>
            </w:rPr>
            <w:t xml:space="preserve">  F</w:t>
          </w:r>
          <w:r w:rsidRPr="006077BB">
            <w:rPr>
              <w:noProof/>
            </w:rPr>
            <w:t>rontier Economics</w:t>
          </w:r>
          <w:r w:rsidRPr="006077BB">
            <w:rPr>
              <w:noProof/>
              <w:color w:val="E83F35"/>
            </w:rPr>
            <w:t xml:space="preserve"> </w:t>
          </w:r>
        </w:p>
      </w:tc>
      <w:sdt>
        <w:sdtPr>
          <w:rPr>
            <w:noProof/>
            <w:color w:val="E83F35"/>
          </w:rPr>
          <w:alias w:val="Comments"/>
          <w:id w:val="118789495"/>
          <w:placeholder>
            <w:docPart w:val="12664CBD73634D90A8A350CD2FD96AFD"/>
          </w:placeholder>
          <w:dataBinding w:prefixMappings="xmlns:ns0='http://purl.org/dc/elements/1.1/' xmlns:ns1='http://schemas.openxmlformats.org/package/2006/metadata/core-properties' " w:xpath="/ns1:coreProperties[1]/ns0:description[1]" w:storeItemID="{6C3C8BC8-F283-45AE-878A-BAB7291924A1}"/>
          <w:text w:multiLine="1"/>
        </w:sdtPr>
        <w:sdtEndPr/>
        <w:sdtContent>
          <w:tc>
            <w:tcPr>
              <w:tcW w:w="5042" w:type="dxa"/>
            </w:tcPr>
            <w:p w14:paraId="3FB68E7A" w14:textId="1A882805" w:rsidR="00951DAB" w:rsidRPr="00853024" w:rsidRDefault="00951DAB" w:rsidP="000C48A0">
              <w:pPr>
                <w:pStyle w:val="Header"/>
                <w:tabs>
                  <w:tab w:val="clear" w:pos="284"/>
                  <w:tab w:val="clear" w:pos="8640"/>
                </w:tabs>
                <w:spacing w:before="60" w:after="60"/>
                <w:jc w:val="right"/>
                <w:rPr>
                  <w:noProof/>
                  <w:szCs w:val="16"/>
                </w:rPr>
              </w:pPr>
              <w:r>
                <w:rPr>
                  <w:noProof/>
                  <w:color w:val="E83F35"/>
                </w:rPr>
                <w:t xml:space="preserve">  </w:t>
              </w:r>
            </w:p>
          </w:tc>
        </w:sdtContent>
      </w:sdt>
    </w:tr>
  </w:tbl>
  <w:p w14:paraId="54B381E4" w14:textId="77777777" w:rsidR="00951DAB" w:rsidRDefault="00951DA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755" w:type="dxa"/>
      <w:tblInd w:w="-326" w:type="dxa"/>
      <w:tblLook w:val="01E0" w:firstRow="1" w:lastRow="1" w:firstColumn="1" w:lastColumn="1" w:noHBand="0" w:noVBand="0"/>
    </w:tblPr>
    <w:tblGrid>
      <w:gridCol w:w="4844"/>
      <w:gridCol w:w="3245"/>
      <w:gridCol w:w="666"/>
    </w:tblGrid>
    <w:tr w:rsidR="00951DAB" w:rsidRPr="00853024" w14:paraId="36A8E363" w14:textId="77777777" w:rsidTr="001F33DE">
      <w:sdt>
        <w:sdtPr>
          <w:rPr>
            <w:noProof/>
            <w:color w:val="E83F35"/>
          </w:rPr>
          <w:alias w:val="Comments"/>
          <w:id w:val="118789491"/>
          <w:dataBinding w:prefixMappings="xmlns:ns0='http://purl.org/dc/elements/1.1/' xmlns:ns1='http://schemas.openxmlformats.org/package/2006/metadata/core-properties' " w:xpath="/ns1:coreProperties[1]/ns0:description[1]" w:storeItemID="{6C3C8BC8-F283-45AE-878A-BAB7291924A1}"/>
          <w:text w:multiLine="1"/>
        </w:sdtPr>
        <w:sdtEndPr/>
        <w:sdtContent>
          <w:tc>
            <w:tcPr>
              <w:tcW w:w="4844" w:type="dxa"/>
            </w:tcPr>
            <w:p w14:paraId="3EA69046" w14:textId="24FA0A31" w:rsidR="00951DAB" w:rsidRPr="006077BB" w:rsidRDefault="00951DAB" w:rsidP="0028007B">
              <w:pPr>
                <w:pStyle w:val="Header"/>
                <w:tabs>
                  <w:tab w:val="clear" w:pos="284"/>
                  <w:tab w:val="clear" w:pos="8640"/>
                </w:tabs>
                <w:spacing w:before="60" w:after="60"/>
                <w:rPr>
                  <w:noProof/>
                  <w:color w:val="E83F35"/>
                </w:rPr>
              </w:pPr>
              <w:r>
                <w:rPr>
                  <w:noProof/>
                  <w:color w:val="E83F35"/>
                </w:rPr>
                <w:t xml:space="preserve">  </w:t>
              </w:r>
            </w:p>
          </w:tc>
        </w:sdtContent>
      </w:sdt>
      <w:tc>
        <w:tcPr>
          <w:tcW w:w="3245" w:type="dxa"/>
        </w:tcPr>
        <w:p w14:paraId="16F99956" w14:textId="77777777" w:rsidR="00951DAB" w:rsidRPr="006077BB" w:rsidRDefault="00951DAB" w:rsidP="0028007B">
          <w:pPr>
            <w:pStyle w:val="Header"/>
            <w:tabs>
              <w:tab w:val="clear" w:pos="284"/>
              <w:tab w:val="clear" w:pos="8640"/>
            </w:tabs>
            <w:spacing w:before="60" w:after="60"/>
            <w:jc w:val="right"/>
            <w:rPr>
              <w:noProof/>
            </w:rPr>
          </w:pPr>
          <w:r w:rsidRPr="006077BB">
            <w:rPr>
              <w:noProof/>
            </w:rPr>
            <w:fldChar w:fldCharType="begin"/>
          </w:r>
          <w:r w:rsidRPr="006077BB">
            <w:rPr>
              <w:noProof/>
            </w:rPr>
            <w:instrText xml:space="preserve"> SAVEDATE \@ "MMMM yyyy"\* MERGEFORMAT \* MERGEFORMAT </w:instrText>
          </w:r>
          <w:r w:rsidRPr="006077BB">
            <w:rPr>
              <w:noProof/>
            </w:rPr>
            <w:fldChar w:fldCharType="separate"/>
          </w:r>
          <w:r w:rsidR="009703EC">
            <w:rPr>
              <w:noProof/>
            </w:rPr>
            <w:t>October 2015</w:t>
          </w:r>
          <w:r w:rsidRPr="006077BB">
            <w:rPr>
              <w:noProof/>
            </w:rPr>
            <w:fldChar w:fldCharType="end"/>
          </w:r>
          <w:r w:rsidRPr="006077BB">
            <w:rPr>
              <w:noProof/>
              <w:color w:val="E83F35"/>
            </w:rPr>
            <w:t xml:space="preserve">  |</w:t>
          </w:r>
          <w:r w:rsidRPr="006077BB">
            <w:rPr>
              <w:noProof/>
              <w:color w:val="auto"/>
            </w:rPr>
            <w:t xml:space="preserve">  F</w:t>
          </w:r>
          <w:r w:rsidRPr="006077BB">
            <w:rPr>
              <w:noProof/>
            </w:rPr>
            <w:t>rontier Economics</w:t>
          </w:r>
        </w:p>
      </w:tc>
      <w:tc>
        <w:tcPr>
          <w:tcW w:w="666" w:type="dxa"/>
        </w:tcPr>
        <w:p w14:paraId="007C2BCC" w14:textId="77777777" w:rsidR="00951DAB" w:rsidRPr="00853024" w:rsidRDefault="00951DAB" w:rsidP="0028007B">
          <w:pPr>
            <w:pStyle w:val="Header"/>
            <w:tabs>
              <w:tab w:val="clear" w:pos="284"/>
              <w:tab w:val="clear" w:pos="8640"/>
            </w:tabs>
            <w:spacing w:before="60" w:after="60"/>
            <w:jc w:val="right"/>
            <w:rPr>
              <w:noProof/>
              <w:szCs w:val="16"/>
            </w:rPr>
          </w:pPr>
          <w:r w:rsidRPr="006077BB">
            <w:rPr>
              <w:noProof/>
              <w:color w:val="E83F35"/>
            </w:rPr>
            <w:fldChar w:fldCharType="begin"/>
          </w:r>
          <w:r w:rsidRPr="006077BB">
            <w:rPr>
              <w:noProof/>
              <w:color w:val="E83F35"/>
            </w:rPr>
            <w:instrText xml:space="preserve"> page \* MERGEFORMAT </w:instrText>
          </w:r>
          <w:r w:rsidRPr="006077BB">
            <w:rPr>
              <w:noProof/>
              <w:color w:val="E83F35"/>
            </w:rPr>
            <w:fldChar w:fldCharType="separate"/>
          </w:r>
          <w:r w:rsidR="009703EC">
            <w:rPr>
              <w:noProof/>
              <w:color w:val="E83F35"/>
            </w:rPr>
            <w:t>3</w:t>
          </w:r>
          <w:r w:rsidRPr="006077BB">
            <w:rPr>
              <w:noProof/>
              <w:color w:val="E83F35"/>
            </w:rPr>
            <w:fldChar w:fldCharType="end"/>
          </w:r>
        </w:p>
      </w:tc>
    </w:tr>
  </w:tbl>
  <w:p w14:paraId="0828223D" w14:textId="77777777" w:rsidR="00951DAB" w:rsidRDefault="00951DA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755" w:type="dxa"/>
      <w:tblInd w:w="-326" w:type="dxa"/>
      <w:tblLook w:val="01E0" w:firstRow="1" w:lastRow="1" w:firstColumn="1" w:lastColumn="1" w:noHBand="0" w:noVBand="0"/>
    </w:tblPr>
    <w:tblGrid>
      <w:gridCol w:w="4829"/>
      <w:gridCol w:w="3260"/>
      <w:gridCol w:w="666"/>
    </w:tblGrid>
    <w:tr w:rsidR="00951DAB" w:rsidRPr="00853024" w14:paraId="36C1EC8D" w14:textId="77777777" w:rsidTr="00CA4511">
      <w:sdt>
        <w:sdtPr>
          <w:rPr>
            <w:noProof/>
            <w:color w:val="E83F35"/>
          </w:rPr>
          <w:alias w:val="Comments"/>
          <w:id w:val="119464661"/>
          <w:dataBinding w:prefixMappings="xmlns:ns0='http://purl.org/dc/elements/1.1/' xmlns:ns1='http://schemas.openxmlformats.org/package/2006/metadata/core-properties' " w:xpath="/ns1:coreProperties[1]/ns0:description[1]" w:storeItemID="{6C3C8BC8-F283-45AE-878A-BAB7291924A1}"/>
          <w:text w:multiLine="1"/>
        </w:sdtPr>
        <w:sdtEndPr/>
        <w:sdtContent>
          <w:tc>
            <w:tcPr>
              <w:tcW w:w="4829" w:type="dxa"/>
            </w:tcPr>
            <w:p w14:paraId="17E656F5" w14:textId="29653359" w:rsidR="00951DAB" w:rsidRPr="006077BB" w:rsidRDefault="00951DAB" w:rsidP="000C48A0">
              <w:pPr>
                <w:pStyle w:val="Header"/>
                <w:tabs>
                  <w:tab w:val="clear" w:pos="284"/>
                  <w:tab w:val="clear" w:pos="8640"/>
                </w:tabs>
                <w:spacing w:before="60" w:after="60"/>
                <w:rPr>
                  <w:noProof/>
                  <w:color w:val="E83F35"/>
                </w:rPr>
              </w:pPr>
              <w:r>
                <w:rPr>
                  <w:noProof/>
                  <w:color w:val="E83F35"/>
                </w:rPr>
                <w:t xml:space="preserve">  </w:t>
              </w:r>
            </w:p>
          </w:tc>
        </w:sdtContent>
      </w:sdt>
      <w:tc>
        <w:tcPr>
          <w:tcW w:w="3260" w:type="dxa"/>
        </w:tcPr>
        <w:p w14:paraId="7AA2B61D" w14:textId="77777777" w:rsidR="00951DAB" w:rsidRPr="006077BB" w:rsidRDefault="00951DAB" w:rsidP="000C48A0">
          <w:pPr>
            <w:pStyle w:val="Header"/>
            <w:tabs>
              <w:tab w:val="clear" w:pos="284"/>
              <w:tab w:val="clear" w:pos="8640"/>
            </w:tabs>
            <w:spacing w:before="60" w:after="60"/>
            <w:jc w:val="right"/>
            <w:rPr>
              <w:noProof/>
            </w:rPr>
          </w:pPr>
          <w:r w:rsidRPr="006077BB">
            <w:rPr>
              <w:noProof/>
            </w:rPr>
            <w:fldChar w:fldCharType="begin"/>
          </w:r>
          <w:r w:rsidRPr="006077BB">
            <w:rPr>
              <w:noProof/>
            </w:rPr>
            <w:instrText xml:space="preserve"> SAVEDATE \@ "MMMM yyyy"\* MERGEFORMAT \* MERGEFORMAT </w:instrText>
          </w:r>
          <w:r w:rsidRPr="006077BB">
            <w:rPr>
              <w:noProof/>
            </w:rPr>
            <w:fldChar w:fldCharType="separate"/>
          </w:r>
          <w:r w:rsidR="009703EC">
            <w:rPr>
              <w:noProof/>
            </w:rPr>
            <w:t>October 2015</w:t>
          </w:r>
          <w:r w:rsidRPr="006077BB">
            <w:rPr>
              <w:noProof/>
            </w:rPr>
            <w:fldChar w:fldCharType="end"/>
          </w:r>
          <w:r w:rsidRPr="006077BB">
            <w:rPr>
              <w:noProof/>
              <w:color w:val="E83F35"/>
            </w:rPr>
            <w:t xml:space="preserve">  |</w:t>
          </w:r>
          <w:r w:rsidRPr="006077BB">
            <w:rPr>
              <w:noProof/>
              <w:color w:val="auto"/>
            </w:rPr>
            <w:t xml:space="preserve">  F</w:t>
          </w:r>
          <w:r w:rsidRPr="006077BB">
            <w:rPr>
              <w:noProof/>
            </w:rPr>
            <w:t>rontier Economics</w:t>
          </w:r>
        </w:p>
      </w:tc>
      <w:tc>
        <w:tcPr>
          <w:tcW w:w="666" w:type="dxa"/>
        </w:tcPr>
        <w:p w14:paraId="4F3170D1" w14:textId="77777777" w:rsidR="00951DAB" w:rsidRPr="00853024" w:rsidRDefault="00951DAB" w:rsidP="000C48A0">
          <w:pPr>
            <w:pStyle w:val="Header"/>
            <w:tabs>
              <w:tab w:val="clear" w:pos="284"/>
              <w:tab w:val="clear" w:pos="8640"/>
            </w:tabs>
            <w:spacing w:before="60" w:after="60"/>
            <w:jc w:val="right"/>
            <w:rPr>
              <w:noProof/>
              <w:szCs w:val="16"/>
            </w:rPr>
          </w:pPr>
          <w:r w:rsidRPr="006077BB">
            <w:rPr>
              <w:noProof/>
              <w:color w:val="E83F35"/>
            </w:rPr>
            <w:fldChar w:fldCharType="begin"/>
          </w:r>
          <w:r w:rsidRPr="006077BB">
            <w:rPr>
              <w:noProof/>
              <w:color w:val="E83F35"/>
            </w:rPr>
            <w:instrText xml:space="preserve"> page \* MERGEFORMAT </w:instrText>
          </w:r>
          <w:r w:rsidRPr="006077BB">
            <w:rPr>
              <w:noProof/>
              <w:color w:val="E83F35"/>
            </w:rPr>
            <w:fldChar w:fldCharType="separate"/>
          </w:r>
          <w:r w:rsidR="009703EC">
            <w:rPr>
              <w:noProof/>
              <w:color w:val="E83F35"/>
            </w:rPr>
            <w:t>1</w:t>
          </w:r>
          <w:r w:rsidRPr="006077BB">
            <w:rPr>
              <w:noProof/>
              <w:color w:val="E83F35"/>
            </w:rPr>
            <w:fldChar w:fldCharType="end"/>
          </w:r>
        </w:p>
      </w:tc>
    </w:tr>
  </w:tbl>
  <w:p w14:paraId="489CA2E8" w14:textId="77777777" w:rsidR="00951DAB" w:rsidRDefault="00951DA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11E50"/>
    <w:multiLevelType w:val="hybridMultilevel"/>
    <w:tmpl w:val="FE9655C8"/>
    <w:lvl w:ilvl="0" w:tplc="28CA3764">
      <w:start w:val="1"/>
      <w:numFmt w:val="decimal"/>
      <w:pStyle w:val="NormalNumbered"/>
      <w:lvlText w:val="%1"/>
      <w:lvlJc w:val="left"/>
      <w:pPr>
        <w:tabs>
          <w:tab w:val="num" w:pos="0"/>
        </w:tabs>
        <w:ind w:left="0" w:hanging="851"/>
      </w:pPr>
      <w:rPr>
        <w:rFonts w:ascii="Garamond" w:hAnsi="Garamond" w:hint="default"/>
        <w:b w:val="0"/>
        <w:i w:val="0"/>
        <w:color w:val="7F7F7F" w:themeColor="text1" w:themeTint="80"/>
        <w:sz w:val="20"/>
      </w:rPr>
    </w:lvl>
    <w:lvl w:ilvl="1" w:tplc="3D4034B4">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
    <w:nsid w:val="0D801A20"/>
    <w:multiLevelType w:val="multilevel"/>
    <w:tmpl w:val="A4A83A72"/>
    <w:styleLink w:val="FEabcList"/>
    <w:lvl w:ilvl="0">
      <w:start w:val="1"/>
      <w:numFmt w:val="lowerLetter"/>
      <w:lvlText w:val="%1."/>
      <w:lvlJc w:val="left"/>
      <w:pPr>
        <w:ind w:left="360" w:hanging="360"/>
      </w:pPr>
      <w:rPr>
        <w:rFonts w:hint="default"/>
      </w:rPr>
    </w:lvl>
    <w:lvl w:ilvl="1">
      <w:start w:val="1"/>
      <w:numFmt w:val="lowerRoman"/>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
    <w:nsid w:val="137514DD"/>
    <w:multiLevelType w:val="multilevel"/>
    <w:tmpl w:val="146A66B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162E08F6"/>
    <w:multiLevelType w:val="multilevel"/>
    <w:tmpl w:val="A7CA8346"/>
    <w:numStyleLink w:val="FEParagraphList"/>
  </w:abstractNum>
  <w:abstractNum w:abstractNumId="4">
    <w:nsid w:val="165F5DA2"/>
    <w:multiLevelType w:val="multilevel"/>
    <w:tmpl w:val="BB16F2D0"/>
    <w:lvl w:ilvl="0">
      <w:start w:val="1"/>
      <w:numFmt w:val="decimal"/>
      <w:lvlText w:val="%1"/>
      <w:lvlJc w:val="left"/>
      <w:pPr>
        <w:tabs>
          <w:tab w:val="num" w:pos="0"/>
        </w:tabs>
        <w:ind w:left="0" w:hanging="851"/>
      </w:pPr>
      <w:rPr>
        <w:rFonts w:hint="default"/>
      </w:rPr>
    </w:lvl>
    <w:lvl w:ilvl="1">
      <w:start w:val="1"/>
      <w:numFmt w:val="decimal"/>
      <w:lvlText w:val="%1.%2"/>
      <w:lvlJc w:val="left"/>
      <w:pPr>
        <w:tabs>
          <w:tab w:val="num" w:pos="0"/>
        </w:tabs>
        <w:ind w:left="0" w:hanging="851"/>
      </w:pPr>
      <w:rPr>
        <w:rFonts w:hint="default"/>
        <w:b/>
        <w:i w:val="0"/>
        <w:caps w:val="0"/>
        <w:strike w:val="0"/>
        <w:dstrike w:val="0"/>
        <w:vanish w:val="0"/>
        <w:color w:val="E83F35"/>
        <w:sz w:val="3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0"/>
        </w:tabs>
        <w:ind w:left="0" w:hanging="851"/>
      </w:pPr>
      <w:rPr>
        <w:rFonts w:hint="default"/>
      </w:rPr>
    </w:lvl>
    <w:lvl w:ilvl="3">
      <w:start w:val="1"/>
      <w:numFmt w:val="none"/>
      <w:lvlText w:val=""/>
      <w:lvlJc w:val="left"/>
      <w:pPr>
        <w:tabs>
          <w:tab w:val="num" w:pos="0"/>
        </w:tabs>
        <w:ind w:left="0" w:firstLine="0"/>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5">
    <w:nsid w:val="2052162D"/>
    <w:multiLevelType w:val="multilevel"/>
    <w:tmpl w:val="A7CA8346"/>
    <w:numStyleLink w:val="FEParagraphList"/>
  </w:abstractNum>
  <w:abstractNum w:abstractNumId="6">
    <w:nsid w:val="278A1720"/>
    <w:multiLevelType w:val="multilevel"/>
    <w:tmpl w:val="A7CA8346"/>
    <w:numStyleLink w:val="FEParagraphList"/>
  </w:abstractNum>
  <w:abstractNum w:abstractNumId="7">
    <w:nsid w:val="30EC1061"/>
    <w:multiLevelType w:val="multilevel"/>
    <w:tmpl w:val="A7CA8346"/>
    <w:styleLink w:val="FEParagraphList"/>
    <w:lvl w:ilvl="0">
      <w:start w:val="1"/>
      <w:numFmt w:val="bullet"/>
      <w:pStyle w:val="FEBullet1"/>
      <w:lvlText w:val=""/>
      <w:lvlJc w:val="left"/>
      <w:pPr>
        <w:ind w:left="360" w:hanging="360"/>
      </w:pPr>
      <w:rPr>
        <w:rFonts w:ascii="Wingdings" w:hAnsi="Wingdings" w:hint="default"/>
        <w:color w:val="E83F35" w:themeColor="text2"/>
        <w:sz w:val="22"/>
      </w:rPr>
    </w:lvl>
    <w:lvl w:ilvl="1">
      <w:start w:val="1"/>
      <w:numFmt w:val="bullet"/>
      <w:lvlText w:val="●"/>
      <w:lvlJc w:val="left"/>
      <w:pPr>
        <w:ind w:left="720" w:hanging="360"/>
      </w:pPr>
      <w:rPr>
        <w:rFonts w:ascii="Garamond" w:hAnsi="Garamond" w:hint="default"/>
        <w:color w:val="E83F35" w:themeColor="text2"/>
      </w:rPr>
    </w:lvl>
    <w:lvl w:ilvl="2">
      <w:start w:val="1"/>
      <w:numFmt w:val="bullet"/>
      <w:pStyle w:val="FEBullet3b"/>
      <w:lvlText w:val=""/>
      <w:lvlJc w:val="left"/>
      <w:pPr>
        <w:ind w:left="1080" w:hanging="360"/>
      </w:pPr>
      <w:rPr>
        <w:rFonts w:ascii="Wingdings" w:hAnsi="Wingdings" w:hint="default"/>
        <w:color w:val="E83F35" w:themeColor="text2"/>
        <w:sz w:val="12"/>
      </w:rPr>
    </w:lvl>
    <w:lvl w:ilvl="3">
      <w:start w:val="1"/>
      <w:numFmt w:val="bullet"/>
      <w:pStyle w:val="FEBullet4"/>
      <w:lvlText w:val=""/>
      <w:lvlJc w:val="left"/>
      <w:pPr>
        <w:ind w:left="1440" w:hanging="360"/>
      </w:pPr>
      <w:rPr>
        <w:rFonts w:ascii="Symbol" w:hAnsi="Symbol" w:hint="default"/>
        <w:color w:val="E83F35" w:themeColor="text2"/>
      </w:rPr>
    </w:lvl>
    <w:lvl w:ilvl="4">
      <w:start w:val="1"/>
      <w:numFmt w:val="bullet"/>
      <w:lvlText w:val=""/>
      <w:lvlJc w:val="left"/>
      <w:pPr>
        <w:ind w:left="1800" w:hanging="360"/>
      </w:pPr>
      <w:rPr>
        <w:rFonts w:ascii="Symbol" w:hAnsi="Symbol" w:hint="default"/>
        <w:color w:val="E83F35" w:themeColor="text2"/>
      </w:rPr>
    </w:lvl>
    <w:lvl w:ilvl="5">
      <w:start w:val="1"/>
      <w:numFmt w:val="bullet"/>
      <w:lvlText w:val=""/>
      <w:lvlJc w:val="left"/>
      <w:pPr>
        <w:ind w:left="2160" w:hanging="360"/>
      </w:pPr>
      <w:rPr>
        <w:rFonts w:ascii="Symbol" w:hAnsi="Symbol" w:hint="default"/>
        <w:color w:val="E83F35" w:themeColor="text2"/>
      </w:rPr>
    </w:lvl>
    <w:lvl w:ilvl="6">
      <w:start w:val="1"/>
      <w:numFmt w:val="bullet"/>
      <w:lvlText w:val=""/>
      <w:lvlJc w:val="left"/>
      <w:pPr>
        <w:ind w:left="2520" w:hanging="360"/>
      </w:pPr>
      <w:rPr>
        <w:rFonts w:ascii="Symbol" w:hAnsi="Symbol" w:hint="default"/>
        <w:color w:val="E83F35" w:themeColor="text2"/>
      </w:rPr>
    </w:lvl>
    <w:lvl w:ilvl="7">
      <w:start w:val="1"/>
      <w:numFmt w:val="bullet"/>
      <w:lvlText w:val=""/>
      <w:lvlJc w:val="left"/>
      <w:pPr>
        <w:ind w:left="2880" w:hanging="360"/>
      </w:pPr>
      <w:rPr>
        <w:rFonts w:ascii="Symbol" w:hAnsi="Symbol" w:hint="default"/>
        <w:color w:val="E83F35" w:themeColor="text2"/>
      </w:rPr>
    </w:lvl>
    <w:lvl w:ilvl="8">
      <w:start w:val="1"/>
      <w:numFmt w:val="bullet"/>
      <w:lvlText w:val=""/>
      <w:lvlJc w:val="left"/>
      <w:pPr>
        <w:ind w:left="3240" w:hanging="360"/>
      </w:pPr>
      <w:rPr>
        <w:rFonts w:ascii="Symbol" w:hAnsi="Symbol" w:hint="default"/>
        <w:color w:val="E83F35" w:themeColor="text2"/>
      </w:rPr>
    </w:lvl>
  </w:abstractNum>
  <w:abstractNum w:abstractNumId="8">
    <w:nsid w:val="3D231BFA"/>
    <w:multiLevelType w:val="multilevel"/>
    <w:tmpl w:val="A7CA8346"/>
    <w:numStyleLink w:val="FEParagraphList"/>
  </w:abstractNum>
  <w:abstractNum w:abstractNumId="9">
    <w:nsid w:val="40263FFA"/>
    <w:multiLevelType w:val="multilevel"/>
    <w:tmpl w:val="0C09001D"/>
    <w:styleLink w:val="FEBulletList"/>
    <w:lvl w:ilvl="0">
      <w:start w:val="1"/>
      <w:numFmt w:val="bullet"/>
      <w:pStyle w:val="FEBullet2"/>
      <w:lvlText w:val="●"/>
      <w:lvlJc w:val="left"/>
      <w:pPr>
        <w:ind w:left="360" w:hanging="360"/>
      </w:pPr>
      <w:rPr>
        <w:rFonts w:ascii="Garamond" w:hAnsi="Garamond" w:hint="default"/>
        <w:color w:val="E83F35" w:themeColor="text2"/>
      </w:rPr>
    </w:lvl>
    <w:lvl w:ilvl="1">
      <w:start w:val="1"/>
      <w:numFmt w:val="bullet"/>
      <w:lvlText w:val=""/>
      <w:lvlJc w:val="left"/>
      <w:pPr>
        <w:ind w:left="720" w:hanging="360"/>
      </w:pPr>
      <w:rPr>
        <w:rFonts w:ascii="Wingdings" w:hAnsi="Wingdings" w:hint="default"/>
        <w:color w:val="E83F35" w:themeColor="text2"/>
        <w:sz w:val="12"/>
      </w:rPr>
    </w:lvl>
    <w:lvl w:ilvl="2">
      <w:start w:val="1"/>
      <w:numFmt w:val="bullet"/>
      <w:lvlText w:val=""/>
      <w:lvlJc w:val="left"/>
      <w:pPr>
        <w:ind w:left="1080" w:hanging="360"/>
      </w:pPr>
      <w:rPr>
        <w:rFonts w:ascii="Symbol" w:hAnsi="Symbol" w:hint="default"/>
        <w:color w:val="E83F35" w:themeColor="text2"/>
      </w:rPr>
    </w:lvl>
    <w:lvl w:ilvl="3">
      <w:start w:val="1"/>
      <w:numFmt w:val="bullet"/>
      <w:lvlText w:val=""/>
      <w:lvlJc w:val="left"/>
      <w:pPr>
        <w:ind w:left="1440" w:hanging="360"/>
      </w:pPr>
      <w:rPr>
        <w:rFonts w:ascii="Symbol" w:hAnsi="Symbol" w:hint="default"/>
        <w:color w:val="E83F35" w:themeColor="text2"/>
      </w:rPr>
    </w:lvl>
    <w:lvl w:ilvl="4">
      <w:start w:val="1"/>
      <w:numFmt w:val="bullet"/>
      <w:lvlText w:val=""/>
      <w:lvlJc w:val="left"/>
      <w:pPr>
        <w:ind w:left="1800" w:hanging="360"/>
      </w:pPr>
      <w:rPr>
        <w:rFonts w:ascii="Symbol" w:hAnsi="Symbol" w:hint="default"/>
        <w:color w:val="E83F35" w:themeColor="text2"/>
      </w:rPr>
    </w:lvl>
    <w:lvl w:ilvl="5">
      <w:start w:val="1"/>
      <w:numFmt w:val="bullet"/>
      <w:lvlText w:val=""/>
      <w:lvlJc w:val="left"/>
      <w:pPr>
        <w:ind w:left="2160" w:hanging="360"/>
      </w:pPr>
      <w:rPr>
        <w:rFonts w:ascii="Symbol" w:hAnsi="Symbol" w:hint="default"/>
        <w:color w:val="E83F35" w:themeColor="text2"/>
      </w:rPr>
    </w:lvl>
    <w:lvl w:ilvl="6">
      <w:start w:val="1"/>
      <w:numFmt w:val="bullet"/>
      <w:lvlText w:val=""/>
      <w:lvlJc w:val="left"/>
      <w:pPr>
        <w:ind w:left="2520" w:hanging="360"/>
      </w:pPr>
      <w:rPr>
        <w:rFonts w:ascii="Symbol" w:hAnsi="Symbol" w:hint="default"/>
        <w:color w:val="E83F35" w:themeColor="text2"/>
      </w:rPr>
    </w:lvl>
    <w:lvl w:ilvl="7">
      <w:start w:val="1"/>
      <w:numFmt w:val="bullet"/>
      <w:lvlText w:val=""/>
      <w:lvlJc w:val="left"/>
      <w:pPr>
        <w:ind w:left="2880" w:hanging="360"/>
      </w:pPr>
      <w:rPr>
        <w:rFonts w:ascii="Symbol" w:hAnsi="Symbol" w:hint="default"/>
        <w:color w:val="E83F35" w:themeColor="text2"/>
      </w:rPr>
    </w:lvl>
    <w:lvl w:ilvl="8">
      <w:start w:val="1"/>
      <w:numFmt w:val="bullet"/>
      <w:lvlText w:val=""/>
      <w:lvlJc w:val="left"/>
      <w:pPr>
        <w:ind w:left="3240" w:hanging="360"/>
      </w:pPr>
      <w:rPr>
        <w:rFonts w:ascii="Symbol" w:hAnsi="Symbol" w:hint="default"/>
        <w:color w:val="E83F35" w:themeColor="text2"/>
      </w:rPr>
    </w:lvl>
  </w:abstractNum>
  <w:abstractNum w:abstractNumId="10">
    <w:nsid w:val="4D4F14D5"/>
    <w:multiLevelType w:val="multilevel"/>
    <w:tmpl w:val="A7CA8346"/>
    <w:numStyleLink w:val="FEParagraphList"/>
  </w:abstractNum>
  <w:abstractNum w:abstractNumId="11">
    <w:nsid w:val="5A343C30"/>
    <w:multiLevelType w:val="multilevel"/>
    <w:tmpl w:val="A7CA8346"/>
    <w:numStyleLink w:val="FEParagraphList"/>
  </w:abstractNum>
  <w:abstractNum w:abstractNumId="12">
    <w:nsid w:val="63131762"/>
    <w:multiLevelType w:val="hybridMultilevel"/>
    <w:tmpl w:val="5A921916"/>
    <w:lvl w:ilvl="0" w:tplc="852A12C6">
      <w:numFmt w:val="bullet"/>
      <w:lvlText w:val="-"/>
      <w:lvlJc w:val="left"/>
      <w:pPr>
        <w:ind w:left="720" w:hanging="360"/>
      </w:pPr>
      <w:rPr>
        <w:rFonts w:ascii="Garamond" w:eastAsia="Times" w:hAnsi="Garamond" w:cs="Times New Roman" w:hint="default"/>
      </w:rPr>
    </w:lvl>
    <w:lvl w:ilvl="1" w:tplc="9A260964" w:tentative="1">
      <w:start w:val="1"/>
      <w:numFmt w:val="bullet"/>
      <w:lvlText w:val="o"/>
      <w:lvlJc w:val="left"/>
      <w:pPr>
        <w:ind w:left="1440" w:hanging="360"/>
      </w:pPr>
      <w:rPr>
        <w:rFonts w:ascii="Courier New" w:hAnsi="Courier New" w:cs="Courier New" w:hint="default"/>
      </w:rPr>
    </w:lvl>
    <w:lvl w:ilvl="2" w:tplc="C3B44D42" w:tentative="1">
      <w:start w:val="1"/>
      <w:numFmt w:val="bullet"/>
      <w:lvlText w:val=""/>
      <w:lvlJc w:val="left"/>
      <w:pPr>
        <w:ind w:left="2160" w:hanging="360"/>
      </w:pPr>
      <w:rPr>
        <w:rFonts w:ascii="Wingdings" w:hAnsi="Wingdings" w:hint="default"/>
      </w:rPr>
    </w:lvl>
    <w:lvl w:ilvl="3" w:tplc="567C284A" w:tentative="1">
      <w:start w:val="1"/>
      <w:numFmt w:val="bullet"/>
      <w:lvlText w:val=""/>
      <w:lvlJc w:val="left"/>
      <w:pPr>
        <w:ind w:left="2880" w:hanging="360"/>
      </w:pPr>
      <w:rPr>
        <w:rFonts w:ascii="Symbol" w:hAnsi="Symbol" w:hint="default"/>
      </w:rPr>
    </w:lvl>
    <w:lvl w:ilvl="4" w:tplc="FD3C6AC4" w:tentative="1">
      <w:start w:val="1"/>
      <w:numFmt w:val="bullet"/>
      <w:lvlText w:val="o"/>
      <w:lvlJc w:val="left"/>
      <w:pPr>
        <w:ind w:left="3600" w:hanging="360"/>
      </w:pPr>
      <w:rPr>
        <w:rFonts w:ascii="Courier New" w:hAnsi="Courier New" w:cs="Courier New" w:hint="default"/>
      </w:rPr>
    </w:lvl>
    <w:lvl w:ilvl="5" w:tplc="5364B0F2" w:tentative="1">
      <w:start w:val="1"/>
      <w:numFmt w:val="bullet"/>
      <w:lvlText w:val=""/>
      <w:lvlJc w:val="left"/>
      <w:pPr>
        <w:ind w:left="4320" w:hanging="360"/>
      </w:pPr>
      <w:rPr>
        <w:rFonts w:ascii="Wingdings" w:hAnsi="Wingdings" w:hint="default"/>
      </w:rPr>
    </w:lvl>
    <w:lvl w:ilvl="6" w:tplc="B7D020CE" w:tentative="1">
      <w:start w:val="1"/>
      <w:numFmt w:val="bullet"/>
      <w:lvlText w:val=""/>
      <w:lvlJc w:val="left"/>
      <w:pPr>
        <w:ind w:left="5040" w:hanging="360"/>
      </w:pPr>
      <w:rPr>
        <w:rFonts w:ascii="Symbol" w:hAnsi="Symbol" w:hint="default"/>
      </w:rPr>
    </w:lvl>
    <w:lvl w:ilvl="7" w:tplc="D136985C" w:tentative="1">
      <w:start w:val="1"/>
      <w:numFmt w:val="bullet"/>
      <w:lvlText w:val="o"/>
      <w:lvlJc w:val="left"/>
      <w:pPr>
        <w:ind w:left="5760" w:hanging="360"/>
      </w:pPr>
      <w:rPr>
        <w:rFonts w:ascii="Courier New" w:hAnsi="Courier New" w:cs="Courier New" w:hint="default"/>
      </w:rPr>
    </w:lvl>
    <w:lvl w:ilvl="8" w:tplc="67CC761A" w:tentative="1">
      <w:start w:val="1"/>
      <w:numFmt w:val="bullet"/>
      <w:lvlText w:val=""/>
      <w:lvlJc w:val="left"/>
      <w:pPr>
        <w:ind w:left="6480" w:hanging="360"/>
      </w:pPr>
      <w:rPr>
        <w:rFonts w:ascii="Wingdings" w:hAnsi="Wingdings" w:hint="default"/>
      </w:rPr>
    </w:lvl>
  </w:abstractNum>
  <w:abstractNum w:abstractNumId="13">
    <w:nsid w:val="69BB07DB"/>
    <w:multiLevelType w:val="multilevel"/>
    <w:tmpl w:val="86969356"/>
    <w:lvl w:ilvl="0">
      <w:start w:val="1"/>
      <w:numFmt w:val="bullet"/>
      <w:lvlText w:val=""/>
      <w:lvlJc w:val="left"/>
      <w:pPr>
        <w:tabs>
          <w:tab w:val="num" w:pos="425"/>
        </w:tabs>
        <w:ind w:left="425" w:hanging="425"/>
      </w:pPr>
      <w:rPr>
        <w:rFonts w:ascii="Symbol" w:hAnsi="Symbol" w:hint="default"/>
        <w:b/>
        <w:i w:val="0"/>
        <w:color w:val="E83F35"/>
        <w:sz w:val="36"/>
      </w:rPr>
    </w:lvl>
    <w:lvl w:ilvl="1">
      <w:start w:val="1"/>
      <w:numFmt w:val="bullet"/>
      <w:lvlText w:val=""/>
      <w:lvlJc w:val="left"/>
      <w:pPr>
        <w:tabs>
          <w:tab w:val="num" w:pos="851"/>
        </w:tabs>
        <w:ind w:left="851" w:hanging="426"/>
      </w:pPr>
      <w:rPr>
        <w:rFonts w:ascii="Wingdings" w:hAnsi="Wingdings" w:hint="default"/>
        <w:color w:val="E83F35"/>
        <w:sz w:val="28"/>
      </w:rPr>
    </w:lvl>
    <w:lvl w:ilvl="2">
      <w:start w:val="1"/>
      <w:numFmt w:val="bullet"/>
      <w:lvlText w:val=""/>
      <w:lvlJc w:val="left"/>
      <w:pPr>
        <w:tabs>
          <w:tab w:val="num" w:pos="1276"/>
        </w:tabs>
        <w:ind w:left="1276" w:hanging="425"/>
      </w:pPr>
      <w:rPr>
        <w:rFonts w:ascii="Symbol" w:hAnsi="Symbol" w:hint="default"/>
        <w:color w:val="auto"/>
        <w:sz w:val="16"/>
      </w:rPr>
    </w:lvl>
    <w:lvl w:ilvl="3">
      <w:start w:val="1"/>
      <w:numFmt w:val="bullet"/>
      <w:lvlText w:val=""/>
      <w:lvlJc w:val="left"/>
      <w:pPr>
        <w:tabs>
          <w:tab w:val="num" w:pos="1701"/>
        </w:tabs>
        <w:ind w:left="1701" w:hanging="425"/>
      </w:pPr>
      <w:rPr>
        <w:rFonts w:ascii="Wingdings" w:hAnsi="Wingdings" w:hint="default"/>
        <w:color w:val="auto"/>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4">
    <w:nsid w:val="6BC24D7F"/>
    <w:multiLevelType w:val="multilevel"/>
    <w:tmpl w:val="A7CA8346"/>
    <w:numStyleLink w:val="FEParagraphList"/>
  </w:abstractNum>
  <w:abstractNum w:abstractNumId="15">
    <w:nsid w:val="71407A73"/>
    <w:multiLevelType w:val="singleLevel"/>
    <w:tmpl w:val="F020AF36"/>
    <w:lvl w:ilvl="0">
      <w:start w:val="1"/>
      <w:numFmt w:val="decimal"/>
      <w:pStyle w:val="None"/>
      <w:lvlText w:val="%1."/>
      <w:lvlJc w:val="left"/>
      <w:pPr>
        <w:ind w:left="360" w:hanging="360"/>
      </w:pPr>
      <w:rPr>
        <w:rFonts w:hint="default"/>
      </w:rPr>
    </w:lvl>
  </w:abstractNum>
  <w:abstractNum w:abstractNumId="16">
    <w:nsid w:val="747F750D"/>
    <w:multiLevelType w:val="multilevel"/>
    <w:tmpl w:val="A7CA8346"/>
    <w:numStyleLink w:val="FEParagraphList"/>
  </w:abstractNum>
  <w:abstractNum w:abstractNumId="17">
    <w:nsid w:val="756036FB"/>
    <w:multiLevelType w:val="multilevel"/>
    <w:tmpl w:val="0C09001D"/>
    <w:numStyleLink w:val="FEBulletList"/>
  </w:abstractNum>
  <w:num w:numId="1">
    <w:abstractNumId w:val="13"/>
  </w:num>
  <w:num w:numId="2">
    <w:abstractNumId w:val="0"/>
  </w:num>
  <w:num w:numId="3">
    <w:abstractNumId w:val="4"/>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7"/>
  </w:num>
  <w:num w:numId="7">
    <w:abstractNumId w:val="1"/>
  </w:num>
  <w:num w:numId="8">
    <w:abstractNumId w:val="8"/>
    <w:lvlOverride w:ilvl="0">
      <w:lvl w:ilvl="0">
        <w:numFmt w:val="decimal"/>
        <w:lvlText w:val=""/>
        <w:lvlJc w:val="left"/>
      </w:lvl>
    </w:lvlOverride>
    <w:lvlOverride w:ilvl="1">
      <w:lvl w:ilvl="1">
        <w:numFmt w:val="decimal"/>
        <w:lvlText w:val=""/>
        <w:lvlJc w:val="left"/>
      </w:lvl>
    </w:lvlOverride>
    <w:lvlOverride w:ilvl="2">
      <w:lvl w:ilvl="2">
        <w:start w:val="1"/>
        <w:numFmt w:val="bullet"/>
        <w:lvlText w:val=""/>
        <w:lvlJc w:val="left"/>
        <w:pPr>
          <w:ind w:left="1080" w:hanging="360"/>
        </w:pPr>
        <w:rPr>
          <w:rFonts w:ascii="Wingdings" w:hAnsi="Wingdings" w:hint="default"/>
          <w:color w:val="E83F35" w:themeColor="text2"/>
          <w:sz w:val="12"/>
          <w:szCs w:val="12"/>
        </w:rPr>
      </w:lvl>
    </w:lvlOverride>
  </w:num>
  <w:num w:numId="9">
    <w:abstractNumId w:val="17"/>
  </w:num>
  <w:num w:numId="10">
    <w:abstractNumId w:val="2"/>
  </w:num>
  <w:num w:numId="11">
    <w:abstractNumId w:val="3"/>
    <w:lvlOverride w:ilvl="0">
      <w:lvl w:ilvl="0">
        <w:numFmt w:val="decimal"/>
        <w:lvlText w:val=""/>
        <w:lvlJc w:val="left"/>
      </w:lvl>
    </w:lvlOverride>
    <w:lvlOverride w:ilvl="1">
      <w:lvl w:ilvl="1">
        <w:numFmt w:val="decimal"/>
        <w:lvlText w:val=""/>
        <w:lvlJc w:val="left"/>
      </w:lvl>
    </w:lvlOverride>
    <w:lvlOverride w:ilvl="2">
      <w:lvl w:ilvl="2">
        <w:start w:val="1"/>
        <w:numFmt w:val="bullet"/>
        <w:lvlText w:val=""/>
        <w:lvlJc w:val="left"/>
        <w:pPr>
          <w:ind w:left="1080" w:hanging="360"/>
        </w:pPr>
        <w:rPr>
          <w:rFonts w:ascii="Wingdings" w:hAnsi="Wingdings" w:hint="default"/>
          <w:color w:val="E83F35" w:themeColor="text2"/>
          <w:sz w:val="12"/>
          <w:szCs w:val="12"/>
        </w:rPr>
      </w:lvl>
    </w:lvlOverride>
  </w:num>
  <w:num w:numId="12">
    <w:abstractNumId w:val="16"/>
    <w:lvlOverride w:ilvl="0">
      <w:lvl w:ilvl="0">
        <w:numFmt w:val="decimal"/>
        <w:lvlText w:val=""/>
        <w:lvlJc w:val="left"/>
      </w:lvl>
    </w:lvlOverride>
    <w:lvlOverride w:ilvl="1">
      <w:lvl w:ilvl="1">
        <w:numFmt w:val="decimal"/>
        <w:lvlText w:val=""/>
        <w:lvlJc w:val="left"/>
      </w:lvl>
    </w:lvlOverride>
    <w:lvlOverride w:ilvl="2">
      <w:lvl w:ilvl="2">
        <w:start w:val="1"/>
        <w:numFmt w:val="bullet"/>
        <w:lvlText w:val=""/>
        <w:lvlJc w:val="left"/>
        <w:pPr>
          <w:ind w:left="1080" w:hanging="360"/>
        </w:pPr>
        <w:rPr>
          <w:rFonts w:ascii="Wingdings" w:hAnsi="Wingdings" w:hint="default"/>
          <w:color w:val="E83F35" w:themeColor="text2"/>
          <w:sz w:val="12"/>
          <w:szCs w:val="12"/>
        </w:rPr>
      </w:lvl>
    </w:lvlOverride>
  </w:num>
  <w:num w:numId="13">
    <w:abstractNumId w:val="5"/>
    <w:lvlOverride w:ilvl="0">
      <w:lvl w:ilvl="0">
        <w:numFmt w:val="decimal"/>
        <w:lvlText w:val=""/>
        <w:lvlJc w:val="left"/>
      </w:lvl>
    </w:lvlOverride>
    <w:lvlOverride w:ilvl="1">
      <w:lvl w:ilvl="1">
        <w:numFmt w:val="decimal"/>
        <w:lvlText w:val=""/>
        <w:lvlJc w:val="left"/>
      </w:lvl>
    </w:lvlOverride>
    <w:lvlOverride w:ilvl="2">
      <w:lvl w:ilvl="2">
        <w:start w:val="1"/>
        <w:numFmt w:val="bullet"/>
        <w:lvlText w:val=""/>
        <w:lvlJc w:val="left"/>
        <w:pPr>
          <w:ind w:left="1080" w:hanging="360"/>
        </w:pPr>
        <w:rPr>
          <w:rFonts w:ascii="Wingdings" w:hAnsi="Wingdings" w:hint="default"/>
          <w:color w:val="E83F35" w:themeColor="text2"/>
          <w:sz w:val="12"/>
          <w:szCs w:val="12"/>
        </w:rPr>
      </w:lvl>
    </w:lvlOverride>
  </w:num>
  <w:num w:numId="14">
    <w:abstractNumId w:val="6"/>
    <w:lvlOverride w:ilvl="0">
      <w:lvl w:ilvl="0">
        <w:numFmt w:val="decimal"/>
        <w:lvlText w:val=""/>
        <w:lvlJc w:val="left"/>
      </w:lvl>
    </w:lvlOverride>
    <w:lvlOverride w:ilvl="1">
      <w:lvl w:ilvl="1">
        <w:numFmt w:val="decimal"/>
        <w:lvlText w:val=""/>
        <w:lvlJc w:val="left"/>
      </w:lvl>
    </w:lvlOverride>
    <w:lvlOverride w:ilvl="2">
      <w:lvl w:ilvl="2">
        <w:start w:val="1"/>
        <w:numFmt w:val="bullet"/>
        <w:lvlText w:val=""/>
        <w:lvlJc w:val="left"/>
        <w:pPr>
          <w:ind w:left="1080" w:hanging="360"/>
        </w:pPr>
        <w:rPr>
          <w:rFonts w:ascii="Wingdings" w:hAnsi="Wingdings" w:hint="default"/>
          <w:color w:val="E83F35" w:themeColor="text2"/>
          <w:sz w:val="12"/>
          <w:szCs w:val="12"/>
        </w:rPr>
      </w:lvl>
    </w:lvlOverride>
  </w:num>
  <w:num w:numId="15">
    <w:abstractNumId w:val="14"/>
  </w:num>
  <w:num w:numId="16">
    <w:abstractNumId w:val="10"/>
  </w:num>
  <w:num w:numId="17">
    <w:abstractNumId w:val="11"/>
  </w:num>
  <w:num w:numId="18">
    <w:abstractNumId w:val="12"/>
  </w:num>
  <w:num w:numId="19">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7"/>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efaultTabStop w:val="720"/>
  <w:evenAndOddHeaders/>
  <w:drawingGridHorizontalSpacing w:val="120"/>
  <w:displayHorizontalDrawingGridEvery w:val="0"/>
  <w:displayVerticalDrawingGridEvery w:val="0"/>
  <w:noPunctuationKerning/>
  <w:characterSpacingControl w:val="doNotCompress"/>
  <w:hdrShapeDefaults>
    <o:shapedefaults v:ext="edit" spidmax="6145">
      <o:colormru v:ext="edit" colors="#d90000,#e83f3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4D9"/>
    <w:rsid w:val="00001425"/>
    <w:rsid w:val="00001512"/>
    <w:rsid w:val="000037E1"/>
    <w:rsid w:val="00010D19"/>
    <w:rsid w:val="00011297"/>
    <w:rsid w:val="00017DC5"/>
    <w:rsid w:val="00025FB0"/>
    <w:rsid w:val="0002625D"/>
    <w:rsid w:val="000470FE"/>
    <w:rsid w:val="000556D9"/>
    <w:rsid w:val="00060CC1"/>
    <w:rsid w:val="0006116D"/>
    <w:rsid w:val="00062108"/>
    <w:rsid w:val="0006349F"/>
    <w:rsid w:val="00064555"/>
    <w:rsid w:val="00070448"/>
    <w:rsid w:val="000752DE"/>
    <w:rsid w:val="000767AB"/>
    <w:rsid w:val="00085F4A"/>
    <w:rsid w:val="000A295B"/>
    <w:rsid w:val="000A2E1F"/>
    <w:rsid w:val="000B076C"/>
    <w:rsid w:val="000B2E99"/>
    <w:rsid w:val="000C0B84"/>
    <w:rsid w:val="000C0CD8"/>
    <w:rsid w:val="000C1159"/>
    <w:rsid w:val="000C48A0"/>
    <w:rsid w:val="000D4AA1"/>
    <w:rsid w:val="000E4C3C"/>
    <w:rsid w:val="000F0EBF"/>
    <w:rsid w:val="000F48E9"/>
    <w:rsid w:val="000F59F6"/>
    <w:rsid w:val="001021DB"/>
    <w:rsid w:val="001023EC"/>
    <w:rsid w:val="00103488"/>
    <w:rsid w:val="001114D9"/>
    <w:rsid w:val="00111727"/>
    <w:rsid w:val="001117C6"/>
    <w:rsid w:val="00113865"/>
    <w:rsid w:val="00114BA6"/>
    <w:rsid w:val="001154E5"/>
    <w:rsid w:val="00116C82"/>
    <w:rsid w:val="001221A4"/>
    <w:rsid w:val="00125C46"/>
    <w:rsid w:val="001413CE"/>
    <w:rsid w:val="00141780"/>
    <w:rsid w:val="001442D0"/>
    <w:rsid w:val="00152F08"/>
    <w:rsid w:val="00156D28"/>
    <w:rsid w:val="00164B88"/>
    <w:rsid w:val="001706B7"/>
    <w:rsid w:val="00171B1A"/>
    <w:rsid w:val="001744A3"/>
    <w:rsid w:val="0017612A"/>
    <w:rsid w:val="00176E7F"/>
    <w:rsid w:val="00184300"/>
    <w:rsid w:val="001921F5"/>
    <w:rsid w:val="00194655"/>
    <w:rsid w:val="0019516D"/>
    <w:rsid w:val="001A185C"/>
    <w:rsid w:val="001A1D78"/>
    <w:rsid w:val="001B1FEA"/>
    <w:rsid w:val="001B706C"/>
    <w:rsid w:val="001C4FE5"/>
    <w:rsid w:val="001D0DC4"/>
    <w:rsid w:val="001D2AD3"/>
    <w:rsid w:val="001D2FC7"/>
    <w:rsid w:val="001E11AB"/>
    <w:rsid w:val="001E5550"/>
    <w:rsid w:val="001F0424"/>
    <w:rsid w:val="001F33DE"/>
    <w:rsid w:val="001F4666"/>
    <w:rsid w:val="002020EE"/>
    <w:rsid w:val="00204B05"/>
    <w:rsid w:val="0021673B"/>
    <w:rsid w:val="0022537C"/>
    <w:rsid w:val="00225DDD"/>
    <w:rsid w:val="00227F1C"/>
    <w:rsid w:val="00232E94"/>
    <w:rsid w:val="00250685"/>
    <w:rsid w:val="00254E43"/>
    <w:rsid w:val="0025701E"/>
    <w:rsid w:val="00257825"/>
    <w:rsid w:val="00267D70"/>
    <w:rsid w:val="002701C3"/>
    <w:rsid w:val="00273480"/>
    <w:rsid w:val="0028007B"/>
    <w:rsid w:val="0028152A"/>
    <w:rsid w:val="00281E84"/>
    <w:rsid w:val="00281F26"/>
    <w:rsid w:val="0029265D"/>
    <w:rsid w:val="002A50E9"/>
    <w:rsid w:val="002A6DFE"/>
    <w:rsid w:val="002A7719"/>
    <w:rsid w:val="002B0A46"/>
    <w:rsid w:val="002B24CA"/>
    <w:rsid w:val="002B53AF"/>
    <w:rsid w:val="002C2F6D"/>
    <w:rsid w:val="002E11C2"/>
    <w:rsid w:val="002E3366"/>
    <w:rsid w:val="002E3B61"/>
    <w:rsid w:val="002E51A4"/>
    <w:rsid w:val="002F09B6"/>
    <w:rsid w:val="002F304C"/>
    <w:rsid w:val="0030267E"/>
    <w:rsid w:val="003170D8"/>
    <w:rsid w:val="0032125B"/>
    <w:rsid w:val="003255EF"/>
    <w:rsid w:val="00334214"/>
    <w:rsid w:val="0033426C"/>
    <w:rsid w:val="003441AA"/>
    <w:rsid w:val="00352453"/>
    <w:rsid w:val="003604D7"/>
    <w:rsid w:val="00370BA8"/>
    <w:rsid w:val="003754D1"/>
    <w:rsid w:val="00376601"/>
    <w:rsid w:val="003815C9"/>
    <w:rsid w:val="00387610"/>
    <w:rsid w:val="00392BC4"/>
    <w:rsid w:val="00395409"/>
    <w:rsid w:val="00396694"/>
    <w:rsid w:val="003A213B"/>
    <w:rsid w:val="003A5C36"/>
    <w:rsid w:val="003A642D"/>
    <w:rsid w:val="003B04E8"/>
    <w:rsid w:val="003B0C10"/>
    <w:rsid w:val="003B637D"/>
    <w:rsid w:val="003B6B68"/>
    <w:rsid w:val="003C697A"/>
    <w:rsid w:val="003C69E0"/>
    <w:rsid w:val="003C732E"/>
    <w:rsid w:val="003C7F60"/>
    <w:rsid w:val="003D38FD"/>
    <w:rsid w:val="003E0B9D"/>
    <w:rsid w:val="003E0ED6"/>
    <w:rsid w:val="003F36E9"/>
    <w:rsid w:val="004023EB"/>
    <w:rsid w:val="00407384"/>
    <w:rsid w:val="0040789E"/>
    <w:rsid w:val="004103E0"/>
    <w:rsid w:val="00411665"/>
    <w:rsid w:val="00412E1F"/>
    <w:rsid w:val="00414616"/>
    <w:rsid w:val="004157AE"/>
    <w:rsid w:val="00423298"/>
    <w:rsid w:val="00423929"/>
    <w:rsid w:val="0042523E"/>
    <w:rsid w:val="004305FC"/>
    <w:rsid w:val="00432D67"/>
    <w:rsid w:val="00437890"/>
    <w:rsid w:val="00437C00"/>
    <w:rsid w:val="00445265"/>
    <w:rsid w:val="00450D82"/>
    <w:rsid w:val="0046342F"/>
    <w:rsid w:val="00465F32"/>
    <w:rsid w:val="00466992"/>
    <w:rsid w:val="00466BBD"/>
    <w:rsid w:val="00476A46"/>
    <w:rsid w:val="00485419"/>
    <w:rsid w:val="00492A01"/>
    <w:rsid w:val="004B3AFC"/>
    <w:rsid w:val="004D1226"/>
    <w:rsid w:val="004D2F45"/>
    <w:rsid w:val="004E1F12"/>
    <w:rsid w:val="004E2C95"/>
    <w:rsid w:val="004E524B"/>
    <w:rsid w:val="004F065B"/>
    <w:rsid w:val="004F2E9D"/>
    <w:rsid w:val="004F799D"/>
    <w:rsid w:val="00500E9C"/>
    <w:rsid w:val="0050577A"/>
    <w:rsid w:val="00506623"/>
    <w:rsid w:val="005203F6"/>
    <w:rsid w:val="00524320"/>
    <w:rsid w:val="00532E52"/>
    <w:rsid w:val="00541A5E"/>
    <w:rsid w:val="00542F95"/>
    <w:rsid w:val="00554BF1"/>
    <w:rsid w:val="00560625"/>
    <w:rsid w:val="00562588"/>
    <w:rsid w:val="005631CB"/>
    <w:rsid w:val="005676C2"/>
    <w:rsid w:val="005677BC"/>
    <w:rsid w:val="00574341"/>
    <w:rsid w:val="00582259"/>
    <w:rsid w:val="0058276B"/>
    <w:rsid w:val="00593420"/>
    <w:rsid w:val="005A7CAE"/>
    <w:rsid w:val="005B0C16"/>
    <w:rsid w:val="005B5414"/>
    <w:rsid w:val="005D2A77"/>
    <w:rsid w:val="005D57BC"/>
    <w:rsid w:val="005E04F3"/>
    <w:rsid w:val="005E29EB"/>
    <w:rsid w:val="005E2BA0"/>
    <w:rsid w:val="005E35C6"/>
    <w:rsid w:val="005E3E6E"/>
    <w:rsid w:val="005E4899"/>
    <w:rsid w:val="005E51F5"/>
    <w:rsid w:val="005F2C7D"/>
    <w:rsid w:val="005F3083"/>
    <w:rsid w:val="00602807"/>
    <w:rsid w:val="00603FF4"/>
    <w:rsid w:val="006077BB"/>
    <w:rsid w:val="006106AD"/>
    <w:rsid w:val="006119C9"/>
    <w:rsid w:val="00616559"/>
    <w:rsid w:val="00620ADF"/>
    <w:rsid w:val="00621036"/>
    <w:rsid w:val="00622C36"/>
    <w:rsid w:val="006324D0"/>
    <w:rsid w:val="00636E95"/>
    <w:rsid w:val="00651FFA"/>
    <w:rsid w:val="0066333C"/>
    <w:rsid w:val="006646EF"/>
    <w:rsid w:val="00664B89"/>
    <w:rsid w:val="00673111"/>
    <w:rsid w:val="006737B4"/>
    <w:rsid w:val="00674616"/>
    <w:rsid w:val="00683E76"/>
    <w:rsid w:val="006852A8"/>
    <w:rsid w:val="006B57BC"/>
    <w:rsid w:val="006B68CE"/>
    <w:rsid w:val="006C0A78"/>
    <w:rsid w:val="006C6A32"/>
    <w:rsid w:val="006D02D9"/>
    <w:rsid w:val="006D4E92"/>
    <w:rsid w:val="006E0B49"/>
    <w:rsid w:val="006E0F22"/>
    <w:rsid w:val="006E112A"/>
    <w:rsid w:val="006E6613"/>
    <w:rsid w:val="006E777D"/>
    <w:rsid w:val="006F0332"/>
    <w:rsid w:val="00702B87"/>
    <w:rsid w:val="007101E8"/>
    <w:rsid w:val="00710910"/>
    <w:rsid w:val="0071261F"/>
    <w:rsid w:val="00714ADB"/>
    <w:rsid w:val="00725835"/>
    <w:rsid w:val="00734F9E"/>
    <w:rsid w:val="00740C64"/>
    <w:rsid w:val="007415D1"/>
    <w:rsid w:val="00744DCF"/>
    <w:rsid w:val="0074544A"/>
    <w:rsid w:val="0075346D"/>
    <w:rsid w:val="00755C96"/>
    <w:rsid w:val="00756A82"/>
    <w:rsid w:val="00757A06"/>
    <w:rsid w:val="0076426E"/>
    <w:rsid w:val="0076733B"/>
    <w:rsid w:val="00771400"/>
    <w:rsid w:val="00771405"/>
    <w:rsid w:val="00771D00"/>
    <w:rsid w:val="0078308E"/>
    <w:rsid w:val="00783935"/>
    <w:rsid w:val="00794172"/>
    <w:rsid w:val="007A5A78"/>
    <w:rsid w:val="007B25A9"/>
    <w:rsid w:val="007B48C2"/>
    <w:rsid w:val="007C4028"/>
    <w:rsid w:val="007C61B7"/>
    <w:rsid w:val="007C7D47"/>
    <w:rsid w:val="007E0A95"/>
    <w:rsid w:val="007F4F4D"/>
    <w:rsid w:val="00805F42"/>
    <w:rsid w:val="0081360C"/>
    <w:rsid w:val="00815B29"/>
    <w:rsid w:val="00816394"/>
    <w:rsid w:val="0081644B"/>
    <w:rsid w:val="00822236"/>
    <w:rsid w:val="00823788"/>
    <w:rsid w:val="00827371"/>
    <w:rsid w:val="00831175"/>
    <w:rsid w:val="008318F9"/>
    <w:rsid w:val="00834300"/>
    <w:rsid w:val="00834837"/>
    <w:rsid w:val="008402CB"/>
    <w:rsid w:val="00842C31"/>
    <w:rsid w:val="00843032"/>
    <w:rsid w:val="0084563C"/>
    <w:rsid w:val="00852E4C"/>
    <w:rsid w:val="00853024"/>
    <w:rsid w:val="0085328F"/>
    <w:rsid w:val="00861B27"/>
    <w:rsid w:val="0086647A"/>
    <w:rsid w:val="0087118A"/>
    <w:rsid w:val="008841E7"/>
    <w:rsid w:val="008843E3"/>
    <w:rsid w:val="00891C86"/>
    <w:rsid w:val="008943B7"/>
    <w:rsid w:val="0089621F"/>
    <w:rsid w:val="008A45DE"/>
    <w:rsid w:val="008A4CED"/>
    <w:rsid w:val="008A761C"/>
    <w:rsid w:val="008B2BAB"/>
    <w:rsid w:val="008C0229"/>
    <w:rsid w:val="008C2257"/>
    <w:rsid w:val="008C381E"/>
    <w:rsid w:val="008C41F9"/>
    <w:rsid w:val="008C510B"/>
    <w:rsid w:val="008C7F05"/>
    <w:rsid w:val="008E1334"/>
    <w:rsid w:val="008E22B7"/>
    <w:rsid w:val="008E4B50"/>
    <w:rsid w:val="008E5A3F"/>
    <w:rsid w:val="008F692E"/>
    <w:rsid w:val="008F7654"/>
    <w:rsid w:val="008F7ADC"/>
    <w:rsid w:val="00900209"/>
    <w:rsid w:val="00914E47"/>
    <w:rsid w:val="0093694A"/>
    <w:rsid w:val="009373A5"/>
    <w:rsid w:val="00941C73"/>
    <w:rsid w:val="0094408C"/>
    <w:rsid w:val="00947318"/>
    <w:rsid w:val="00951DAB"/>
    <w:rsid w:val="009523D8"/>
    <w:rsid w:val="0095729F"/>
    <w:rsid w:val="00957BD5"/>
    <w:rsid w:val="009612B2"/>
    <w:rsid w:val="009703EC"/>
    <w:rsid w:val="00974768"/>
    <w:rsid w:val="00982FEC"/>
    <w:rsid w:val="00987D45"/>
    <w:rsid w:val="009A12C8"/>
    <w:rsid w:val="009B1156"/>
    <w:rsid w:val="009B35B7"/>
    <w:rsid w:val="009C0DB1"/>
    <w:rsid w:val="009C4AF7"/>
    <w:rsid w:val="009C5C43"/>
    <w:rsid w:val="009D0019"/>
    <w:rsid w:val="009D0300"/>
    <w:rsid w:val="009D199B"/>
    <w:rsid w:val="009D3208"/>
    <w:rsid w:val="009D34FB"/>
    <w:rsid w:val="009D3D8F"/>
    <w:rsid w:val="009E067E"/>
    <w:rsid w:val="009E25CB"/>
    <w:rsid w:val="009E6D32"/>
    <w:rsid w:val="00A031AA"/>
    <w:rsid w:val="00A2752C"/>
    <w:rsid w:val="00A364C3"/>
    <w:rsid w:val="00A37310"/>
    <w:rsid w:val="00A44C95"/>
    <w:rsid w:val="00A452D7"/>
    <w:rsid w:val="00A45436"/>
    <w:rsid w:val="00A4561C"/>
    <w:rsid w:val="00A5318F"/>
    <w:rsid w:val="00A66488"/>
    <w:rsid w:val="00A676EA"/>
    <w:rsid w:val="00A733D0"/>
    <w:rsid w:val="00A80D41"/>
    <w:rsid w:val="00A80F2F"/>
    <w:rsid w:val="00A83EB1"/>
    <w:rsid w:val="00A866AC"/>
    <w:rsid w:val="00AA0259"/>
    <w:rsid w:val="00AA49BE"/>
    <w:rsid w:val="00AB098B"/>
    <w:rsid w:val="00AB373E"/>
    <w:rsid w:val="00AB4784"/>
    <w:rsid w:val="00AC1339"/>
    <w:rsid w:val="00AC2663"/>
    <w:rsid w:val="00AC3084"/>
    <w:rsid w:val="00AC6A63"/>
    <w:rsid w:val="00AC6ED5"/>
    <w:rsid w:val="00AD2500"/>
    <w:rsid w:val="00AD4C75"/>
    <w:rsid w:val="00AD4E0F"/>
    <w:rsid w:val="00AD78D6"/>
    <w:rsid w:val="00AD7B02"/>
    <w:rsid w:val="00AE0A5A"/>
    <w:rsid w:val="00AE209A"/>
    <w:rsid w:val="00AE5742"/>
    <w:rsid w:val="00B03A8A"/>
    <w:rsid w:val="00B06EA7"/>
    <w:rsid w:val="00B11C10"/>
    <w:rsid w:val="00B17031"/>
    <w:rsid w:val="00B5094D"/>
    <w:rsid w:val="00B51024"/>
    <w:rsid w:val="00B516CE"/>
    <w:rsid w:val="00B51D84"/>
    <w:rsid w:val="00B53387"/>
    <w:rsid w:val="00B56E7B"/>
    <w:rsid w:val="00B605A6"/>
    <w:rsid w:val="00B64F5B"/>
    <w:rsid w:val="00B67687"/>
    <w:rsid w:val="00B9423E"/>
    <w:rsid w:val="00B94388"/>
    <w:rsid w:val="00B946F3"/>
    <w:rsid w:val="00B9544D"/>
    <w:rsid w:val="00B976C2"/>
    <w:rsid w:val="00BB161D"/>
    <w:rsid w:val="00BB3BF0"/>
    <w:rsid w:val="00BC7685"/>
    <w:rsid w:val="00BC79A3"/>
    <w:rsid w:val="00BD276E"/>
    <w:rsid w:val="00BD4036"/>
    <w:rsid w:val="00BD78C3"/>
    <w:rsid w:val="00BF1439"/>
    <w:rsid w:val="00BF3CA7"/>
    <w:rsid w:val="00BF647A"/>
    <w:rsid w:val="00C01E10"/>
    <w:rsid w:val="00C06D9E"/>
    <w:rsid w:val="00C100DB"/>
    <w:rsid w:val="00C11AED"/>
    <w:rsid w:val="00C1422D"/>
    <w:rsid w:val="00C14ACB"/>
    <w:rsid w:val="00C15BDE"/>
    <w:rsid w:val="00C20DF4"/>
    <w:rsid w:val="00C25150"/>
    <w:rsid w:val="00C32285"/>
    <w:rsid w:val="00C33B91"/>
    <w:rsid w:val="00C34E00"/>
    <w:rsid w:val="00C359CF"/>
    <w:rsid w:val="00C35B42"/>
    <w:rsid w:val="00C35C22"/>
    <w:rsid w:val="00C4111A"/>
    <w:rsid w:val="00C432D0"/>
    <w:rsid w:val="00C46FDB"/>
    <w:rsid w:val="00C47CD7"/>
    <w:rsid w:val="00C5264C"/>
    <w:rsid w:val="00C6053E"/>
    <w:rsid w:val="00C65892"/>
    <w:rsid w:val="00C711AB"/>
    <w:rsid w:val="00C712FC"/>
    <w:rsid w:val="00C7536B"/>
    <w:rsid w:val="00C837A3"/>
    <w:rsid w:val="00C865AF"/>
    <w:rsid w:val="00C95DC8"/>
    <w:rsid w:val="00CA2A04"/>
    <w:rsid w:val="00CA4511"/>
    <w:rsid w:val="00CD0C9C"/>
    <w:rsid w:val="00CE0E05"/>
    <w:rsid w:val="00CF150C"/>
    <w:rsid w:val="00CF2296"/>
    <w:rsid w:val="00CF27CB"/>
    <w:rsid w:val="00D01327"/>
    <w:rsid w:val="00D15AC1"/>
    <w:rsid w:val="00D16334"/>
    <w:rsid w:val="00D16B73"/>
    <w:rsid w:val="00D25AC8"/>
    <w:rsid w:val="00D42B05"/>
    <w:rsid w:val="00D46D75"/>
    <w:rsid w:val="00D52775"/>
    <w:rsid w:val="00D5622D"/>
    <w:rsid w:val="00D616FD"/>
    <w:rsid w:val="00D65F38"/>
    <w:rsid w:val="00D70D88"/>
    <w:rsid w:val="00D81663"/>
    <w:rsid w:val="00D82AA0"/>
    <w:rsid w:val="00D83F92"/>
    <w:rsid w:val="00D90448"/>
    <w:rsid w:val="00D91DD7"/>
    <w:rsid w:val="00D93A87"/>
    <w:rsid w:val="00D94525"/>
    <w:rsid w:val="00D96499"/>
    <w:rsid w:val="00D9792D"/>
    <w:rsid w:val="00D979B3"/>
    <w:rsid w:val="00DA0622"/>
    <w:rsid w:val="00DA6E14"/>
    <w:rsid w:val="00DB2868"/>
    <w:rsid w:val="00DB6C35"/>
    <w:rsid w:val="00DC1892"/>
    <w:rsid w:val="00DC7ED8"/>
    <w:rsid w:val="00DC7F68"/>
    <w:rsid w:val="00DD0A95"/>
    <w:rsid w:val="00DD20D5"/>
    <w:rsid w:val="00DD365E"/>
    <w:rsid w:val="00DD4023"/>
    <w:rsid w:val="00DD41D1"/>
    <w:rsid w:val="00DD6630"/>
    <w:rsid w:val="00DE3ED0"/>
    <w:rsid w:val="00DE4C37"/>
    <w:rsid w:val="00DE5518"/>
    <w:rsid w:val="00DE66EA"/>
    <w:rsid w:val="00DF6283"/>
    <w:rsid w:val="00DF6FD3"/>
    <w:rsid w:val="00E120A9"/>
    <w:rsid w:val="00E13D4F"/>
    <w:rsid w:val="00E1411C"/>
    <w:rsid w:val="00E23716"/>
    <w:rsid w:val="00E25CD6"/>
    <w:rsid w:val="00E36A0F"/>
    <w:rsid w:val="00E378F6"/>
    <w:rsid w:val="00E40A2B"/>
    <w:rsid w:val="00E53792"/>
    <w:rsid w:val="00E5551C"/>
    <w:rsid w:val="00E621AB"/>
    <w:rsid w:val="00E62EEB"/>
    <w:rsid w:val="00E63012"/>
    <w:rsid w:val="00E70C5D"/>
    <w:rsid w:val="00E71717"/>
    <w:rsid w:val="00E74477"/>
    <w:rsid w:val="00E74F23"/>
    <w:rsid w:val="00E778B5"/>
    <w:rsid w:val="00E8003C"/>
    <w:rsid w:val="00E834A1"/>
    <w:rsid w:val="00E872C9"/>
    <w:rsid w:val="00E909FE"/>
    <w:rsid w:val="00E90B9C"/>
    <w:rsid w:val="00E917DC"/>
    <w:rsid w:val="00E93245"/>
    <w:rsid w:val="00E94664"/>
    <w:rsid w:val="00E979D7"/>
    <w:rsid w:val="00E97FA2"/>
    <w:rsid w:val="00EA1D62"/>
    <w:rsid w:val="00EA4ABB"/>
    <w:rsid w:val="00EA4E5A"/>
    <w:rsid w:val="00EA4E6F"/>
    <w:rsid w:val="00EA58E2"/>
    <w:rsid w:val="00EB715C"/>
    <w:rsid w:val="00EC113A"/>
    <w:rsid w:val="00EC1D75"/>
    <w:rsid w:val="00EC7220"/>
    <w:rsid w:val="00ED15BA"/>
    <w:rsid w:val="00ED24BE"/>
    <w:rsid w:val="00ED642C"/>
    <w:rsid w:val="00ED7436"/>
    <w:rsid w:val="00EE039E"/>
    <w:rsid w:val="00EE1E63"/>
    <w:rsid w:val="00EE2360"/>
    <w:rsid w:val="00EF2E08"/>
    <w:rsid w:val="00EF5157"/>
    <w:rsid w:val="00EF5907"/>
    <w:rsid w:val="00F00D69"/>
    <w:rsid w:val="00F01F1A"/>
    <w:rsid w:val="00F051B0"/>
    <w:rsid w:val="00F11819"/>
    <w:rsid w:val="00F178C5"/>
    <w:rsid w:val="00F21ABA"/>
    <w:rsid w:val="00F34A9E"/>
    <w:rsid w:val="00F35B03"/>
    <w:rsid w:val="00F42D0F"/>
    <w:rsid w:val="00F442A3"/>
    <w:rsid w:val="00F702EF"/>
    <w:rsid w:val="00F71AF5"/>
    <w:rsid w:val="00F744B8"/>
    <w:rsid w:val="00F75A04"/>
    <w:rsid w:val="00F769C6"/>
    <w:rsid w:val="00F84A8C"/>
    <w:rsid w:val="00F90DE9"/>
    <w:rsid w:val="00FA12A5"/>
    <w:rsid w:val="00FA334C"/>
    <w:rsid w:val="00FA702E"/>
    <w:rsid w:val="00FB4B51"/>
    <w:rsid w:val="00FB6024"/>
    <w:rsid w:val="00FC2F78"/>
    <w:rsid w:val="00FC414A"/>
    <w:rsid w:val="00FC77E0"/>
    <w:rsid w:val="00FC7DD2"/>
    <w:rsid w:val="00FD7007"/>
    <w:rsid w:val="00FE3EB9"/>
    <w:rsid w:val="00FE5DFC"/>
    <w:rsid w:val="00FE7286"/>
    <w:rsid w:val="00FF49B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colormru v:ext="edit" colors="#d90000,#e83f35"/>
    </o:shapedefaults>
    <o:shapelayout v:ext="edit">
      <o:idmap v:ext="edit" data="1"/>
    </o:shapelayout>
  </w:shapeDefaults>
  <w:decimalSymbol w:val="."/>
  <w:listSeparator w:val=","/>
  <w14:docId w14:val="1507E309"/>
  <w15:docId w15:val="{6C357396-19D0-40F6-B552-5C3C09ABB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imes" w:hAnsi="Garamond" w:cs="Times New Roman"/>
        <w:lang w:val="en-AU" w:eastAsia="en-AU" w:bidi="ar-SA"/>
      </w:rPr>
    </w:rPrDefault>
    <w:pPrDefault>
      <w:pPr>
        <w:spacing w:before="120" w:after="120"/>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771400"/>
    <w:pPr>
      <w:spacing w:line="264" w:lineRule="auto"/>
      <w:jc w:val="both"/>
    </w:pPr>
    <w:rPr>
      <w:sz w:val="24"/>
      <w:lang w:eastAsia="en-US"/>
    </w:rPr>
  </w:style>
  <w:style w:type="paragraph" w:styleId="Heading1">
    <w:name w:val="heading 1"/>
    <w:basedOn w:val="Normal"/>
    <w:next w:val="Normal"/>
    <w:qFormat/>
    <w:rsid w:val="009E6D32"/>
    <w:pPr>
      <w:keepNext/>
      <w:spacing w:before="0" w:after="240" w:line="288" w:lineRule="auto"/>
      <w:jc w:val="left"/>
      <w:outlineLvl w:val="0"/>
    </w:pPr>
    <w:rPr>
      <w:rFonts w:asciiTheme="majorHAnsi" w:hAnsiTheme="majorHAnsi"/>
      <w:b/>
      <w:color w:val="E83F35" w:themeColor="text2"/>
      <w:kern w:val="32"/>
      <w:sz w:val="36"/>
    </w:rPr>
  </w:style>
  <w:style w:type="paragraph" w:styleId="Heading2">
    <w:name w:val="heading 2"/>
    <w:basedOn w:val="Heading1"/>
    <w:next w:val="Normal"/>
    <w:qFormat/>
    <w:rsid w:val="004E524B"/>
    <w:pPr>
      <w:numPr>
        <w:ilvl w:val="1"/>
      </w:numPr>
      <w:spacing w:before="360" w:after="0"/>
      <w:outlineLvl w:val="1"/>
    </w:pPr>
    <w:rPr>
      <w:bCs/>
      <w:sz w:val="32"/>
    </w:rPr>
  </w:style>
  <w:style w:type="paragraph" w:styleId="Heading3">
    <w:name w:val="heading 3"/>
    <w:basedOn w:val="Heading2"/>
    <w:next w:val="Normal"/>
    <w:autoRedefine/>
    <w:qFormat/>
    <w:rsid w:val="008F7654"/>
    <w:pPr>
      <w:numPr>
        <w:ilvl w:val="0"/>
      </w:numPr>
      <w:spacing w:before="240"/>
      <w:outlineLvl w:val="2"/>
    </w:pPr>
    <w:rPr>
      <w:sz w:val="28"/>
      <w:szCs w:val="24"/>
    </w:rPr>
  </w:style>
  <w:style w:type="paragraph" w:styleId="Heading4">
    <w:name w:val="heading 4"/>
    <w:basedOn w:val="Normal"/>
    <w:next w:val="Normal"/>
    <w:qFormat/>
    <w:rsid w:val="008F7654"/>
    <w:pPr>
      <w:keepNext/>
      <w:spacing w:before="240" w:after="0" w:line="288" w:lineRule="auto"/>
      <w:outlineLvl w:val="3"/>
    </w:pPr>
    <w:rPr>
      <w:rFonts w:ascii="Arial" w:hAnsi="Arial"/>
      <w:b/>
      <w:i/>
      <w:color w:val="E83F35"/>
      <w:szCs w:val="28"/>
    </w:rPr>
  </w:style>
  <w:style w:type="paragraph" w:styleId="Heading5">
    <w:name w:val="heading 5"/>
    <w:basedOn w:val="Normal"/>
    <w:next w:val="Normal"/>
    <w:rsid w:val="00B516CE"/>
    <w:pPr>
      <w:keepNext/>
      <w:numPr>
        <w:ilvl w:val="4"/>
        <w:numId w:val="3"/>
      </w:numPr>
      <w:outlineLvl w:val="4"/>
    </w:pPr>
    <w:rPr>
      <w:i/>
      <w:iCs/>
      <w:sz w:val="18"/>
    </w:rPr>
  </w:style>
  <w:style w:type="paragraph" w:styleId="Heading6">
    <w:name w:val="heading 6"/>
    <w:basedOn w:val="Normal"/>
    <w:next w:val="Normal"/>
    <w:rsid w:val="00B516CE"/>
    <w:pPr>
      <w:numPr>
        <w:ilvl w:val="5"/>
        <w:numId w:val="3"/>
      </w:numPr>
      <w:spacing w:before="240" w:after="60"/>
      <w:outlineLvl w:val="5"/>
    </w:pPr>
    <w:rPr>
      <w:rFonts w:ascii="Times New Roman" w:hAnsi="Times New Roman"/>
      <w:b/>
      <w:bCs/>
      <w:sz w:val="22"/>
      <w:szCs w:val="22"/>
    </w:rPr>
  </w:style>
  <w:style w:type="paragraph" w:styleId="Heading7">
    <w:name w:val="heading 7"/>
    <w:basedOn w:val="Normal"/>
    <w:next w:val="Normal"/>
    <w:rsid w:val="00B516CE"/>
    <w:pPr>
      <w:numPr>
        <w:ilvl w:val="6"/>
        <w:numId w:val="3"/>
      </w:numPr>
      <w:spacing w:before="240" w:after="60"/>
      <w:outlineLvl w:val="6"/>
    </w:pPr>
    <w:rPr>
      <w:rFonts w:ascii="Times New Roman" w:hAnsi="Times New Roman"/>
      <w:szCs w:val="24"/>
    </w:rPr>
  </w:style>
  <w:style w:type="paragraph" w:styleId="Heading8">
    <w:name w:val="heading 8"/>
    <w:basedOn w:val="Normal"/>
    <w:next w:val="Normal"/>
    <w:rsid w:val="00B516CE"/>
    <w:pPr>
      <w:numPr>
        <w:ilvl w:val="7"/>
        <w:numId w:val="3"/>
      </w:numPr>
      <w:spacing w:before="240" w:after="60"/>
      <w:outlineLvl w:val="7"/>
    </w:pPr>
    <w:rPr>
      <w:rFonts w:ascii="Times New Roman" w:hAnsi="Times New Roman"/>
      <w:i/>
      <w:iCs/>
      <w:szCs w:val="24"/>
    </w:rPr>
  </w:style>
  <w:style w:type="paragraph" w:styleId="Heading9">
    <w:name w:val="heading 9"/>
    <w:basedOn w:val="Normal"/>
    <w:next w:val="Normal"/>
    <w:rsid w:val="00B516CE"/>
    <w:pPr>
      <w:numPr>
        <w:ilvl w:val="8"/>
        <w:numId w:val="3"/>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rsid w:val="000A2E1F"/>
    <w:pPr>
      <w:keepNext/>
      <w:spacing w:before="240"/>
      <w:jc w:val="left"/>
    </w:pPr>
    <w:rPr>
      <w:rFonts w:asciiTheme="majorHAnsi" w:hAnsiTheme="majorHAnsi" w:cs="Arial"/>
      <w:sz w:val="20"/>
    </w:rPr>
  </w:style>
  <w:style w:type="paragraph" w:styleId="Footer">
    <w:name w:val="footer"/>
    <w:basedOn w:val="Normal"/>
    <w:link w:val="FooterChar"/>
    <w:rsid w:val="0081360C"/>
    <w:pPr>
      <w:tabs>
        <w:tab w:val="right" w:pos="8640"/>
      </w:tabs>
      <w:spacing w:before="0" w:after="0"/>
      <w:jc w:val="left"/>
    </w:pPr>
    <w:rPr>
      <w:rFonts w:ascii="Arial" w:hAnsi="Arial" w:cs="Arial"/>
      <w:color w:val="E83F35"/>
      <w:spacing w:val="4"/>
      <w:sz w:val="28"/>
    </w:rPr>
  </w:style>
  <w:style w:type="paragraph" w:styleId="FootnoteText">
    <w:name w:val="footnote text"/>
    <w:basedOn w:val="Normal"/>
    <w:semiHidden/>
    <w:rsid w:val="00370BA8"/>
    <w:pPr>
      <w:ind w:left="567" w:hanging="567"/>
    </w:pPr>
    <w:rPr>
      <w:sz w:val="18"/>
    </w:rPr>
  </w:style>
  <w:style w:type="paragraph" w:styleId="Header">
    <w:name w:val="header"/>
    <w:basedOn w:val="Normal"/>
    <w:rsid w:val="00370BA8"/>
    <w:pPr>
      <w:tabs>
        <w:tab w:val="left" w:pos="284"/>
        <w:tab w:val="right" w:pos="8640"/>
      </w:tabs>
      <w:spacing w:after="0"/>
    </w:pPr>
    <w:rPr>
      <w:rFonts w:ascii="Arial" w:hAnsi="Arial"/>
      <w:color w:val="000000"/>
      <w:sz w:val="16"/>
    </w:rPr>
  </w:style>
  <w:style w:type="paragraph" w:customStyle="1" w:styleId="Copyright">
    <w:name w:val="Copyright"/>
    <w:basedOn w:val="Normal"/>
    <w:rsid w:val="0081644B"/>
    <w:rPr>
      <w:rFonts w:asciiTheme="majorHAnsi" w:hAnsiTheme="majorHAnsi"/>
      <w:sz w:val="16"/>
      <w:szCs w:val="16"/>
    </w:rPr>
  </w:style>
  <w:style w:type="paragraph" w:styleId="Title">
    <w:name w:val="Title"/>
    <w:basedOn w:val="Normal"/>
    <w:next w:val="Subtitle"/>
    <w:rsid w:val="00FE5DFC"/>
    <w:pPr>
      <w:spacing w:before="0" w:after="60" w:line="288" w:lineRule="auto"/>
      <w:jc w:val="left"/>
      <w:outlineLvl w:val="0"/>
    </w:pPr>
    <w:rPr>
      <w:rFonts w:ascii="Arial" w:hAnsi="Arial" w:cs="Arial"/>
      <w:b/>
      <w:bCs/>
      <w:kern w:val="28"/>
      <w:sz w:val="40"/>
      <w:szCs w:val="32"/>
    </w:rPr>
  </w:style>
  <w:style w:type="paragraph" w:styleId="Subtitle">
    <w:name w:val="Subtitle"/>
    <w:basedOn w:val="Normal"/>
    <w:next w:val="Normal"/>
    <w:rsid w:val="004E524B"/>
    <w:pPr>
      <w:spacing w:before="0" w:after="360" w:line="288" w:lineRule="auto"/>
      <w:jc w:val="left"/>
      <w:outlineLvl w:val="1"/>
    </w:pPr>
    <w:rPr>
      <w:rFonts w:asciiTheme="majorHAnsi" w:hAnsiTheme="majorHAnsi" w:cs="Arial"/>
      <w:caps/>
      <w:color w:val="E83F35" w:themeColor="text2"/>
      <w:szCs w:val="24"/>
    </w:rPr>
  </w:style>
  <w:style w:type="paragraph" w:customStyle="1" w:styleId="Disclaimer">
    <w:name w:val="Disclaimer"/>
    <w:basedOn w:val="Normal"/>
    <w:rsid w:val="00F178C5"/>
    <w:rPr>
      <w:rFonts w:asciiTheme="majorHAnsi" w:hAnsiTheme="majorHAnsi" w:cs="Arial"/>
      <w:sz w:val="18"/>
    </w:rPr>
  </w:style>
  <w:style w:type="table" w:styleId="Table3Deffects1">
    <w:name w:val="Table 3D effects 1"/>
    <w:basedOn w:val="TableNormal"/>
    <w:rsid w:val="000F0EBF"/>
    <w:pPr>
      <w:spacing w:line="264" w:lineRule="auto"/>
      <w:jc w:val="both"/>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styleId="Quote">
    <w:name w:val="Quote"/>
    <w:basedOn w:val="Normal"/>
    <w:next w:val="Normal"/>
    <w:link w:val="QuoteChar"/>
    <w:uiPriority w:val="1"/>
    <w:qFormat/>
    <w:rsid w:val="001E11AB"/>
    <w:pPr>
      <w:spacing w:before="180" w:after="180"/>
      <w:ind w:left="425"/>
    </w:pPr>
    <w:rPr>
      <w:rFonts w:asciiTheme="majorHAnsi" w:hAnsiTheme="majorHAnsi"/>
      <w:iCs/>
      <w:sz w:val="19"/>
    </w:rPr>
  </w:style>
  <w:style w:type="paragraph" w:customStyle="1" w:styleId="NormalNumbered">
    <w:name w:val="Normal Numbered"/>
    <w:basedOn w:val="Normal"/>
    <w:link w:val="NormalNumberedChar"/>
    <w:uiPriority w:val="1"/>
    <w:qFormat/>
    <w:rsid w:val="00BF1439"/>
    <w:pPr>
      <w:numPr>
        <w:numId w:val="2"/>
      </w:numPr>
    </w:pPr>
  </w:style>
  <w:style w:type="paragraph" w:customStyle="1" w:styleId="SourceText">
    <w:name w:val="Source Text"/>
    <w:basedOn w:val="Heading5"/>
    <w:rsid w:val="003A642D"/>
    <w:pPr>
      <w:keepNext w:val="0"/>
      <w:numPr>
        <w:ilvl w:val="0"/>
        <w:numId w:val="0"/>
      </w:numPr>
      <w:spacing w:after="240"/>
      <w:jc w:val="left"/>
    </w:pPr>
    <w:rPr>
      <w:rFonts w:ascii="Arial" w:hAnsi="Arial" w:cs="Arial"/>
      <w:sz w:val="16"/>
    </w:rPr>
  </w:style>
  <w:style w:type="paragraph" w:customStyle="1" w:styleId="TableText">
    <w:name w:val="Table Text"/>
    <w:basedOn w:val="Normal"/>
    <w:rsid w:val="004E524B"/>
    <w:pPr>
      <w:jc w:val="center"/>
    </w:pPr>
    <w:rPr>
      <w:rFonts w:asciiTheme="majorHAnsi" w:hAnsiTheme="majorHAnsi" w:cs="Arial"/>
      <w:sz w:val="18"/>
    </w:rPr>
  </w:style>
  <w:style w:type="paragraph" w:styleId="TOC1">
    <w:name w:val="toc 1"/>
    <w:basedOn w:val="Normal"/>
    <w:next w:val="Normal"/>
    <w:autoRedefine/>
    <w:uiPriority w:val="39"/>
    <w:rsid w:val="00E74477"/>
    <w:pPr>
      <w:tabs>
        <w:tab w:val="right" w:pos="7569"/>
      </w:tabs>
      <w:ind w:left="709" w:hanging="709"/>
    </w:pPr>
    <w:rPr>
      <w:rFonts w:asciiTheme="majorHAnsi" w:eastAsia="Times New Roman" w:hAnsiTheme="majorHAnsi"/>
      <w:b/>
      <w:noProof/>
      <w:color w:val="E83F35" w:themeColor="text2"/>
      <w:szCs w:val="40"/>
      <w:lang w:val="en-US"/>
    </w:rPr>
  </w:style>
  <w:style w:type="paragraph" w:styleId="TOC2">
    <w:name w:val="toc 2"/>
    <w:basedOn w:val="TOC1"/>
    <w:next w:val="Normal"/>
    <w:autoRedefine/>
    <w:uiPriority w:val="39"/>
    <w:rsid w:val="00E74477"/>
    <w:rPr>
      <w:b w:val="0"/>
      <w:color w:val="auto"/>
      <w:sz w:val="22"/>
      <w:szCs w:val="24"/>
      <w:lang w:val="la-Latn"/>
    </w:rPr>
  </w:style>
  <w:style w:type="paragraph" w:styleId="TOC3">
    <w:name w:val="toc 3"/>
    <w:basedOn w:val="TOC2"/>
    <w:next w:val="Normal"/>
    <w:autoRedefine/>
    <w:uiPriority w:val="39"/>
    <w:rsid w:val="00DE66EA"/>
    <w:pPr>
      <w:ind w:right="284"/>
    </w:pPr>
  </w:style>
  <w:style w:type="character" w:customStyle="1" w:styleId="QuoteChar">
    <w:name w:val="Quote Char"/>
    <w:basedOn w:val="DefaultParagraphFont"/>
    <w:link w:val="Quote"/>
    <w:uiPriority w:val="1"/>
    <w:rsid w:val="001E11AB"/>
    <w:rPr>
      <w:rFonts w:asciiTheme="majorHAnsi" w:hAnsiTheme="majorHAnsi"/>
      <w:iCs/>
      <w:sz w:val="19"/>
      <w:lang w:eastAsia="en-US"/>
    </w:rPr>
  </w:style>
  <w:style w:type="paragraph" w:customStyle="1" w:styleId="NormalLarge">
    <w:name w:val="Normal Large"/>
    <w:basedOn w:val="Normal"/>
    <w:rsid w:val="00FE5DFC"/>
    <w:rPr>
      <w:rFonts w:ascii="Arial" w:hAnsi="Arial"/>
    </w:rPr>
  </w:style>
  <w:style w:type="paragraph" w:customStyle="1" w:styleId="FEContact">
    <w:name w:val="FEContact"/>
    <w:basedOn w:val="Normal"/>
    <w:rsid w:val="008E5A3F"/>
    <w:pPr>
      <w:spacing w:before="60" w:after="60"/>
      <w:jc w:val="right"/>
    </w:pPr>
    <w:rPr>
      <w:rFonts w:asciiTheme="majorHAnsi" w:hAnsiTheme="majorHAnsi"/>
      <w:sz w:val="16"/>
    </w:rPr>
  </w:style>
  <w:style w:type="character" w:styleId="FollowedHyperlink">
    <w:name w:val="FollowedHyperlink"/>
    <w:basedOn w:val="DefaultParagraphFont"/>
    <w:rsid w:val="003C7F60"/>
    <w:rPr>
      <w:color w:val="E83F35" w:themeColor="text2"/>
      <w:u w:val="single"/>
    </w:rPr>
  </w:style>
  <w:style w:type="character" w:styleId="Hyperlink">
    <w:name w:val="Hyperlink"/>
    <w:basedOn w:val="DefaultParagraphFont"/>
    <w:uiPriority w:val="99"/>
    <w:rsid w:val="003C7F60"/>
    <w:rPr>
      <w:color w:val="E83F35" w:themeColor="text2"/>
      <w:u w:val="single"/>
    </w:rPr>
  </w:style>
  <w:style w:type="paragraph" w:styleId="TableofFigures">
    <w:name w:val="table of figures"/>
    <w:aliases w:val="TOF"/>
    <w:basedOn w:val="TOC2"/>
    <w:next w:val="Normal"/>
    <w:uiPriority w:val="99"/>
    <w:rsid w:val="002F304C"/>
    <w:pPr>
      <w:ind w:left="480" w:hanging="480"/>
    </w:pPr>
    <w:rPr>
      <w:rFonts w:ascii="Arial" w:hAnsi="Arial"/>
    </w:rPr>
  </w:style>
  <w:style w:type="character" w:styleId="FootnoteReference">
    <w:name w:val="footnote reference"/>
    <w:basedOn w:val="DefaultParagraphFont"/>
    <w:semiHidden/>
    <w:rsid w:val="00370BA8"/>
    <w:rPr>
      <w:vertAlign w:val="superscript"/>
    </w:rPr>
  </w:style>
  <w:style w:type="paragraph" w:styleId="BalloonText">
    <w:name w:val="Balloon Text"/>
    <w:basedOn w:val="Normal"/>
    <w:link w:val="BalloonTextChar"/>
    <w:rsid w:val="006C6A32"/>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rsid w:val="006C6A32"/>
    <w:rPr>
      <w:rFonts w:ascii="Tahoma" w:hAnsi="Tahoma" w:cs="Tahoma"/>
      <w:sz w:val="16"/>
      <w:szCs w:val="16"/>
      <w:lang w:val="en-GB" w:eastAsia="en-US"/>
    </w:rPr>
  </w:style>
  <w:style w:type="paragraph" w:styleId="TOCHeading">
    <w:name w:val="TOC Heading"/>
    <w:basedOn w:val="Title"/>
    <w:next w:val="Normal"/>
    <w:uiPriority w:val="39"/>
    <w:unhideWhenUsed/>
    <w:rsid w:val="00EF5907"/>
    <w:pPr>
      <w:keepLines/>
      <w:spacing w:before="480" w:after="0" w:line="276" w:lineRule="auto"/>
      <w:outlineLvl w:val="9"/>
    </w:pPr>
    <w:rPr>
      <w:rFonts w:asciiTheme="majorHAnsi" w:eastAsiaTheme="majorEastAsia" w:hAnsiTheme="majorHAnsi" w:cstheme="majorBidi"/>
      <w:bCs w:val="0"/>
      <w:color w:val="E83F35" w:themeColor="text2"/>
      <w:kern w:val="0"/>
      <w:szCs w:val="28"/>
      <w:lang w:val="en-US"/>
    </w:rPr>
  </w:style>
  <w:style w:type="paragraph" w:customStyle="1" w:styleId="FEContactRed">
    <w:name w:val="FEContactRed"/>
    <w:basedOn w:val="Normal"/>
    <w:next w:val="FEContact"/>
    <w:rsid w:val="00232E94"/>
    <w:pPr>
      <w:spacing w:after="60"/>
      <w:jc w:val="right"/>
    </w:pPr>
    <w:rPr>
      <w:rFonts w:ascii="Arial" w:eastAsia="Times New Roman" w:hAnsi="Arial"/>
      <w:color w:val="E83F35" w:themeColor="text2"/>
      <w:sz w:val="16"/>
    </w:rPr>
  </w:style>
  <w:style w:type="paragraph" w:customStyle="1" w:styleId="Heading1Nonumbers">
    <w:name w:val="Heading 1 No numbers"/>
    <w:basedOn w:val="Heading1"/>
    <w:next w:val="Normal"/>
    <w:rsid w:val="004E524B"/>
    <w:rPr>
      <w:rFonts w:eastAsia="Times New Roman"/>
      <w:bCs/>
    </w:rPr>
  </w:style>
  <w:style w:type="paragraph" w:customStyle="1" w:styleId="TOCSubheading">
    <w:name w:val="TOC Subheading"/>
    <w:basedOn w:val="TOCHeading"/>
    <w:next w:val="Normal"/>
    <w:rsid w:val="003C7F60"/>
    <w:pPr>
      <w:spacing w:before="120" w:after="120"/>
    </w:pPr>
    <w:rPr>
      <w:sz w:val="28"/>
      <w:lang w:val="en-AU"/>
    </w:rPr>
  </w:style>
  <w:style w:type="table" w:styleId="TableGrid">
    <w:name w:val="Table Grid"/>
    <w:basedOn w:val="TableNormal"/>
    <w:rsid w:val="00ED15BA"/>
    <w:pPr>
      <w:spacing w:before="0" w:after="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FEFigure">
    <w:name w:val="FE Figure"/>
    <w:basedOn w:val="TableNormal"/>
    <w:rsid w:val="002020EE"/>
    <w:tblPr>
      <w:tblInd w:w="0" w:type="dxa"/>
      <w:tblBorders>
        <w:top w:val="single" w:sz="8" w:space="0" w:color="E83F35"/>
        <w:left w:val="single" w:sz="8" w:space="0" w:color="E83F35"/>
        <w:bottom w:val="single" w:sz="8" w:space="0" w:color="E83F35"/>
        <w:right w:val="single" w:sz="8" w:space="0" w:color="E83F35"/>
      </w:tblBorders>
      <w:tblCellMar>
        <w:top w:w="0" w:type="dxa"/>
        <w:left w:w="108" w:type="dxa"/>
        <w:bottom w:w="0" w:type="dxa"/>
        <w:right w:w="108" w:type="dxa"/>
      </w:tblCellMar>
    </w:tblPr>
    <w:tcPr>
      <w:shd w:val="clear" w:color="auto" w:fill="auto"/>
    </w:tcPr>
  </w:style>
  <w:style w:type="paragraph" w:customStyle="1" w:styleId="SummaryText">
    <w:name w:val="SummaryText"/>
    <w:basedOn w:val="Normal"/>
    <w:rsid w:val="00BD78C3"/>
    <w:pPr>
      <w:pBdr>
        <w:top w:val="single" w:sz="24" w:space="1" w:color="E83F35" w:themeColor="text2"/>
        <w:left w:val="single" w:sz="24" w:space="4" w:color="E83F35" w:themeColor="text2"/>
        <w:bottom w:val="single" w:sz="24" w:space="1" w:color="E83F35" w:themeColor="text2"/>
        <w:right w:val="single" w:sz="24" w:space="4" w:color="E83F35" w:themeColor="text2"/>
      </w:pBdr>
      <w:shd w:val="clear" w:color="auto" w:fill="E83F35" w:themeFill="text2"/>
      <w:spacing w:after="240"/>
      <w:ind w:left="85" w:right="85"/>
    </w:pPr>
    <w:rPr>
      <w:rFonts w:asciiTheme="majorHAnsi" w:hAnsiTheme="majorHAnsi"/>
      <w:color w:val="FFFFFF" w:themeColor="background2"/>
      <w:sz w:val="20"/>
    </w:rPr>
  </w:style>
  <w:style w:type="paragraph" w:customStyle="1" w:styleId="SummaryTitle">
    <w:name w:val="SummaryTitle"/>
    <w:basedOn w:val="SummaryText"/>
    <w:next w:val="SummaryText"/>
    <w:rsid w:val="00BD78C3"/>
    <w:pPr>
      <w:keepNext/>
      <w:spacing w:before="240" w:after="120"/>
    </w:pPr>
    <w:rPr>
      <w:b/>
      <w:i/>
      <w:sz w:val="22"/>
    </w:rPr>
  </w:style>
  <w:style w:type="numbering" w:customStyle="1" w:styleId="FEBulletList">
    <w:name w:val="FE Bullet List"/>
    <w:uiPriority w:val="99"/>
    <w:rsid w:val="00376601"/>
    <w:pPr>
      <w:numPr>
        <w:numId w:val="5"/>
      </w:numPr>
    </w:pPr>
  </w:style>
  <w:style w:type="numbering" w:customStyle="1" w:styleId="FEParagraphList">
    <w:name w:val="FE Paragraph List"/>
    <w:uiPriority w:val="99"/>
    <w:rsid w:val="00376601"/>
    <w:pPr>
      <w:numPr>
        <w:numId w:val="6"/>
      </w:numPr>
    </w:pPr>
  </w:style>
  <w:style w:type="character" w:styleId="PlaceholderText">
    <w:name w:val="Placeholder Text"/>
    <w:basedOn w:val="DefaultParagraphFont"/>
    <w:uiPriority w:val="99"/>
    <w:semiHidden/>
    <w:rsid w:val="00E25CD6"/>
    <w:rPr>
      <w:color w:val="808080"/>
    </w:rPr>
  </w:style>
  <w:style w:type="character" w:styleId="CommentReference">
    <w:name w:val="annotation reference"/>
    <w:basedOn w:val="DefaultParagraphFont"/>
    <w:rsid w:val="00E25CD6"/>
    <w:rPr>
      <w:sz w:val="16"/>
      <w:szCs w:val="16"/>
    </w:rPr>
  </w:style>
  <w:style w:type="paragraph" w:styleId="CommentText">
    <w:name w:val="annotation text"/>
    <w:basedOn w:val="Normal"/>
    <w:link w:val="CommentTextChar"/>
    <w:rsid w:val="00E25CD6"/>
    <w:pPr>
      <w:spacing w:line="240" w:lineRule="auto"/>
    </w:pPr>
    <w:rPr>
      <w:sz w:val="20"/>
    </w:rPr>
  </w:style>
  <w:style w:type="character" w:customStyle="1" w:styleId="CommentTextChar">
    <w:name w:val="Comment Text Char"/>
    <w:basedOn w:val="DefaultParagraphFont"/>
    <w:link w:val="CommentText"/>
    <w:rsid w:val="00E25CD6"/>
    <w:rPr>
      <w:lang w:eastAsia="en-US"/>
    </w:rPr>
  </w:style>
  <w:style w:type="paragraph" w:styleId="CommentSubject">
    <w:name w:val="annotation subject"/>
    <w:basedOn w:val="CommentText"/>
    <w:next w:val="CommentText"/>
    <w:link w:val="CommentSubjectChar"/>
    <w:rsid w:val="00E25CD6"/>
    <w:rPr>
      <w:b/>
      <w:bCs/>
    </w:rPr>
  </w:style>
  <w:style w:type="character" w:customStyle="1" w:styleId="CommentSubjectChar">
    <w:name w:val="Comment Subject Char"/>
    <w:basedOn w:val="CommentTextChar"/>
    <w:link w:val="CommentSubject"/>
    <w:rsid w:val="00E25CD6"/>
    <w:rPr>
      <w:b/>
      <w:bCs/>
      <w:lang w:eastAsia="en-US"/>
    </w:rPr>
  </w:style>
  <w:style w:type="table" w:customStyle="1" w:styleId="FETable">
    <w:name w:val="FE Table"/>
    <w:basedOn w:val="TableNormal"/>
    <w:qFormat/>
    <w:rsid w:val="00FE7286"/>
    <w:pPr>
      <w:jc w:val="center"/>
    </w:pPr>
    <w:rPr>
      <w:rFonts w:asciiTheme="majorHAnsi" w:eastAsiaTheme="minorHAnsi" w:hAnsiTheme="majorHAnsi"/>
      <w:sz w:val="18"/>
      <w:lang w:eastAsia="en-US"/>
    </w:rPr>
    <w:tblPr>
      <w:tblStyleRowBandSize w:val="1"/>
      <w:tblStyleColBandSize w:val="1"/>
      <w:jc w:val="center"/>
      <w:tblInd w:w="0" w:type="dxa"/>
      <w:tblBorders>
        <w:top w:val="single" w:sz="12" w:space="0" w:color="E83F35" w:themeColor="text2"/>
        <w:bottom w:val="single" w:sz="12" w:space="0" w:color="E83F35" w:themeColor="text2"/>
        <w:insideH w:val="single" w:sz="4" w:space="0" w:color="808080" w:themeColor="background1" w:themeShade="80"/>
      </w:tblBorders>
      <w:tblCellMar>
        <w:top w:w="0" w:type="dxa"/>
        <w:left w:w="108" w:type="dxa"/>
        <w:bottom w:w="0" w:type="dxa"/>
        <w:right w:w="108" w:type="dxa"/>
      </w:tblCellMar>
    </w:tblPr>
    <w:trPr>
      <w:jc w:val="center"/>
    </w:trPr>
    <w:tcPr>
      <w:vAlign w:val="center"/>
    </w:tcPr>
    <w:tblStylePr w:type="firstRow">
      <w:rPr>
        <w:rFonts w:asciiTheme="majorHAnsi" w:hAnsiTheme="majorHAnsi"/>
        <w:b/>
        <w:color w:val="FFFFFF" w:themeColor="background2"/>
        <w:sz w:val="19"/>
      </w:rPr>
      <w:tblPr/>
      <w:tcPr>
        <w:tcBorders>
          <w:top w:val="single" w:sz="4" w:space="0" w:color="E83F35" w:themeColor="text2"/>
          <w:left w:val="nil"/>
          <w:bottom w:val="single" w:sz="4" w:space="0" w:color="E83F35" w:themeColor="text2"/>
          <w:right w:val="nil"/>
          <w:insideH w:val="nil"/>
          <w:insideV w:val="single" w:sz="4" w:space="0" w:color="FFFFFF" w:themeColor="background2"/>
        </w:tcBorders>
        <w:shd w:val="clear" w:color="auto" w:fill="E83F35" w:themeFill="text2"/>
      </w:tcPr>
    </w:tblStylePr>
    <w:tblStylePr w:type="lastRow">
      <w:rPr>
        <w:b/>
      </w:rPr>
      <w:tblPr/>
      <w:tcPr>
        <w:tcBorders>
          <w:top w:val="single" w:sz="12" w:space="0" w:color="E83F35" w:themeColor="text2"/>
        </w:tcBorders>
      </w:tcPr>
    </w:tblStylePr>
    <w:tblStylePr w:type="firstCol">
      <w:pPr>
        <w:jc w:val="left"/>
      </w:pPr>
      <w:rPr>
        <w:rFonts w:asciiTheme="majorHAnsi" w:hAnsiTheme="majorHAnsi"/>
        <w:b w:val="0"/>
        <w:sz w:val="18"/>
      </w:rPr>
      <w:tblPr/>
      <w:tcPr>
        <w:tcBorders>
          <w:top w:val="nil"/>
          <w:left w:val="nil"/>
          <w:bottom w:val="single" w:sz="12" w:space="0" w:color="E83F35" w:themeColor="text2"/>
          <w:right w:val="nil"/>
          <w:insideH w:val="single" w:sz="4" w:space="0" w:color="7F7F7F" w:themeColor="text1" w:themeTint="80"/>
          <w:insideV w:val="single" w:sz="4" w:space="0" w:color="7F7F7F" w:themeColor="text1" w:themeTint="80"/>
          <w:tl2br w:val="nil"/>
          <w:tr2bl w:val="nil"/>
        </w:tcBorders>
      </w:tcPr>
    </w:tblStylePr>
    <w:tblStylePr w:type="lastCol">
      <w:pPr>
        <w:jc w:val="center"/>
      </w:pPr>
      <w:rPr>
        <w:rFonts w:asciiTheme="majorHAnsi" w:hAnsiTheme="majorHAnsi"/>
        <w:b w:val="0"/>
        <w:sz w:val="18"/>
      </w:rPr>
      <w:tblPr/>
      <w:tcPr>
        <w:tcBorders>
          <w:top w:val="nil"/>
          <w:left w:val="nil"/>
          <w:bottom w:val="single" w:sz="12" w:space="0" w:color="E83F35" w:themeColor="text2"/>
          <w:right w:val="nil"/>
          <w:insideH w:val="single" w:sz="4" w:space="0" w:color="7F7F7F" w:themeColor="text1" w:themeTint="80"/>
          <w:insideV w:val="single" w:sz="4" w:space="0" w:color="7F7F7F" w:themeColor="text1" w:themeTint="80"/>
          <w:tl2br w:val="nil"/>
          <w:tr2bl w:val="nil"/>
        </w:tcBorders>
      </w:tcPr>
    </w:tblStylePr>
    <w:tblStylePr w:type="band1Vert">
      <w:pPr>
        <w:jc w:val="center"/>
      </w:pPr>
      <w:tblPr/>
      <w:tcPr>
        <w:tcBorders>
          <w:bottom w:val="single" w:sz="12" w:space="0" w:color="E83F35" w:themeColor="text2"/>
          <w:insideH w:val="single" w:sz="4" w:space="0" w:color="7F7F7F" w:themeColor="text1" w:themeTint="80"/>
        </w:tcBorders>
      </w:tcPr>
    </w:tblStylePr>
    <w:tblStylePr w:type="band2Vert">
      <w:pPr>
        <w:jc w:val="center"/>
      </w:pPr>
      <w:tblPr/>
      <w:tcPr>
        <w:tcBorders>
          <w:insideH w:val="single" w:sz="4" w:space="0" w:color="7F7F7F" w:themeColor="text1" w:themeTint="80"/>
        </w:tcBorders>
        <w:shd w:val="clear" w:color="auto" w:fill="F2F2F2" w:themeFill="background2" w:themeFillShade="F2"/>
      </w:tcPr>
    </w:tblStylePr>
    <w:tblStylePr w:type="band1Horz">
      <w:tblPr/>
      <w:tcPr>
        <w:tcBorders>
          <w:left w:val="nil"/>
          <w:right w:val="nil"/>
          <w:insideV w:val="single" w:sz="4" w:space="0" w:color="7F7F7F" w:themeColor="text1" w:themeTint="80"/>
        </w:tcBorders>
      </w:tcPr>
    </w:tblStylePr>
    <w:tblStylePr w:type="band2Horz">
      <w:tblPr/>
      <w:tcPr>
        <w:tcBorders>
          <w:insideV w:val="single" w:sz="4" w:space="0" w:color="7F7F7F" w:themeColor="text1" w:themeTint="80"/>
        </w:tcBorders>
        <w:shd w:val="clear" w:color="auto" w:fill="F2F2F2" w:themeFill="background2" w:themeFillShade="F2"/>
      </w:tcPr>
    </w:tblStylePr>
  </w:style>
  <w:style w:type="paragraph" w:styleId="ListParagraph">
    <w:name w:val="List Paragraph"/>
    <w:basedOn w:val="Normal"/>
    <w:link w:val="ListParagraphChar"/>
    <w:uiPriority w:val="34"/>
    <w:rsid w:val="00F769C6"/>
    <w:pPr>
      <w:ind w:left="720"/>
    </w:pPr>
  </w:style>
  <w:style w:type="numbering" w:customStyle="1" w:styleId="FEabcList">
    <w:name w:val="FE abc List"/>
    <w:uiPriority w:val="99"/>
    <w:rsid w:val="004D1226"/>
    <w:pPr>
      <w:numPr>
        <w:numId w:val="7"/>
      </w:numPr>
    </w:pPr>
  </w:style>
  <w:style w:type="character" w:customStyle="1" w:styleId="NormalNumberedChar">
    <w:name w:val="Normal Numbered Char"/>
    <w:basedOn w:val="DefaultParagraphFont"/>
    <w:link w:val="NormalNumbered"/>
    <w:uiPriority w:val="1"/>
    <w:rsid w:val="008C381E"/>
    <w:rPr>
      <w:sz w:val="24"/>
      <w:lang w:eastAsia="en-US"/>
    </w:rPr>
  </w:style>
  <w:style w:type="paragraph" w:styleId="BodyText">
    <w:name w:val="Body Text"/>
    <w:basedOn w:val="Normal"/>
    <w:link w:val="BodyTextChar"/>
    <w:rsid w:val="00E93245"/>
    <w:pPr>
      <w:spacing w:line="240" w:lineRule="auto"/>
    </w:pPr>
    <w:rPr>
      <w:rFonts w:ascii="Arial" w:hAnsi="Arial" w:cs="Arial"/>
      <w:color w:val="FFFFFF"/>
      <w:sz w:val="18"/>
    </w:rPr>
  </w:style>
  <w:style w:type="character" w:customStyle="1" w:styleId="BodyTextChar">
    <w:name w:val="Body Text Char"/>
    <w:basedOn w:val="DefaultParagraphFont"/>
    <w:link w:val="BodyText"/>
    <w:rsid w:val="00E93245"/>
    <w:rPr>
      <w:rFonts w:ascii="Arial" w:hAnsi="Arial" w:cs="Arial"/>
      <w:color w:val="FFFFFF"/>
      <w:sz w:val="18"/>
      <w:lang w:eastAsia="en-US"/>
    </w:rPr>
  </w:style>
  <w:style w:type="paragraph" w:customStyle="1" w:styleId="Footer1">
    <w:name w:val="Footer 1"/>
    <w:basedOn w:val="Footer"/>
    <w:rsid w:val="00FA334C"/>
    <w:rPr>
      <w:noProof/>
      <w:color w:val="7F7F7F" w:themeColor="text1" w:themeTint="80"/>
      <w:sz w:val="16"/>
    </w:rPr>
  </w:style>
  <w:style w:type="paragraph" w:customStyle="1" w:styleId="FEBullet1">
    <w:name w:val="FE Bullet 1"/>
    <w:basedOn w:val="ListParagraph"/>
    <w:link w:val="FEBullet1Char"/>
    <w:uiPriority w:val="2"/>
    <w:qFormat/>
    <w:rsid w:val="008C381E"/>
    <w:pPr>
      <w:numPr>
        <w:numId w:val="17"/>
      </w:numPr>
    </w:pPr>
  </w:style>
  <w:style w:type="paragraph" w:customStyle="1" w:styleId="FEBullet2">
    <w:name w:val="FE Bullet 2"/>
    <w:basedOn w:val="ListParagraph"/>
    <w:link w:val="FEBullet2Char"/>
    <w:uiPriority w:val="2"/>
    <w:qFormat/>
    <w:rsid w:val="00524320"/>
    <w:pPr>
      <w:numPr>
        <w:numId w:val="9"/>
      </w:numPr>
    </w:pPr>
  </w:style>
  <w:style w:type="character" w:customStyle="1" w:styleId="ListParagraphChar">
    <w:name w:val="List Paragraph Char"/>
    <w:basedOn w:val="DefaultParagraphFont"/>
    <w:link w:val="ListParagraph"/>
    <w:uiPriority w:val="34"/>
    <w:rsid w:val="008C381E"/>
    <w:rPr>
      <w:sz w:val="24"/>
      <w:lang w:eastAsia="en-US"/>
    </w:rPr>
  </w:style>
  <w:style w:type="character" w:customStyle="1" w:styleId="FEBullet1Char">
    <w:name w:val="FE Bullet 1 Char"/>
    <w:basedOn w:val="ListParagraphChar"/>
    <w:link w:val="FEBullet1"/>
    <w:uiPriority w:val="2"/>
    <w:rsid w:val="008C381E"/>
    <w:rPr>
      <w:sz w:val="24"/>
      <w:lang w:eastAsia="en-US"/>
    </w:rPr>
  </w:style>
  <w:style w:type="paragraph" w:customStyle="1" w:styleId="FEBullet3b">
    <w:name w:val="FE Bullet 3b"/>
    <w:basedOn w:val="ListParagraph"/>
    <w:link w:val="FEBullet3bChar"/>
    <w:uiPriority w:val="2"/>
    <w:qFormat/>
    <w:rsid w:val="003255EF"/>
    <w:pPr>
      <w:numPr>
        <w:ilvl w:val="2"/>
        <w:numId w:val="17"/>
      </w:numPr>
    </w:pPr>
  </w:style>
  <w:style w:type="paragraph" w:customStyle="1" w:styleId="FEBullet4">
    <w:name w:val="FE Bullet 4"/>
    <w:basedOn w:val="ListParagraph"/>
    <w:link w:val="FEBullet4Char"/>
    <w:uiPriority w:val="2"/>
    <w:rsid w:val="003255EF"/>
    <w:pPr>
      <w:numPr>
        <w:ilvl w:val="3"/>
        <w:numId w:val="17"/>
      </w:numPr>
    </w:pPr>
  </w:style>
  <w:style w:type="character" w:customStyle="1" w:styleId="FEBullet3bChar">
    <w:name w:val="FE Bullet 3b Char"/>
    <w:basedOn w:val="ListParagraphChar"/>
    <w:link w:val="FEBullet3b"/>
    <w:uiPriority w:val="2"/>
    <w:rsid w:val="003255EF"/>
    <w:rPr>
      <w:sz w:val="24"/>
      <w:lang w:eastAsia="en-US"/>
    </w:rPr>
  </w:style>
  <w:style w:type="character" w:customStyle="1" w:styleId="FEBullet4Char">
    <w:name w:val="FE Bullet 4 Char"/>
    <w:basedOn w:val="ListParagraphChar"/>
    <w:link w:val="FEBullet4"/>
    <w:uiPriority w:val="2"/>
    <w:rsid w:val="003255EF"/>
    <w:rPr>
      <w:sz w:val="24"/>
      <w:lang w:eastAsia="en-US"/>
    </w:rPr>
  </w:style>
  <w:style w:type="character" w:customStyle="1" w:styleId="FEBullet2Char">
    <w:name w:val="FE Bullet 2 Char"/>
    <w:basedOn w:val="ListParagraphChar"/>
    <w:link w:val="FEBullet2"/>
    <w:uiPriority w:val="2"/>
    <w:rsid w:val="00524320"/>
    <w:rPr>
      <w:sz w:val="24"/>
      <w:lang w:eastAsia="en-US"/>
    </w:rPr>
  </w:style>
  <w:style w:type="paragraph" w:customStyle="1" w:styleId="Rubric">
    <w:name w:val="Rubric"/>
    <w:basedOn w:val="Normal"/>
    <w:next w:val="Normal"/>
    <w:rsid w:val="009E6D32"/>
    <w:pPr>
      <w:spacing w:after="240"/>
    </w:pPr>
    <w:rPr>
      <w:i/>
      <w:color w:val="808080"/>
      <w:lang w:val="en-GB"/>
    </w:rPr>
  </w:style>
  <w:style w:type="character" w:customStyle="1" w:styleId="FooterChar">
    <w:name w:val="Footer Char"/>
    <w:basedOn w:val="DefaultParagraphFont"/>
    <w:link w:val="Footer"/>
    <w:rsid w:val="005E04F3"/>
    <w:rPr>
      <w:rFonts w:ascii="Arial" w:hAnsi="Arial" w:cs="Arial"/>
      <w:color w:val="E83F35"/>
      <w:spacing w:val="4"/>
      <w:sz w:val="28"/>
      <w:lang w:eastAsia="en-US"/>
    </w:rPr>
  </w:style>
  <w:style w:type="paragraph" w:customStyle="1" w:styleId="FEBullet3a">
    <w:name w:val="FE Bullet 3a"/>
    <w:basedOn w:val="FEBullet3b"/>
    <w:link w:val="FEBullet3aChar"/>
    <w:uiPriority w:val="2"/>
    <w:qFormat/>
    <w:rsid w:val="00771400"/>
    <w:pPr>
      <w:ind w:left="714" w:hanging="357"/>
    </w:pPr>
  </w:style>
  <w:style w:type="character" w:customStyle="1" w:styleId="FEBullet3aChar">
    <w:name w:val="FE Bullet 3a Char"/>
    <w:basedOn w:val="FEBullet3bChar"/>
    <w:link w:val="FEBullet3a"/>
    <w:uiPriority w:val="2"/>
    <w:rsid w:val="00771400"/>
    <w:rPr>
      <w:sz w:val="24"/>
      <w:lang w:eastAsia="en-US"/>
    </w:rPr>
  </w:style>
  <w:style w:type="paragraph" w:customStyle="1" w:styleId="None">
    <w:name w:val="None"/>
    <w:basedOn w:val="ListParagraph"/>
    <w:uiPriority w:val="1"/>
    <w:qFormat/>
    <w:rsid w:val="00DA0622"/>
    <w:pPr>
      <w:numPr>
        <w:numId w:val="19"/>
      </w:numPr>
    </w:pPr>
  </w:style>
  <w:style w:type="paragraph" w:styleId="EndnoteText">
    <w:name w:val="endnote text"/>
    <w:basedOn w:val="Normal"/>
    <w:link w:val="EndnoteTextChar"/>
    <w:rsid w:val="008843E3"/>
    <w:pPr>
      <w:spacing w:before="0" w:line="240" w:lineRule="auto"/>
      <w:ind w:left="720" w:hanging="720"/>
    </w:pPr>
    <w:rPr>
      <w:sz w:val="20"/>
    </w:rPr>
  </w:style>
  <w:style w:type="character" w:customStyle="1" w:styleId="EndnoteTextChar">
    <w:name w:val="Endnote Text Char"/>
    <w:basedOn w:val="DefaultParagraphFont"/>
    <w:link w:val="EndnoteText"/>
    <w:rsid w:val="008843E3"/>
    <w:rPr>
      <w:lang w:eastAsia="en-US"/>
    </w:rPr>
  </w:style>
  <w:style w:type="character" w:styleId="EndnoteReference">
    <w:name w:val="endnote reference"/>
    <w:basedOn w:val="DefaultParagraphFont"/>
    <w:rsid w:val="00E5551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390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endnotes.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rwick\AppData\Roaming\Microsoft\Templates\FE%20Note%20New.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8AF5856D714456CBC62B09CB8EC01CA"/>
        <w:category>
          <w:name w:val="General"/>
          <w:gallery w:val="placeholder"/>
        </w:category>
        <w:types>
          <w:type w:val="bbPlcHdr"/>
        </w:types>
        <w:behaviors>
          <w:behavior w:val="content"/>
        </w:behaviors>
        <w:guid w:val="{2E8D9F8A-6DA1-4E14-A8AE-3C1364151D10}"/>
      </w:docPartPr>
      <w:docPartBody>
        <w:p w:rsidR="00AD3FC2" w:rsidRDefault="00435642">
          <w:pPr>
            <w:pStyle w:val="18AF5856D714456CBC62B09CB8EC01CA"/>
          </w:pPr>
          <w:r w:rsidRPr="00AB3EC8">
            <w:rPr>
              <w:rStyle w:val="PlaceholderText"/>
            </w:rPr>
            <w:t>[Title]</w:t>
          </w:r>
        </w:p>
      </w:docPartBody>
    </w:docPart>
    <w:docPart>
      <w:docPartPr>
        <w:name w:val="12664CBD73634D90A8A350CD2FD96AFD"/>
        <w:category>
          <w:name w:val="General"/>
          <w:gallery w:val="placeholder"/>
        </w:category>
        <w:types>
          <w:type w:val="bbPlcHdr"/>
        </w:types>
        <w:behaviors>
          <w:behavior w:val="content"/>
        </w:behaviors>
        <w:guid w:val="{39FF130F-C822-4175-B908-F1550BCBE98A}"/>
      </w:docPartPr>
      <w:docPartBody>
        <w:p w:rsidR="00AD3FC2" w:rsidRDefault="00435642">
          <w:pPr>
            <w:pStyle w:val="12664CBD73634D90A8A350CD2FD96AFD"/>
          </w:pPr>
          <w:r w:rsidRPr="005000CC">
            <w:t>[Comments]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formatting="0"/>
  <w:defaultTabStop w:val="720"/>
  <w:characterSpacingControl w:val="doNotCompress"/>
  <w:compat>
    <w:useFELayout/>
    <w:compatSetting w:name="compatibilityMode" w:uri="http://schemas.microsoft.com/office/word" w:val="12"/>
  </w:compat>
  <w:rsids>
    <w:rsidRoot w:val="00435642"/>
    <w:rsid w:val="00435642"/>
    <w:rsid w:val="006D21BA"/>
    <w:rsid w:val="00AD3FC2"/>
    <w:rsid w:val="00BB5BDA"/>
    <w:rsid w:val="00EC3E8D"/>
    <w:rsid w:val="00FF295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3F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D3FC2"/>
    <w:rPr>
      <w:color w:val="808080"/>
    </w:rPr>
  </w:style>
  <w:style w:type="paragraph" w:customStyle="1" w:styleId="18AF5856D714456CBC62B09CB8EC01CA">
    <w:name w:val="18AF5856D714456CBC62B09CB8EC01CA"/>
    <w:rsid w:val="00AD3FC2"/>
  </w:style>
  <w:style w:type="paragraph" w:customStyle="1" w:styleId="12664CBD73634D90A8A350CD2FD96AFD">
    <w:name w:val="12664CBD73634D90A8A350CD2FD96AFD"/>
    <w:rsid w:val="00AD3FC2"/>
  </w:style>
  <w:style w:type="paragraph" w:customStyle="1" w:styleId="9013B6BDCAB84C768BF0BB4F419CE24A">
    <w:name w:val="9013B6BDCAB84C768BF0BB4F419CE24A"/>
    <w:rsid w:val="00AD3FC2"/>
  </w:style>
  <w:style w:type="paragraph" w:customStyle="1" w:styleId="5251EE7AB9E94B45B5FBA2BD5908C018">
    <w:name w:val="5251EE7AB9E94B45B5FBA2BD5908C018"/>
    <w:rsid w:val="00AD3FC2"/>
  </w:style>
  <w:style w:type="paragraph" w:customStyle="1" w:styleId="6CB0AC2ED51C44B395EBB8D52F5881FB">
    <w:name w:val="6CB0AC2ED51C44B395EBB8D52F5881FB"/>
    <w:rsid w:val="00AD3FC2"/>
  </w:style>
  <w:style w:type="paragraph" w:customStyle="1" w:styleId="9FFB1449375647CF9E989441F27662D2">
    <w:name w:val="9FFB1449375647CF9E989441F27662D2"/>
    <w:rsid w:val="00AD3FC2"/>
  </w:style>
  <w:style w:type="paragraph" w:customStyle="1" w:styleId="C32130F3DD7E470192CFAA07D6EE97B7">
    <w:name w:val="C32130F3DD7E470192CFAA07D6EE97B7"/>
    <w:rsid w:val="00AD3FC2"/>
  </w:style>
  <w:style w:type="paragraph" w:customStyle="1" w:styleId="1EC0BBF261E048B18D7903094E02734E">
    <w:name w:val="1EC0BBF261E048B18D7903094E02734E"/>
    <w:rsid w:val="00AD3FC2"/>
  </w:style>
  <w:style w:type="paragraph" w:customStyle="1" w:styleId="8C72B09F195741459C94CAACEFD597FF">
    <w:name w:val="8C72B09F195741459C94CAACEFD597FF"/>
    <w:rsid w:val="00AD3FC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FE Colours">
      <a:dk1>
        <a:sysClr val="windowText" lastClr="000000"/>
      </a:dk1>
      <a:lt1>
        <a:sysClr val="window" lastClr="FFFFFF"/>
      </a:lt1>
      <a:dk2>
        <a:srgbClr val="E83F35"/>
      </a:dk2>
      <a:lt2>
        <a:srgbClr val="FFFFFF"/>
      </a:lt2>
      <a:accent1>
        <a:srgbClr val="E83F35"/>
      </a:accent1>
      <a:accent2>
        <a:srgbClr val="782327"/>
      </a:accent2>
      <a:accent3>
        <a:srgbClr val="99BFC2"/>
      </a:accent3>
      <a:accent4>
        <a:srgbClr val="156570"/>
      </a:accent4>
      <a:accent5>
        <a:srgbClr val="B4A76C"/>
      </a:accent5>
      <a:accent6>
        <a:srgbClr val="F79646"/>
      </a:accent6>
      <a:hlink>
        <a:srgbClr val="E83F35"/>
      </a:hlink>
      <a:folHlink>
        <a:srgbClr val="E83F35"/>
      </a:folHlink>
    </a:clrScheme>
    <a:fontScheme name="FE Fonts">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ns:customPropertyEditors xmlns:tns="http://schemas.microsoft.com/office/2006/customDocumentInformationPanel">
  <tns:showOnOpen>false</tns:showOnOpen>
  <tns:defaultPropertyEditorNamespace>Standard properties</tns:defaultPropertyEditorNamespace>
</tns:customPropertyEditor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E85D66-C812-4989-B844-096AE67A1890}">
  <ds:schemaRefs>
    <ds:schemaRef ds:uri="http://schemas.microsoft.com/office/2006/customDocumentInformationPanel"/>
  </ds:schemaRefs>
</ds:datastoreItem>
</file>

<file path=customXml/itemProps2.xml><?xml version="1.0" encoding="utf-8"?>
<ds:datastoreItem xmlns:ds="http://schemas.openxmlformats.org/officeDocument/2006/customXml" ds:itemID="{D95B8376-FF44-4A46-BA0D-E2E2530579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FE Note New</Template>
  <TotalTime>1</TotalTime>
  <Pages>5</Pages>
  <Words>1364</Words>
  <Characters>7233</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The ACMA’s benefits estimation for the Telecommunications Consumer Protection code</vt:lpstr>
    </vt:vector>
  </TitlesOfParts>
  <Manager/>
  <Company>Frontier Economics</Company>
  <LinksUpToDate>false</LinksUpToDate>
  <CharactersWithSpaces>8580</CharactersWithSpaces>
  <SharedDoc>false</SharedDoc>
  <HyperlinkBase/>
  <HLinks>
    <vt:vector size="24" baseType="variant">
      <vt:variant>
        <vt:i4>1572924</vt:i4>
      </vt:variant>
      <vt:variant>
        <vt:i4>26</vt:i4>
      </vt:variant>
      <vt:variant>
        <vt:i4>0</vt:i4>
      </vt:variant>
      <vt:variant>
        <vt:i4>5</vt:i4>
      </vt:variant>
      <vt:variant>
        <vt:lpwstr/>
      </vt:variant>
      <vt:variant>
        <vt:lpwstr>_Toc208832556</vt:lpwstr>
      </vt:variant>
      <vt:variant>
        <vt:i4>1572924</vt:i4>
      </vt:variant>
      <vt:variant>
        <vt:i4>20</vt:i4>
      </vt:variant>
      <vt:variant>
        <vt:i4>0</vt:i4>
      </vt:variant>
      <vt:variant>
        <vt:i4>5</vt:i4>
      </vt:variant>
      <vt:variant>
        <vt:lpwstr/>
      </vt:variant>
      <vt:variant>
        <vt:lpwstr>_Toc208832555</vt:lpwstr>
      </vt:variant>
      <vt:variant>
        <vt:i4>1572924</vt:i4>
      </vt:variant>
      <vt:variant>
        <vt:i4>14</vt:i4>
      </vt:variant>
      <vt:variant>
        <vt:i4>0</vt:i4>
      </vt:variant>
      <vt:variant>
        <vt:i4>5</vt:i4>
      </vt:variant>
      <vt:variant>
        <vt:lpwstr/>
      </vt:variant>
      <vt:variant>
        <vt:lpwstr>_Toc208832554</vt:lpwstr>
      </vt:variant>
      <vt:variant>
        <vt:i4>1572924</vt:i4>
      </vt:variant>
      <vt:variant>
        <vt:i4>8</vt:i4>
      </vt:variant>
      <vt:variant>
        <vt:i4>0</vt:i4>
      </vt:variant>
      <vt:variant>
        <vt:i4>5</vt:i4>
      </vt:variant>
      <vt:variant>
        <vt:lpwstr/>
      </vt:variant>
      <vt:variant>
        <vt:lpwstr>_Toc208832553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ACMA’s benefits estimation for the Telecommunications Consumer Protection code</dc:title>
  <dc:subject/>
  <dc:creator>Warwick Davis</dc:creator>
  <cp:keywords/>
  <dc:description>  </dc:description>
  <cp:lastModifiedBy>Katrina La Galle</cp:lastModifiedBy>
  <cp:revision>2</cp:revision>
  <cp:lastPrinted>2015-10-20T00:40:00Z</cp:lastPrinted>
  <dcterms:created xsi:type="dcterms:W3CDTF">2015-11-16T23:29:00Z</dcterms:created>
  <dcterms:modified xsi:type="dcterms:W3CDTF">2015-11-16T23:29:00Z</dcterms:modified>
  <cp:category>Note</cp:category>
  <cp:contentStatus>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Draft</vt:lpwstr>
  </property>
</Properties>
</file>