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footer7.xml" ContentType="application/vnd.openxmlformats-officedocument.wordprocessingml.footer+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footer3.xml" ContentType="application/vnd.openxmlformats-officedocument.wordprocessingml.footer+xml"/>
  <Override PartName="/word/charts/chart26.xml" ContentType="application/vnd.openxmlformats-officedocument.drawingml.chart+xml"/>
  <Override PartName="/word/charts/chart37.xml" ContentType="application/vnd.openxmlformats-officedocument.drawingml.chart+xml"/>
  <Override PartName="/docProps/custom.xml" ContentType="application/vnd.openxmlformats-officedocument.custom-properties+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customXml/itemProps6.xml" ContentType="application/vnd.openxmlformats-officedocument.customXmlProperties+xml"/>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51.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customXml/itemProps2.xml" ContentType="application/vnd.openxmlformats-officedocument.customXmlProperties+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footer8.xml" ContentType="application/vnd.openxmlformats-officedocument.wordprocessingml.footer+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Default Extension="jpeg" ContentType="image/jpeg"/>
  <Override PartName="/word/footer6.xml" ContentType="application/vnd.openxmlformats-officedocument.wordprocessingml.footer+xml"/>
  <Default Extension="emf" ContentType="image/x-emf"/>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header5.xml" ContentType="application/vnd.openxmlformats-officedocument.wordprocessingml.header+xml"/>
  <Default Extension="tiff" ContentType="image/tiff"/>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charts/chart32.xml" ContentType="application/vnd.openxmlformats-officedocument.drawingml.chart+xml"/>
  <Override PartName="/word/theme/themeOverride39.xml" ContentType="application/vnd.openxmlformats-officedocument.themeOverride+xml"/>
  <Override PartName="/word/charts/chart41.xml" ContentType="application/vnd.openxmlformats-officedocument.drawingml.chart+xml"/>
  <Override PartName="/word/theme/themeOverride48.xml" ContentType="application/vnd.openxmlformats-officedocument.themeOverride+xml"/>
  <Override PartName="/word/charts/chart50.xml" ContentType="application/vnd.openxmlformats-officedocument.drawingml.chart+xml"/>
  <Override PartName="/word/fontTable.xml" ContentType="application/vnd.openxmlformats-officedocument.wordprocessingml.fontTable+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theme/themeOverride7.xml" ContentType="application/vnd.openxmlformats-officedocument.themeOverride+xml"/>
  <Override PartName="/word/charts/chart12.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37.xml" ContentType="application/vnd.openxmlformats-officedocument.themeOverride+xml"/>
  <Override PartName="/word/theme/themeOverride46.xml" ContentType="application/vnd.openxmlformats-officedocument.themeOverride+xml"/>
  <Override PartName="/docProps/core.xml" ContentType="application/vnd.openxmlformats-package.core-properties+xml"/>
  <Override PartName="/customXml/itemProps3.xml" ContentType="application/vnd.openxmlformats-officedocument.customXml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footer9.xml" ContentType="application/vnd.openxmlformats-officedocument.wordprocessingml.footer+xml"/>
  <Override PartName="/word/theme/themeOverride20.xml" ContentType="application/vnd.openxmlformats-officedocument.themeOverride+xml"/>
  <Override PartName="/word/theme/themeOverride31.xml" ContentType="application/vnd.openxmlformats-officedocument.themeOverride+xml"/>
  <Default Extension="rels" ContentType="application/vnd.openxmlformats-package.relationships+xml"/>
  <Override PartName="/word/footer5.xml" ContentType="application/vnd.openxmlformats-officedocument.wordprocessingml.footer+xml"/>
  <Override PartName="/word/charts/chart28.xml" ContentType="application/vnd.openxmlformats-officedocument.drawingml.chart+xml"/>
  <Override PartName="/word/charts/chart39.xml" ContentType="application/vnd.openxmlformats-officedocument.drawingml.chart+xml"/>
  <Override PartName="/word/header6.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footer1.xml" ContentType="application/vnd.openxmlformats-officedocument.wordprocessingml.footer+xml"/>
  <Override PartName="/word/charts/chart24.xml" ContentType="application/vnd.openxmlformats-officedocument.drawingml.chart+xml"/>
  <Override PartName="/word/charts/chart35.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theme/themeOverride47.xml" ContentType="application/vnd.openxmlformats-officedocument.themeOverride+xml"/>
  <Override PartName="/customXml/itemProps4.xml" ContentType="application/vnd.openxmlformats-officedocument.customXmlProperties+xml"/>
  <Override PartName="/word/theme/themeOverride18.xml" ContentType="application/vnd.openxmlformats-officedocument.themeOverride+xml"/>
  <Override PartName="/word/charts/chart20.xml" ContentType="application/vnd.openxmlformats-officedocument.drawingml.chart+xml"/>
  <Override PartName="/word/theme/themeOverride3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973" w:type="dxa"/>
        <w:tblLayout w:type="fixed"/>
        <w:tblCellMar>
          <w:left w:w="0" w:type="dxa"/>
          <w:right w:w="0" w:type="dxa"/>
        </w:tblCellMar>
        <w:tblLook w:val="01E0"/>
      </w:tblPr>
      <w:tblGrid>
        <w:gridCol w:w="8973"/>
      </w:tblGrid>
      <w:tr w:rsidR="000969BF" w:rsidRPr="000D76E0" w:rsidTr="00915B1C">
        <w:tc>
          <w:tcPr>
            <w:tcW w:w="8973" w:type="dxa"/>
            <w:shd w:val="clear" w:color="auto" w:fill="auto"/>
          </w:tcPr>
          <w:p w:rsidR="000969BF" w:rsidRPr="000D76E0" w:rsidRDefault="008F15CC" w:rsidP="000915ED">
            <w:pPr>
              <w:pStyle w:val="ReportTitle"/>
              <w:rPr>
                <w:rFonts w:cs="Arial"/>
              </w:rPr>
            </w:pPr>
            <w:r>
              <w:rPr>
                <w:rFonts w:cs="Arial"/>
              </w:rPr>
              <w:t>Communications report</w:t>
            </w:r>
          </w:p>
        </w:tc>
      </w:tr>
      <w:tr w:rsidR="000969BF" w:rsidRPr="000D76E0" w:rsidTr="00915B1C">
        <w:tc>
          <w:tcPr>
            <w:tcW w:w="8973" w:type="dxa"/>
            <w:shd w:val="clear" w:color="auto" w:fill="auto"/>
            <w:tcMar>
              <w:bottom w:w="232" w:type="dxa"/>
            </w:tcMar>
          </w:tcPr>
          <w:p w:rsidR="000969BF" w:rsidRPr="000D76E0" w:rsidRDefault="008F15CC" w:rsidP="000915ED">
            <w:pPr>
              <w:pStyle w:val="ReportSubtitle"/>
              <w:rPr>
                <w:rFonts w:cs="Arial"/>
              </w:rPr>
            </w:pPr>
            <w:r>
              <w:rPr>
                <w:rFonts w:cs="Arial"/>
              </w:rPr>
              <w:t>2012–13</w:t>
            </w:r>
          </w:p>
        </w:tc>
      </w:tr>
      <w:tr w:rsidR="000969BF" w:rsidRPr="000D76E0" w:rsidTr="00915B1C">
        <w:tc>
          <w:tcPr>
            <w:tcW w:w="8973" w:type="dxa"/>
            <w:shd w:val="clear" w:color="auto" w:fill="auto"/>
          </w:tcPr>
          <w:p w:rsidR="000969BF" w:rsidRPr="000D76E0" w:rsidRDefault="000969BF" w:rsidP="005D2502">
            <w:pPr>
              <w:pStyle w:val="ReportDate"/>
              <w:rPr>
                <w:rFonts w:cs="Arial"/>
              </w:rPr>
            </w:pPr>
          </w:p>
        </w:tc>
      </w:tr>
    </w:tbl>
    <w:p w:rsidR="000969BF" w:rsidRPr="000D76E0" w:rsidRDefault="000969BF" w:rsidP="000969BF">
      <w:pPr>
        <w:rPr>
          <w:rFonts w:cs="Arial"/>
        </w:rPr>
      </w:pPr>
    </w:p>
    <w:p w:rsidR="004E39D3" w:rsidRPr="000D76E0" w:rsidRDefault="004E39D3" w:rsidP="0041071D">
      <w:pPr>
        <w:rPr>
          <w:rFonts w:cs="Arial"/>
        </w:rPr>
      </w:pPr>
    </w:p>
    <w:p w:rsidR="00C97736" w:rsidRPr="000D76E0" w:rsidRDefault="00C97736" w:rsidP="0041071D">
      <w:pPr>
        <w:rPr>
          <w:rFonts w:cs="Arial"/>
        </w:rPr>
      </w:pPr>
    </w:p>
    <w:p w:rsidR="00C97736" w:rsidRPr="000D76E0" w:rsidRDefault="00C97736" w:rsidP="0041071D">
      <w:pPr>
        <w:rPr>
          <w:rFonts w:cs="Arial"/>
        </w:rPr>
        <w:sectPr w:rsidR="00C97736" w:rsidRPr="000D76E0" w:rsidSect="00A74B5E">
          <w:headerReference w:type="default" r:id="rId13"/>
          <w:footerReference w:type="default" r:id="rId14"/>
          <w:headerReference w:type="first" r:id="rId15"/>
          <w:endnotePr>
            <w:numFmt w:val="decimal"/>
            <w:numRestart w:val="eachSect"/>
          </w:endnotePr>
          <w:pgSz w:w="11906" w:h="16838" w:code="9"/>
          <w:pgMar w:top="3924" w:right="1797" w:bottom="1440" w:left="1132" w:header="709" w:footer="709" w:gutter="0"/>
          <w:cols w:space="708"/>
          <w:docGrid w:linePitch="360"/>
        </w:sectPr>
      </w:pPr>
    </w:p>
    <w:p w:rsidR="001E6FB8" w:rsidRPr="00E141F1" w:rsidRDefault="001E6FB8" w:rsidP="001E6FB8">
      <w:pPr>
        <w:rPr>
          <w:rFonts w:cs="Arial"/>
        </w:rPr>
      </w:pPr>
      <w:r w:rsidRPr="00E141F1">
        <w:rPr>
          <w:rFonts w:cs="Arial"/>
        </w:rPr>
        <w:t xml:space="preserve">The ACMA </w:t>
      </w:r>
      <w:r w:rsidRPr="00E141F1">
        <w:rPr>
          <w:rFonts w:cs="Arial"/>
          <w:i/>
        </w:rPr>
        <w:t xml:space="preserve">Communications report 2012–13 </w:t>
      </w:r>
      <w:r w:rsidRPr="00E141F1">
        <w:rPr>
          <w:rFonts w:cs="Arial"/>
        </w:rPr>
        <w:t>draws on data from a range of sources including the ACMA’s own databases, information reported by industry, the ACMA’s research using third-party public sources, and commissioned surveys and analysis.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ACMA has a statutory reporting obligation that requires it to collect data from industry for monitoring and reporting purposes. However, as part of the Australian Government’s regulation reform agenda, the ACMA will continue to work with industry participants to identify opportunities to streamline regulatory reporting arrangements.</w:t>
      </w:r>
    </w:p>
    <w:p w:rsidR="001E6FB8" w:rsidRPr="00E141F1" w:rsidRDefault="001E6FB8" w:rsidP="001E6FB8">
      <w:pPr>
        <w:rPr>
          <w:rFonts w:cs="Arial"/>
        </w:rPr>
      </w:pPr>
    </w:p>
    <w:p w:rsidR="001E6FB8" w:rsidRPr="00E141F1" w:rsidRDefault="001E6FB8" w:rsidP="001E6FB8">
      <w:pPr>
        <w:rPr>
          <w:rFonts w:cs="Arial"/>
        </w:rPr>
      </w:pPr>
      <w:r w:rsidRPr="00E141F1">
        <w:rPr>
          <w:rFonts w:cs="Arial"/>
          <w:b/>
        </w:rPr>
        <w:t>Disclaimer</w:t>
      </w:r>
    </w:p>
    <w:p w:rsidR="001E6FB8" w:rsidRPr="00E141F1" w:rsidRDefault="001E6FB8" w:rsidP="001E6FB8">
      <w:pPr>
        <w:rPr>
          <w:rFonts w:cs="Arial"/>
        </w:rPr>
      </w:pPr>
      <w:r w:rsidRPr="00E141F1">
        <w:rPr>
          <w:rFonts w:cs="Arial"/>
        </w:rPr>
        <w:t>The information in this document was obtained from sources the ACMA believes to be reliable. However, the ACMA does not guarantee the accuracy, completeness or adequacy of the information. To the maximum extent permitted by law, the ACMA is not liable for any errors, omissions or inadequacy in the information, or for any reliance on the information. Predications and forward-looking statements in this document are based on information existing and known at the time of publications, and are subject to risks, uncertainties and changes in circumstances beyond the control of the ACMA. Opinions and positions stated in this document are subject to change without notice.</w:t>
      </w:r>
    </w:p>
    <w:p w:rsidR="001E6FB8" w:rsidRPr="00E141F1" w:rsidRDefault="001E6FB8" w:rsidP="001E6FB8">
      <w:pPr>
        <w:rPr>
          <w:rFonts w:cs="Arial"/>
        </w:rPr>
      </w:pPr>
    </w:p>
    <w:p w:rsidR="001E6FB8" w:rsidRPr="00E141F1" w:rsidRDefault="001E6FB8" w:rsidP="001E6FB8">
      <w:pPr>
        <w:rPr>
          <w:rFonts w:cs="Arial"/>
          <w:b/>
        </w:rPr>
      </w:pPr>
      <w:r w:rsidRPr="00E141F1">
        <w:rPr>
          <w:rFonts w:cs="Arial"/>
          <w:b/>
        </w:rPr>
        <w:t>Comments</w:t>
      </w:r>
    </w:p>
    <w:p w:rsidR="001E6FB8" w:rsidRPr="00E141F1" w:rsidRDefault="001E6FB8" w:rsidP="001E6FB8">
      <w:pPr>
        <w:rPr>
          <w:rFonts w:cs="Arial"/>
        </w:rPr>
      </w:pPr>
      <w:r w:rsidRPr="00E141F1">
        <w:rPr>
          <w:rFonts w:cs="Arial"/>
        </w:rPr>
        <w:t>The ACMA welcomes feedback on the communications report. Comments and enquiries about the scope, content and format of the report should be sent to communications.analysis@acma.gov.au.</w:t>
      </w:r>
    </w:p>
    <w:p w:rsidR="001E6FB8" w:rsidRPr="00E141F1" w:rsidRDefault="001E6FB8" w:rsidP="001E6FB8">
      <w:pPr>
        <w:rPr>
          <w:rFonts w:cs="Arial"/>
        </w:rPr>
      </w:pPr>
    </w:p>
    <w:p w:rsidR="001E6FB8" w:rsidRPr="00E141F1" w:rsidRDefault="001E6FB8" w:rsidP="001E6FB8">
      <w:pPr>
        <w:rPr>
          <w:rFonts w:cs="Arial"/>
          <w:b/>
        </w:rPr>
      </w:pPr>
      <w:r w:rsidRPr="00E141F1">
        <w:rPr>
          <w:rFonts w:cs="Arial"/>
          <w:b/>
        </w:rPr>
        <w:t>Further information</w:t>
      </w:r>
    </w:p>
    <w:p w:rsidR="001E6FB8" w:rsidRDefault="001E6FB8" w:rsidP="001E6FB8">
      <w:pPr>
        <w:rPr>
          <w:rFonts w:cs="Arial"/>
        </w:rPr>
      </w:pPr>
      <w:r w:rsidRPr="00E141F1">
        <w:rPr>
          <w:rFonts w:cs="Arial"/>
        </w:rPr>
        <w:t xml:space="preserve">For further information about the ACMA and links to the communications report, please go to </w:t>
      </w:r>
      <w:r w:rsidRPr="005733A8">
        <w:rPr>
          <w:rFonts w:cs="Arial"/>
        </w:rPr>
        <w:t>www.acma.gov.au/commsreport</w:t>
      </w:r>
      <w:r>
        <w:rPr>
          <w:rFonts w:cs="Arial"/>
        </w:rPr>
        <w:t>.</w:t>
      </w:r>
    </w:p>
    <w:p w:rsidR="001E6FB8" w:rsidRDefault="001E6FB8" w:rsidP="001E6FB8">
      <w:pPr>
        <w:rPr>
          <w:rFonts w:cs="Arial"/>
        </w:rPr>
      </w:pPr>
    </w:p>
    <w:p w:rsidR="001E6FB8" w:rsidRDefault="001E6FB8" w:rsidP="001E6FB8">
      <w:pPr>
        <w:pStyle w:val="Copyright"/>
        <w:rPr>
          <w:rFonts w:cs="Arial"/>
          <w:b/>
          <w:color w:val="auto"/>
          <w:sz w:val="16"/>
          <w:szCs w:val="16"/>
        </w:rPr>
      </w:pPr>
    </w:p>
    <w:p w:rsidR="001E6FB8" w:rsidRDefault="001E6FB8" w:rsidP="001E6FB8">
      <w:pPr>
        <w:pStyle w:val="Copyright"/>
        <w:rPr>
          <w:rFonts w:cs="Arial"/>
          <w:b/>
          <w:color w:val="auto"/>
          <w:sz w:val="16"/>
          <w:szCs w:val="16"/>
        </w:rPr>
      </w:pPr>
    </w:p>
    <w:p w:rsidR="001E6FB8" w:rsidRDefault="001E6FB8" w:rsidP="001E6FB8">
      <w:pPr>
        <w:pStyle w:val="Copyright"/>
        <w:rPr>
          <w:rFonts w:cs="Arial"/>
          <w:b/>
          <w:color w:val="auto"/>
          <w:sz w:val="16"/>
          <w:szCs w:val="16"/>
        </w:rPr>
      </w:pPr>
    </w:p>
    <w:p w:rsidR="001E6FB8" w:rsidRPr="00E141F1" w:rsidRDefault="001E6FB8" w:rsidP="001E6FB8">
      <w:pPr>
        <w:pStyle w:val="Copyright"/>
        <w:rPr>
          <w:rFonts w:cs="Arial"/>
          <w:b/>
          <w:color w:val="auto"/>
          <w:sz w:val="16"/>
          <w:szCs w:val="16"/>
        </w:rPr>
      </w:pPr>
      <w:r w:rsidRPr="00E141F1">
        <w:rPr>
          <w:rFonts w:cs="Arial"/>
          <w:b/>
          <w:color w:val="auto"/>
          <w:sz w:val="16"/>
          <w:szCs w:val="16"/>
        </w:rPr>
        <w:t>Copyright notice</w:t>
      </w:r>
    </w:p>
    <w:p w:rsidR="001E6FB8" w:rsidRPr="00E141F1" w:rsidRDefault="001E6FB8" w:rsidP="001E6FB8">
      <w:pPr>
        <w:pStyle w:val="Copyright"/>
        <w:rPr>
          <w:rFonts w:cs="Arial"/>
          <w:b/>
          <w:color w:val="auto"/>
          <w:sz w:val="16"/>
          <w:szCs w:val="16"/>
        </w:rPr>
      </w:pPr>
    </w:p>
    <w:p w:rsidR="001E6FB8" w:rsidRPr="00E141F1" w:rsidRDefault="001E6FB8" w:rsidP="001E6FB8">
      <w:pPr>
        <w:pStyle w:val="Copyright"/>
        <w:rPr>
          <w:rFonts w:cs="Arial"/>
          <w:b/>
          <w:color w:val="auto"/>
          <w:sz w:val="16"/>
          <w:szCs w:val="16"/>
        </w:rPr>
      </w:pPr>
    </w:p>
    <w:p w:rsidR="001E6FB8" w:rsidRPr="00E141F1" w:rsidRDefault="001E6FB8" w:rsidP="001E6FB8">
      <w:pPr>
        <w:pStyle w:val="Copyright"/>
        <w:rPr>
          <w:rFonts w:cs="Arial"/>
          <w:b/>
          <w:color w:val="auto"/>
          <w:sz w:val="16"/>
          <w:szCs w:val="16"/>
        </w:rPr>
      </w:pPr>
    </w:p>
    <w:p w:rsidR="001E6FB8" w:rsidRPr="00E141F1" w:rsidRDefault="001E6FB8" w:rsidP="001E6FB8">
      <w:pPr>
        <w:pStyle w:val="Copyright"/>
        <w:rPr>
          <w:rFonts w:cs="Arial"/>
          <w:b/>
          <w:color w:val="auto"/>
          <w:sz w:val="16"/>
          <w:szCs w:val="16"/>
        </w:rPr>
      </w:pPr>
      <w:r w:rsidRPr="00E141F1">
        <w:rPr>
          <w:rFonts w:cs="Arial"/>
          <w:noProof/>
        </w:rPr>
        <w:drawing>
          <wp:anchor distT="0" distB="0" distL="114300" distR="114300" simplePos="0" relativeHeight="251670528" behindDoc="0" locked="0" layoutInCell="1" allowOverlap="1">
            <wp:simplePos x="0" y="0"/>
            <wp:positionH relativeFrom="column">
              <wp:posOffset>3175</wp:posOffset>
            </wp:positionH>
            <wp:positionV relativeFrom="paragraph">
              <wp:posOffset>-217805</wp:posOffset>
            </wp:positionV>
            <wp:extent cx="838200" cy="295275"/>
            <wp:effectExtent l="19050" t="0" r="0" b="0"/>
            <wp:wrapNone/>
            <wp:docPr id="12" name="Picture 4" descr="by">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6"/>
                    </pic:cNvPr>
                    <pic:cNvPicPr>
                      <a:picLocks noChangeAspect="1" noChangeArrowheads="1"/>
                    </pic:cNvPicPr>
                  </pic:nvPicPr>
                  <pic:blipFill>
                    <a:blip r:embed="rId17" cstate="print"/>
                    <a:srcRect/>
                    <a:stretch>
                      <a:fillRect/>
                    </a:stretch>
                  </pic:blipFill>
                  <pic:spPr bwMode="auto">
                    <a:xfrm>
                      <a:off x="0" y="0"/>
                      <a:ext cx="838200" cy="295275"/>
                    </a:xfrm>
                    <a:prstGeom prst="rect">
                      <a:avLst/>
                    </a:prstGeom>
                    <a:noFill/>
                  </pic:spPr>
                </pic:pic>
              </a:graphicData>
            </a:graphic>
          </wp:anchor>
        </w:drawing>
      </w:r>
    </w:p>
    <w:p w:rsidR="001E6FB8" w:rsidRPr="00EF3855" w:rsidRDefault="001E6FB8" w:rsidP="001E6FB8">
      <w:pPr>
        <w:pStyle w:val="Copyright"/>
        <w:spacing w:line="240" w:lineRule="auto"/>
        <w:rPr>
          <w:rFonts w:cs="Arial"/>
          <w:color w:val="auto"/>
          <w:sz w:val="16"/>
          <w:szCs w:val="16"/>
        </w:rPr>
      </w:pPr>
    </w:p>
    <w:p w:rsidR="001E6FB8" w:rsidRPr="00EF3855" w:rsidRDefault="001E6FB8" w:rsidP="001E6FB8">
      <w:pPr>
        <w:pStyle w:val="Copyright"/>
        <w:spacing w:line="240" w:lineRule="auto"/>
        <w:ind w:right="1519"/>
        <w:rPr>
          <w:rFonts w:cs="Arial"/>
          <w:color w:val="auto"/>
          <w:sz w:val="16"/>
          <w:szCs w:val="16"/>
        </w:rPr>
      </w:pPr>
      <w:r w:rsidRPr="00AB3971">
        <w:rPr>
          <w:rFonts w:cs="Arial"/>
          <w:color w:val="auto"/>
          <w:sz w:val="16"/>
          <w:szCs w:val="16"/>
        </w:rPr>
        <w:t>http://creativecommons.org/licenses/by/3.0/au/</w:t>
      </w:r>
    </w:p>
    <w:p w:rsidR="001E6FB8" w:rsidRPr="00EF3855" w:rsidRDefault="001E6FB8" w:rsidP="001E6FB8">
      <w:pPr>
        <w:pStyle w:val="Copyright"/>
        <w:spacing w:line="240" w:lineRule="auto"/>
        <w:rPr>
          <w:rFonts w:cs="Arial"/>
          <w:color w:val="auto"/>
          <w:sz w:val="16"/>
          <w:szCs w:val="16"/>
        </w:rPr>
      </w:pPr>
    </w:p>
    <w:p w:rsidR="001E6FB8" w:rsidRPr="00EF3855" w:rsidRDefault="001E6FB8" w:rsidP="001E6FB8">
      <w:pPr>
        <w:pStyle w:val="Copyright"/>
        <w:spacing w:line="240" w:lineRule="auto"/>
        <w:ind w:right="1519"/>
        <w:rPr>
          <w:rFonts w:cs="Arial"/>
          <w:color w:val="auto"/>
          <w:sz w:val="16"/>
          <w:szCs w:val="16"/>
        </w:rPr>
      </w:pPr>
      <w:r w:rsidRPr="00EF3855">
        <w:rPr>
          <w:rFonts w:cs="Arial"/>
          <w:color w:val="auto"/>
          <w:sz w:val="16"/>
          <w:szCs w:val="16"/>
        </w:rPr>
        <w:t xml:space="preserve">With the exception of coats of arms, logos, emblems, images, other third-party material or devices protected by a trademark, this content is licensed under the Creative Commons Australia Attribution 3.0 Licence. </w:t>
      </w:r>
    </w:p>
    <w:p w:rsidR="001E6FB8" w:rsidRPr="00EF3855" w:rsidRDefault="001E6FB8" w:rsidP="001E6FB8">
      <w:pPr>
        <w:pStyle w:val="Copyright"/>
        <w:spacing w:line="240" w:lineRule="auto"/>
        <w:rPr>
          <w:rFonts w:cs="Arial"/>
          <w:color w:val="auto"/>
          <w:sz w:val="16"/>
          <w:szCs w:val="16"/>
        </w:rPr>
      </w:pPr>
    </w:p>
    <w:p w:rsidR="001E6FB8" w:rsidRPr="00EF3855" w:rsidRDefault="001E6FB8" w:rsidP="001E6FB8">
      <w:pPr>
        <w:pStyle w:val="Copyright"/>
        <w:spacing w:line="240" w:lineRule="auto"/>
        <w:rPr>
          <w:rFonts w:cs="Arial"/>
          <w:color w:val="auto"/>
          <w:sz w:val="16"/>
          <w:szCs w:val="16"/>
        </w:rPr>
      </w:pPr>
      <w:r w:rsidRPr="00EF3855">
        <w:rPr>
          <w:rFonts w:cs="Arial"/>
          <w:color w:val="auto"/>
          <w:sz w:val="16"/>
          <w:szCs w:val="16"/>
        </w:rPr>
        <w:t>We request attribution as: © Commonwealth of Australia (Australian Communications and Media Authority) 2013.</w:t>
      </w:r>
    </w:p>
    <w:p w:rsidR="001E6FB8" w:rsidRPr="00EF3855" w:rsidRDefault="001E6FB8" w:rsidP="001E6FB8">
      <w:pPr>
        <w:pStyle w:val="Copyright"/>
        <w:spacing w:line="240" w:lineRule="auto"/>
        <w:rPr>
          <w:rFonts w:cs="Arial"/>
          <w:color w:val="auto"/>
          <w:sz w:val="16"/>
          <w:szCs w:val="16"/>
        </w:rPr>
      </w:pPr>
    </w:p>
    <w:p w:rsidR="001E6FB8" w:rsidRPr="00EF3855" w:rsidRDefault="001E6FB8" w:rsidP="001E6FB8">
      <w:pPr>
        <w:pStyle w:val="Copyright"/>
        <w:spacing w:line="240" w:lineRule="auto"/>
        <w:rPr>
          <w:rFonts w:cs="Arial"/>
          <w:color w:val="auto"/>
          <w:sz w:val="16"/>
          <w:szCs w:val="16"/>
        </w:rPr>
      </w:pPr>
      <w:r w:rsidRPr="00EF3855">
        <w:rPr>
          <w:rFonts w:cs="Arial"/>
          <w:color w:val="auto"/>
          <w:sz w:val="16"/>
          <w:szCs w:val="16"/>
        </w:rPr>
        <w:t xml:space="preserve">All other rights are reserved.  </w:t>
      </w:r>
    </w:p>
    <w:p w:rsidR="001E6FB8" w:rsidRPr="00EF3855" w:rsidRDefault="001E6FB8" w:rsidP="001E6FB8">
      <w:pPr>
        <w:pStyle w:val="Copyright"/>
        <w:spacing w:line="240" w:lineRule="auto"/>
        <w:ind w:right="2511"/>
        <w:rPr>
          <w:rFonts w:cs="Arial"/>
          <w:color w:val="auto"/>
          <w:sz w:val="16"/>
          <w:szCs w:val="16"/>
        </w:rPr>
      </w:pPr>
    </w:p>
    <w:p w:rsidR="001E6FB8" w:rsidRPr="00EF3855" w:rsidRDefault="001E6FB8" w:rsidP="001E6FB8">
      <w:pPr>
        <w:pStyle w:val="Copyright"/>
        <w:spacing w:line="240" w:lineRule="auto"/>
        <w:rPr>
          <w:rFonts w:cs="Arial"/>
          <w:color w:val="auto"/>
          <w:sz w:val="16"/>
          <w:szCs w:val="16"/>
        </w:rPr>
      </w:pPr>
      <w:r w:rsidRPr="00EF3855">
        <w:rPr>
          <w:rFonts w:cs="Arial"/>
          <w:color w:val="auto"/>
          <w:sz w:val="16"/>
          <w:szCs w:val="16"/>
        </w:rPr>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rsidR="001E6FB8" w:rsidRPr="00EF3855" w:rsidRDefault="001E6FB8" w:rsidP="001E6FB8">
      <w:pPr>
        <w:pStyle w:val="Copyright"/>
        <w:spacing w:line="240" w:lineRule="auto"/>
        <w:rPr>
          <w:rFonts w:cs="Arial"/>
          <w:color w:val="auto"/>
          <w:sz w:val="16"/>
          <w:szCs w:val="16"/>
        </w:rPr>
      </w:pPr>
    </w:p>
    <w:p w:rsidR="001E6FB8" w:rsidRPr="00EF3855" w:rsidRDefault="001E6FB8" w:rsidP="001E6FB8">
      <w:pPr>
        <w:pStyle w:val="Copyright"/>
        <w:spacing w:after="80" w:line="240" w:lineRule="auto"/>
        <w:rPr>
          <w:rFonts w:cs="Arial"/>
          <w:color w:val="auto"/>
          <w:sz w:val="16"/>
          <w:szCs w:val="16"/>
        </w:rPr>
      </w:pPr>
      <w:r w:rsidRPr="00EF3855">
        <w:rPr>
          <w:rFonts w:cs="Arial"/>
          <w:color w:val="auto"/>
          <w:sz w:val="16"/>
          <w:szCs w:val="16"/>
        </w:rPr>
        <w:t>Written enquiries may be sent to:</w:t>
      </w:r>
    </w:p>
    <w:p w:rsidR="001E6FB8" w:rsidRPr="00EF3855" w:rsidRDefault="001E6FB8" w:rsidP="001E6FB8">
      <w:pPr>
        <w:pStyle w:val="Copyright"/>
        <w:spacing w:line="240" w:lineRule="auto"/>
        <w:rPr>
          <w:rFonts w:cs="Arial"/>
          <w:color w:val="auto"/>
          <w:sz w:val="16"/>
          <w:szCs w:val="16"/>
        </w:rPr>
      </w:pPr>
      <w:r w:rsidRPr="00EF3855">
        <w:rPr>
          <w:rFonts w:cs="Arial"/>
          <w:color w:val="auto"/>
          <w:sz w:val="16"/>
          <w:szCs w:val="16"/>
        </w:rPr>
        <w:t>Manager, Editorial and Design</w:t>
      </w:r>
    </w:p>
    <w:p w:rsidR="001E6FB8" w:rsidRPr="00EF3855" w:rsidRDefault="001E6FB8" w:rsidP="001E6FB8">
      <w:pPr>
        <w:pStyle w:val="Copyright"/>
        <w:spacing w:line="240" w:lineRule="auto"/>
        <w:rPr>
          <w:rFonts w:cs="Arial"/>
          <w:color w:val="auto"/>
          <w:sz w:val="16"/>
          <w:szCs w:val="16"/>
        </w:rPr>
      </w:pPr>
      <w:r w:rsidRPr="00EF3855">
        <w:rPr>
          <w:rFonts w:cs="Arial"/>
          <w:color w:val="auto"/>
          <w:sz w:val="16"/>
          <w:szCs w:val="16"/>
        </w:rPr>
        <w:t>PO Box 13112</w:t>
      </w:r>
    </w:p>
    <w:p w:rsidR="001E6FB8" w:rsidRPr="00EF3855" w:rsidRDefault="001E6FB8" w:rsidP="001E6FB8">
      <w:pPr>
        <w:pStyle w:val="Copyright"/>
        <w:spacing w:line="240" w:lineRule="auto"/>
        <w:rPr>
          <w:rFonts w:cs="Arial"/>
          <w:color w:val="auto"/>
          <w:sz w:val="16"/>
          <w:szCs w:val="16"/>
        </w:rPr>
      </w:pPr>
      <w:r w:rsidRPr="00EF3855">
        <w:rPr>
          <w:rFonts w:cs="Arial"/>
          <w:color w:val="auto"/>
          <w:sz w:val="16"/>
          <w:szCs w:val="16"/>
        </w:rPr>
        <w:t>Law Courts</w:t>
      </w:r>
    </w:p>
    <w:p w:rsidR="001E6FB8" w:rsidRPr="00EF3855" w:rsidRDefault="001E6FB8" w:rsidP="001E6FB8">
      <w:pPr>
        <w:pStyle w:val="Copyright"/>
        <w:spacing w:line="240" w:lineRule="auto"/>
        <w:rPr>
          <w:rFonts w:cs="Arial"/>
          <w:color w:val="auto"/>
          <w:sz w:val="16"/>
          <w:szCs w:val="16"/>
        </w:rPr>
      </w:pPr>
      <w:r w:rsidRPr="00EF3855">
        <w:rPr>
          <w:rFonts w:cs="Arial"/>
          <w:color w:val="auto"/>
          <w:sz w:val="16"/>
          <w:szCs w:val="16"/>
        </w:rPr>
        <w:t>Melbourne VIC 8010</w:t>
      </w:r>
    </w:p>
    <w:p w:rsidR="001E6FB8" w:rsidRPr="00EF3855" w:rsidRDefault="001E6FB8" w:rsidP="001E6FB8">
      <w:pPr>
        <w:pStyle w:val="Copyright"/>
        <w:spacing w:line="240" w:lineRule="auto"/>
        <w:rPr>
          <w:rFonts w:cs="Arial"/>
          <w:color w:val="auto"/>
          <w:sz w:val="16"/>
          <w:szCs w:val="16"/>
        </w:rPr>
      </w:pPr>
      <w:r w:rsidRPr="00EF3855">
        <w:rPr>
          <w:rFonts w:cs="Arial"/>
          <w:color w:val="auto"/>
          <w:sz w:val="16"/>
          <w:szCs w:val="16"/>
        </w:rPr>
        <w:t>Tel: 03 9963 6968</w:t>
      </w:r>
    </w:p>
    <w:p w:rsidR="001E6FB8" w:rsidRDefault="001E6FB8" w:rsidP="001E6FB8">
      <w:pPr>
        <w:spacing w:line="240" w:lineRule="auto"/>
        <w:rPr>
          <w:rFonts w:cs="Arial"/>
          <w:sz w:val="16"/>
          <w:szCs w:val="16"/>
        </w:rPr>
      </w:pPr>
      <w:r w:rsidRPr="00EF3855">
        <w:rPr>
          <w:rFonts w:cs="Arial"/>
          <w:sz w:val="16"/>
          <w:szCs w:val="16"/>
        </w:rPr>
        <w:t xml:space="preserve">Email: </w:t>
      </w:r>
      <w:hyperlink r:id="rId18" w:history="1">
        <w:r w:rsidR="0092638A" w:rsidRPr="00A43438">
          <w:rPr>
            <w:rStyle w:val="Hyperlink"/>
            <w:rFonts w:cs="Arial"/>
            <w:sz w:val="16"/>
            <w:szCs w:val="16"/>
          </w:rPr>
          <w:t>candinfo@acma.gov.au</w:t>
        </w:r>
      </w:hyperlink>
    </w:p>
    <w:p w:rsidR="0092638A" w:rsidRDefault="0092638A" w:rsidP="001E6FB8">
      <w:pPr>
        <w:spacing w:line="240" w:lineRule="auto"/>
        <w:rPr>
          <w:rFonts w:cs="Arial"/>
          <w:sz w:val="16"/>
          <w:szCs w:val="16"/>
        </w:rPr>
      </w:pPr>
    </w:p>
    <w:p w:rsidR="0092638A" w:rsidRDefault="0092638A" w:rsidP="001E6FB8">
      <w:pPr>
        <w:spacing w:line="240" w:lineRule="auto"/>
        <w:rPr>
          <w:sz w:val="16"/>
          <w:szCs w:val="16"/>
        </w:rPr>
        <w:sectPr w:rsidR="0092638A" w:rsidSect="00A74B5E">
          <w:headerReference w:type="even" r:id="rId19"/>
          <w:headerReference w:type="default" r:id="rId20"/>
          <w:footerReference w:type="even" r:id="rId21"/>
          <w:footerReference w:type="default" r:id="rId22"/>
          <w:endnotePr>
            <w:numFmt w:val="decimal"/>
            <w:numRestart w:val="eachSect"/>
          </w:endnotePr>
          <w:pgSz w:w="11906" w:h="16838" w:code="9"/>
          <w:pgMar w:top="3924" w:right="1797" w:bottom="697" w:left="1134" w:header="709" w:footer="119" w:gutter="0"/>
          <w:cols w:space="708"/>
          <w:docGrid w:linePitch="360"/>
        </w:sectPr>
      </w:pPr>
    </w:p>
    <w:p w:rsidR="0092638A" w:rsidRDefault="0092638A" w:rsidP="001E6FB8">
      <w:pPr>
        <w:spacing w:line="240" w:lineRule="auto"/>
        <w:rPr>
          <w:sz w:val="16"/>
          <w:szCs w:val="16"/>
        </w:rPr>
      </w:pPr>
      <w:r w:rsidRPr="0092638A">
        <w:rPr>
          <w:noProof/>
          <w:sz w:val="16"/>
          <w:szCs w:val="16"/>
        </w:rPr>
        <w:drawing>
          <wp:anchor distT="0" distB="0" distL="114300" distR="114300" simplePos="0" relativeHeight="251672576" behindDoc="0" locked="0" layoutInCell="1" allowOverlap="1">
            <wp:simplePos x="0" y="0"/>
            <wp:positionH relativeFrom="column">
              <wp:posOffset>122368</wp:posOffset>
            </wp:positionH>
            <wp:positionV relativeFrom="paragraph">
              <wp:posOffset>-461010</wp:posOffset>
            </wp:positionV>
            <wp:extent cx="5592109" cy="7967270"/>
            <wp:effectExtent l="57150" t="19050" r="117417" b="81915"/>
            <wp:wrapNone/>
            <wp:docPr id="15" name="Picture 3" descr="letter-final_for d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final_for dept.jpg"/>
                    <pic:cNvPicPr/>
                  </pic:nvPicPr>
                  <pic:blipFill>
                    <a:blip r:embed="rId23" cstate="print"/>
                    <a:stretch>
                      <a:fillRect/>
                    </a:stretch>
                  </pic:blipFill>
                  <pic:spPr>
                    <a:xfrm>
                      <a:off x="0" y="0"/>
                      <a:ext cx="5597583" cy="7957185"/>
                    </a:xfrm>
                    <a:prstGeom prst="rect">
                      <a:avLst/>
                    </a:prstGeom>
                    <a:ln w="3175">
                      <a:solidFill>
                        <a:schemeClr val="bg1">
                          <a:lumMod val="50000"/>
                        </a:schemeClr>
                      </a:solidFill>
                    </a:ln>
                    <a:effectLst>
                      <a:outerShdw blurRad="50800" dist="38100" dir="2700000" algn="tl" rotWithShape="0">
                        <a:schemeClr val="bg1">
                          <a:lumMod val="50000"/>
                          <a:alpha val="40000"/>
                        </a:schemeClr>
                      </a:outerShdw>
                    </a:effectLst>
                  </pic:spPr>
                </pic:pic>
              </a:graphicData>
            </a:graphic>
          </wp:anchor>
        </w:drawing>
      </w:r>
    </w:p>
    <w:p w:rsidR="0092638A" w:rsidRDefault="0092638A" w:rsidP="001E6FB8">
      <w:pPr>
        <w:spacing w:line="240" w:lineRule="auto"/>
        <w:rPr>
          <w:sz w:val="16"/>
          <w:szCs w:val="16"/>
        </w:rPr>
        <w:sectPr w:rsidR="0092638A" w:rsidSect="00A74B5E">
          <w:endnotePr>
            <w:numFmt w:val="decimal"/>
            <w:numRestart w:val="eachSect"/>
          </w:endnotePr>
          <w:pgSz w:w="11906" w:h="16838" w:code="9"/>
          <w:pgMar w:top="3924" w:right="1797" w:bottom="697" w:left="1134" w:header="709" w:footer="119" w:gutter="0"/>
          <w:cols w:space="708"/>
          <w:docGrid w:linePitch="360"/>
        </w:sectPr>
      </w:pPr>
    </w:p>
    <w:p w:rsidR="0092638A" w:rsidRDefault="0092638A" w:rsidP="001E6FB8">
      <w:pPr>
        <w:spacing w:line="240" w:lineRule="auto"/>
        <w:rPr>
          <w:sz w:val="16"/>
          <w:szCs w:val="16"/>
        </w:rPr>
      </w:pPr>
    </w:p>
    <w:p w:rsidR="0092638A" w:rsidRDefault="0092638A" w:rsidP="001E6FB8">
      <w:pPr>
        <w:spacing w:line="240" w:lineRule="auto"/>
        <w:rPr>
          <w:sz w:val="16"/>
          <w:szCs w:val="16"/>
        </w:rPr>
      </w:pPr>
    </w:p>
    <w:p w:rsidR="001E6FB8" w:rsidRPr="000D76E0" w:rsidRDefault="001E6FB8" w:rsidP="0041071D">
      <w:pPr>
        <w:spacing w:line="240" w:lineRule="auto"/>
        <w:rPr>
          <w:rFonts w:cs="Arial"/>
          <w:sz w:val="10"/>
          <w:szCs w:val="10"/>
        </w:rPr>
      </w:pPr>
    </w:p>
    <w:p w:rsidR="00FE1823" w:rsidRPr="000D76E0" w:rsidRDefault="00FE1823" w:rsidP="0041071D">
      <w:pPr>
        <w:rPr>
          <w:rFonts w:cs="Arial"/>
        </w:rPr>
        <w:sectPr w:rsidR="00FE1823" w:rsidRPr="000D76E0" w:rsidSect="00A74B5E">
          <w:endnotePr>
            <w:numFmt w:val="decimal"/>
            <w:numRestart w:val="eachSect"/>
          </w:endnotePr>
          <w:pgSz w:w="11906" w:h="16838" w:code="9"/>
          <w:pgMar w:top="3924" w:right="1797" w:bottom="697" w:left="1134" w:header="709" w:footer="119" w:gutter="0"/>
          <w:cols w:space="708"/>
          <w:docGrid w:linePitch="360"/>
        </w:sectPr>
      </w:pPr>
    </w:p>
    <w:p w:rsidR="00D61006" w:rsidRPr="007935ED" w:rsidRDefault="00421002">
      <w:pPr>
        <w:pStyle w:val="TOC9"/>
        <w:rPr>
          <w:rFonts w:asciiTheme="minorHAnsi" w:eastAsiaTheme="minorEastAsia" w:hAnsiTheme="minorHAnsi" w:cstheme="minorBidi"/>
          <w:b w:val="0"/>
          <w:color w:val="0070C0"/>
          <w:sz w:val="22"/>
          <w:szCs w:val="22"/>
        </w:rPr>
      </w:pPr>
      <w:r w:rsidRPr="00421002">
        <w:rPr>
          <w:rFonts w:cs="Arial"/>
        </w:rPr>
        <w:fldChar w:fldCharType="begin"/>
      </w:r>
      <w:r w:rsidR="00777BA2" w:rsidRPr="000D76E0">
        <w:rPr>
          <w:rFonts w:cs="Arial"/>
        </w:rPr>
        <w:instrText xml:space="preserve"> TOC \o "1-3</w:instrText>
      </w:r>
      <w:r w:rsidR="00262128" w:rsidRPr="000D76E0">
        <w:rPr>
          <w:rFonts w:cs="Arial"/>
        </w:rPr>
        <w:instrText>" \t "Exec Summary H</w:instrText>
      </w:r>
      <w:r w:rsidR="00777BA2" w:rsidRPr="000D76E0">
        <w:rPr>
          <w:rFonts w:cs="Arial"/>
        </w:rPr>
        <w:instrText>eading,</w:instrText>
      </w:r>
      <w:r w:rsidR="00D6507F" w:rsidRPr="000D76E0">
        <w:rPr>
          <w:rFonts w:cs="Arial"/>
        </w:rPr>
        <w:instrText>9</w:instrText>
      </w:r>
      <w:r w:rsidR="00262128" w:rsidRPr="000D76E0">
        <w:rPr>
          <w:rFonts w:cs="Arial"/>
        </w:rPr>
        <w:instrText xml:space="preserve">" </w:instrText>
      </w:r>
      <w:r w:rsidRPr="00421002">
        <w:rPr>
          <w:rFonts w:cs="Arial"/>
        </w:rPr>
        <w:fldChar w:fldCharType="separate"/>
      </w:r>
      <w:r w:rsidR="00D61006" w:rsidRPr="007935ED">
        <w:rPr>
          <w:color w:val="0070C0"/>
        </w:rPr>
        <w:t>Chairman’s foreword</w:t>
      </w:r>
      <w:r w:rsidR="00D61006" w:rsidRPr="007935ED">
        <w:rPr>
          <w:color w:val="0070C0"/>
        </w:rPr>
        <w:tab/>
      </w:r>
      <w:r w:rsidRPr="007935ED">
        <w:rPr>
          <w:color w:val="0070C0"/>
        </w:rPr>
        <w:fldChar w:fldCharType="begin"/>
      </w:r>
      <w:r w:rsidR="00D61006" w:rsidRPr="007935ED">
        <w:rPr>
          <w:color w:val="0070C0"/>
        </w:rPr>
        <w:instrText xml:space="preserve"> PAGEREF _Toc373149013 \h </w:instrText>
      </w:r>
      <w:r w:rsidRPr="007935ED">
        <w:rPr>
          <w:color w:val="0070C0"/>
        </w:rPr>
      </w:r>
      <w:r w:rsidRPr="007935ED">
        <w:rPr>
          <w:color w:val="0070C0"/>
        </w:rPr>
        <w:fldChar w:fldCharType="separate"/>
      </w:r>
      <w:r w:rsidR="00D61006" w:rsidRPr="007935ED">
        <w:rPr>
          <w:color w:val="0070C0"/>
        </w:rPr>
        <w:t>1</w:t>
      </w:r>
      <w:r w:rsidRPr="007935ED">
        <w:rPr>
          <w:color w:val="0070C0"/>
        </w:rPr>
        <w:fldChar w:fldCharType="end"/>
      </w:r>
    </w:p>
    <w:p w:rsidR="00D61006" w:rsidRPr="007935ED" w:rsidRDefault="007935ED">
      <w:pPr>
        <w:pStyle w:val="TOC1"/>
        <w:rPr>
          <w:rFonts w:asciiTheme="minorHAnsi" w:eastAsiaTheme="minorEastAsia" w:hAnsiTheme="minorHAnsi" w:cstheme="minorBidi"/>
          <w:b w:val="0"/>
          <w:color w:val="0070C0"/>
          <w:spacing w:val="0"/>
          <w:sz w:val="22"/>
          <w:szCs w:val="22"/>
        </w:rPr>
      </w:pPr>
      <w:r w:rsidRPr="007935ED">
        <w:rPr>
          <w:color w:val="0070C0"/>
        </w:rPr>
        <w:t xml:space="preserve">Introduction </w:t>
      </w:r>
      <w:r w:rsidR="00D61006" w:rsidRPr="007935ED">
        <w:rPr>
          <w:color w:val="0070C0"/>
        </w:rPr>
        <w:t>and executive summary</w:t>
      </w:r>
      <w:r w:rsidR="00D61006" w:rsidRPr="007935ED">
        <w:rPr>
          <w:color w:val="0070C0"/>
        </w:rPr>
        <w:tab/>
      </w:r>
      <w:r w:rsidR="00421002" w:rsidRPr="007935ED">
        <w:rPr>
          <w:color w:val="0070C0"/>
        </w:rPr>
        <w:fldChar w:fldCharType="begin"/>
      </w:r>
      <w:r w:rsidR="00D61006" w:rsidRPr="007935ED">
        <w:rPr>
          <w:color w:val="0070C0"/>
        </w:rPr>
        <w:instrText xml:space="preserve"> PAGEREF _Toc373149014 \h </w:instrText>
      </w:r>
      <w:r w:rsidR="00421002" w:rsidRPr="007935ED">
        <w:rPr>
          <w:color w:val="0070C0"/>
        </w:rPr>
      </w:r>
      <w:r w:rsidR="00421002" w:rsidRPr="007935ED">
        <w:rPr>
          <w:color w:val="0070C0"/>
        </w:rPr>
        <w:fldChar w:fldCharType="separate"/>
      </w:r>
      <w:r w:rsidR="00D61006" w:rsidRPr="007935ED">
        <w:rPr>
          <w:color w:val="0070C0"/>
        </w:rPr>
        <w:t>2</w:t>
      </w:r>
      <w:r w:rsidR="00421002" w:rsidRPr="007935ED">
        <w:rPr>
          <w:color w:val="0070C0"/>
        </w:rPr>
        <w:fldChar w:fldCharType="end"/>
      </w:r>
    </w:p>
    <w:p w:rsidR="00D61006" w:rsidRPr="00D61006" w:rsidRDefault="00D61006" w:rsidP="007935ED">
      <w:pPr>
        <w:pStyle w:val="TOC2"/>
        <w:spacing w:before="40"/>
        <w:rPr>
          <w:rFonts w:asciiTheme="minorHAnsi" w:eastAsiaTheme="minorEastAsia" w:hAnsiTheme="minorHAnsi" w:cstheme="minorBidi"/>
          <w:b/>
          <w:color w:val="auto"/>
          <w:spacing w:val="0"/>
          <w:sz w:val="22"/>
          <w:szCs w:val="22"/>
        </w:rPr>
      </w:pPr>
      <w:r w:rsidRPr="00D61006">
        <w:rPr>
          <w:b/>
          <w:sz w:val="22"/>
          <w:szCs w:val="22"/>
        </w:rPr>
        <w:t>Introduction</w:t>
      </w:r>
      <w:r w:rsidRPr="00D61006">
        <w:rPr>
          <w:b/>
          <w:sz w:val="22"/>
          <w:szCs w:val="22"/>
        </w:rPr>
        <w:tab/>
      </w:r>
      <w:r w:rsidR="00421002" w:rsidRPr="00D61006">
        <w:rPr>
          <w:b/>
          <w:sz w:val="22"/>
          <w:szCs w:val="22"/>
        </w:rPr>
        <w:fldChar w:fldCharType="begin"/>
      </w:r>
      <w:r w:rsidRPr="00D61006">
        <w:rPr>
          <w:b/>
          <w:sz w:val="22"/>
          <w:szCs w:val="22"/>
        </w:rPr>
        <w:instrText xml:space="preserve"> PAGEREF _Toc373149015 \h </w:instrText>
      </w:r>
      <w:r w:rsidR="00421002" w:rsidRPr="00D61006">
        <w:rPr>
          <w:b/>
          <w:sz w:val="22"/>
          <w:szCs w:val="22"/>
        </w:rPr>
      </w:r>
      <w:r w:rsidR="00421002" w:rsidRPr="00D61006">
        <w:rPr>
          <w:b/>
          <w:sz w:val="22"/>
          <w:szCs w:val="22"/>
        </w:rPr>
        <w:fldChar w:fldCharType="separate"/>
      </w:r>
      <w:r w:rsidRPr="00D61006">
        <w:rPr>
          <w:b/>
          <w:sz w:val="22"/>
          <w:szCs w:val="22"/>
        </w:rPr>
        <w:t>2</w:t>
      </w:r>
      <w:r w:rsidR="00421002" w:rsidRPr="00D61006">
        <w:rPr>
          <w:b/>
          <w:sz w:val="22"/>
          <w:szCs w:val="22"/>
        </w:rPr>
        <w:fldChar w:fldCharType="end"/>
      </w:r>
    </w:p>
    <w:p w:rsidR="00D61006" w:rsidRPr="00D61006" w:rsidRDefault="00D61006">
      <w:pPr>
        <w:pStyle w:val="TOC3"/>
        <w:rPr>
          <w:rFonts w:asciiTheme="minorHAnsi" w:eastAsiaTheme="minorEastAsia" w:hAnsiTheme="minorHAnsi" w:cstheme="minorBidi"/>
          <w:color w:val="auto"/>
        </w:rPr>
      </w:pPr>
      <w:r w:rsidRPr="00D61006">
        <w:t>Legislative basis</w:t>
      </w:r>
      <w:r w:rsidRPr="00D61006">
        <w:tab/>
      </w:r>
      <w:r w:rsidR="00421002" w:rsidRPr="00D61006">
        <w:fldChar w:fldCharType="begin"/>
      </w:r>
      <w:r w:rsidRPr="00D61006">
        <w:instrText xml:space="preserve"> PAGEREF _Toc373149016 \h </w:instrText>
      </w:r>
      <w:r w:rsidR="00421002" w:rsidRPr="00D61006">
        <w:fldChar w:fldCharType="separate"/>
      </w:r>
      <w:r w:rsidRPr="00D61006">
        <w:t>2</w:t>
      </w:r>
      <w:r w:rsidR="00421002" w:rsidRPr="00D61006">
        <w:fldChar w:fldCharType="end"/>
      </w:r>
    </w:p>
    <w:p w:rsidR="00D61006" w:rsidRPr="00D61006" w:rsidRDefault="00D61006">
      <w:pPr>
        <w:pStyle w:val="TOC3"/>
        <w:rPr>
          <w:rFonts w:asciiTheme="minorHAnsi" w:eastAsiaTheme="minorEastAsia" w:hAnsiTheme="minorHAnsi" w:cstheme="minorBidi"/>
          <w:color w:val="auto"/>
        </w:rPr>
      </w:pPr>
      <w:r w:rsidRPr="00D61006">
        <w:t>Scope and structure</w:t>
      </w:r>
      <w:r w:rsidRPr="00D61006">
        <w:tab/>
      </w:r>
      <w:r w:rsidR="00421002" w:rsidRPr="00D61006">
        <w:fldChar w:fldCharType="begin"/>
      </w:r>
      <w:r w:rsidRPr="00D61006">
        <w:instrText xml:space="preserve"> PAGEREF _Toc373149017 \h </w:instrText>
      </w:r>
      <w:r w:rsidR="00421002" w:rsidRPr="00D61006">
        <w:fldChar w:fldCharType="separate"/>
      </w:r>
      <w:r w:rsidRPr="00D61006">
        <w:t>2</w:t>
      </w:r>
      <w:r w:rsidR="00421002" w:rsidRPr="00D61006">
        <w:fldChar w:fldCharType="end"/>
      </w:r>
    </w:p>
    <w:p w:rsidR="00D61006" w:rsidRPr="00D61006" w:rsidRDefault="00D61006" w:rsidP="007935ED">
      <w:pPr>
        <w:pStyle w:val="TOC2"/>
        <w:spacing w:before="40"/>
        <w:rPr>
          <w:b/>
          <w:sz w:val="22"/>
          <w:szCs w:val="22"/>
        </w:rPr>
      </w:pPr>
      <w:r w:rsidRPr="00D61006">
        <w:rPr>
          <w:b/>
          <w:sz w:val="22"/>
          <w:szCs w:val="22"/>
        </w:rPr>
        <w:t>Executive summary</w:t>
      </w:r>
      <w:r w:rsidRPr="00D61006">
        <w:rPr>
          <w:b/>
          <w:sz w:val="22"/>
          <w:szCs w:val="22"/>
        </w:rPr>
        <w:tab/>
      </w:r>
      <w:r w:rsidR="00421002" w:rsidRPr="00D61006">
        <w:rPr>
          <w:b/>
          <w:sz w:val="22"/>
          <w:szCs w:val="22"/>
        </w:rPr>
        <w:fldChar w:fldCharType="begin"/>
      </w:r>
      <w:r w:rsidRPr="00D61006">
        <w:rPr>
          <w:b/>
          <w:sz w:val="22"/>
          <w:szCs w:val="22"/>
        </w:rPr>
        <w:instrText xml:space="preserve"> PAGEREF _Toc373149018 \h </w:instrText>
      </w:r>
      <w:r w:rsidR="00421002" w:rsidRPr="00D61006">
        <w:rPr>
          <w:b/>
          <w:sz w:val="22"/>
          <w:szCs w:val="22"/>
        </w:rPr>
      </w:r>
      <w:r w:rsidR="00421002" w:rsidRPr="00D61006">
        <w:rPr>
          <w:b/>
          <w:sz w:val="22"/>
          <w:szCs w:val="22"/>
        </w:rPr>
        <w:fldChar w:fldCharType="separate"/>
      </w:r>
      <w:r w:rsidRPr="00D61006">
        <w:rPr>
          <w:b/>
          <w:sz w:val="22"/>
          <w:szCs w:val="22"/>
        </w:rPr>
        <w:t>3</w:t>
      </w:r>
      <w:r w:rsidR="00421002" w:rsidRPr="00D61006">
        <w:rPr>
          <w:b/>
          <w:sz w:val="22"/>
          <w:szCs w:val="22"/>
        </w:rPr>
        <w:fldChar w:fldCharType="end"/>
      </w:r>
    </w:p>
    <w:p w:rsidR="00D61006" w:rsidRPr="00D61006" w:rsidRDefault="00D61006">
      <w:pPr>
        <w:pStyle w:val="TOC3"/>
        <w:rPr>
          <w:rFonts w:asciiTheme="minorHAnsi" w:eastAsiaTheme="minorEastAsia" w:hAnsiTheme="minorHAnsi" w:cstheme="minorBidi"/>
          <w:color w:val="auto"/>
        </w:rPr>
      </w:pPr>
      <w:r w:rsidRPr="00D61006">
        <w:t>Key trends</w:t>
      </w:r>
      <w:r w:rsidRPr="00D61006">
        <w:tab/>
      </w:r>
      <w:r w:rsidR="00421002" w:rsidRPr="00D61006">
        <w:fldChar w:fldCharType="begin"/>
      </w:r>
      <w:r w:rsidRPr="00D61006">
        <w:instrText xml:space="preserve"> PAGEREF _Toc373149019 \h </w:instrText>
      </w:r>
      <w:r w:rsidR="00421002" w:rsidRPr="00D61006">
        <w:fldChar w:fldCharType="separate"/>
      </w:r>
      <w:r w:rsidRPr="00D61006">
        <w:t>3</w:t>
      </w:r>
      <w:r w:rsidR="00421002" w:rsidRPr="00D61006">
        <w:fldChar w:fldCharType="end"/>
      </w:r>
    </w:p>
    <w:p w:rsidR="00D61006" w:rsidRPr="00D61006" w:rsidRDefault="00D61006">
      <w:pPr>
        <w:pStyle w:val="TOC3"/>
        <w:rPr>
          <w:rFonts w:asciiTheme="minorHAnsi" w:eastAsiaTheme="minorEastAsia" w:hAnsiTheme="minorHAnsi" w:cstheme="minorBidi"/>
          <w:color w:val="auto"/>
        </w:rPr>
      </w:pPr>
      <w:r w:rsidRPr="00D61006">
        <w:t>Consumer benefits from participation in the digital economy</w:t>
      </w:r>
      <w:r w:rsidRPr="00D61006">
        <w:tab/>
      </w:r>
      <w:r w:rsidR="00421002" w:rsidRPr="00D61006">
        <w:fldChar w:fldCharType="begin"/>
      </w:r>
      <w:r w:rsidRPr="00D61006">
        <w:instrText xml:space="preserve"> PAGEREF _Toc373149020 \h </w:instrText>
      </w:r>
      <w:r w:rsidR="00421002" w:rsidRPr="00D61006">
        <w:fldChar w:fldCharType="separate"/>
      </w:r>
      <w:r w:rsidRPr="00D61006">
        <w:t>3</w:t>
      </w:r>
      <w:r w:rsidR="00421002" w:rsidRPr="00D61006">
        <w:fldChar w:fldCharType="end"/>
      </w:r>
    </w:p>
    <w:p w:rsidR="00D61006" w:rsidRPr="00D61006" w:rsidRDefault="00D61006">
      <w:pPr>
        <w:pStyle w:val="TOC3"/>
        <w:rPr>
          <w:rFonts w:asciiTheme="minorHAnsi" w:eastAsiaTheme="minorEastAsia" w:hAnsiTheme="minorHAnsi" w:cstheme="minorBidi"/>
          <w:color w:val="auto"/>
        </w:rPr>
      </w:pPr>
      <w:r w:rsidRPr="00D61006">
        <w:t>The communications and media market</w:t>
      </w:r>
      <w:r w:rsidRPr="00D61006">
        <w:tab/>
      </w:r>
      <w:r w:rsidR="00421002" w:rsidRPr="00D61006">
        <w:fldChar w:fldCharType="begin"/>
      </w:r>
      <w:r w:rsidRPr="00D61006">
        <w:instrText xml:space="preserve"> PAGEREF _Toc373149021 \h </w:instrText>
      </w:r>
      <w:r w:rsidR="00421002" w:rsidRPr="00D61006">
        <w:fldChar w:fldCharType="separate"/>
      </w:r>
      <w:r w:rsidRPr="00D61006">
        <w:t>4</w:t>
      </w:r>
      <w:r w:rsidR="00421002" w:rsidRPr="00D61006">
        <w:fldChar w:fldCharType="end"/>
      </w:r>
    </w:p>
    <w:p w:rsidR="00D61006" w:rsidRPr="00D61006" w:rsidRDefault="00D61006">
      <w:pPr>
        <w:pStyle w:val="TOC3"/>
        <w:rPr>
          <w:rFonts w:asciiTheme="minorHAnsi" w:eastAsiaTheme="minorEastAsia" w:hAnsiTheme="minorHAnsi" w:cstheme="minorBidi"/>
          <w:color w:val="auto"/>
        </w:rPr>
      </w:pPr>
      <w:r w:rsidRPr="00D61006">
        <w:t>National interest issues</w:t>
      </w:r>
      <w:r w:rsidRPr="00D61006">
        <w:tab/>
      </w:r>
      <w:r w:rsidR="00421002" w:rsidRPr="00D61006">
        <w:fldChar w:fldCharType="begin"/>
      </w:r>
      <w:r w:rsidRPr="00D61006">
        <w:instrText xml:space="preserve"> PAGEREF _Toc373149022 \h </w:instrText>
      </w:r>
      <w:r w:rsidR="00421002" w:rsidRPr="00D61006">
        <w:fldChar w:fldCharType="separate"/>
      </w:r>
      <w:r w:rsidRPr="00D61006">
        <w:t>5</w:t>
      </w:r>
      <w:r w:rsidR="00421002" w:rsidRPr="00D61006">
        <w:fldChar w:fldCharType="end"/>
      </w:r>
    </w:p>
    <w:p w:rsidR="00D61006" w:rsidRPr="00D61006" w:rsidRDefault="00D61006">
      <w:pPr>
        <w:pStyle w:val="TOC3"/>
        <w:rPr>
          <w:rFonts w:asciiTheme="minorHAnsi" w:eastAsiaTheme="minorEastAsia" w:hAnsiTheme="minorHAnsi" w:cstheme="minorBidi"/>
          <w:color w:val="auto"/>
        </w:rPr>
      </w:pPr>
      <w:r w:rsidRPr="00D61006">
        <w:t>Telecommunications consumer safeguards and quality of service</w:t>
      </w:r>
      <w:r w:rsidRPr="00D61006">
        <w:tab/>
      </w:r>
      <w:r w:rsidR="00421002" w:rsidRPr="00D61006">
        <w:fldChar w:fldCharType="begin"/>
      </w:r>
      <w:r w:rsidRPr="00D61006">
        <w:instrText xml:space="preserve"> PAGEREF _Toc373149023 \h </w:instrText>
      </w:r>
      <w:r w:rsidR="00421002" w:rsidRPr="00D61006">
        <w:fldChar w:fldCharType="separate"/>
      </w:r>
      <w:r w:rsidRPr="00D61006">
        <w:t>6</w:t>
      </w:r>
      <w:r w:rsidR="00421002" w:rsidRPr="00D61006">
        <w:fldChar w:fldCharType="end"/>
      </w:r>
    </w:p>
    <w:p w:rsidR="00D61006" w:rsidRPr="00D61006" w:rsidRDefault="00D61006">
      <w:pPr>
        <w:pStyle w:val="TOC3"/>
        <w:rPr>
          <w:rFonts w:asciiTheme="minorHAnsi" w:eastAsiaTheme="minorEastAsia" w:hAnsiTheme="minorHAnsi" w:cstheme="minorBidi"/>
          <w:color w:val="auto"/>
        </w:rPr>
      </w:pPr>
      <w:r w:rsidRPr="00D61006">
        <w:t>Broadcasting industry performance</w:t>
      </w:r>
      <w:r w:rsidRPr="00D61006">
        <w:tab/>
      </w:r>
      <w:r w:rsidR="00421002" w:rsidRPr="00D61006">
        <w:fldChar w:fldCharType="begin"/>
      </w:r>
      <w:r w:rsidRPr="00D61006">
        <w:instrText xml:space="preserve"> PAGEREF _Toc373149024 \h </w:instrText>
      </w:r>
      <w:r w:rsidR="00421002" w:rsidRPr="00D61006">
        <w:fldChar w:fldCharType="separate"/>
      </w:r>
      <w:r w:rsidRPr="00D61006">
        <w:t>6</w:t>
      </w:r>
      <w:r w:rsidR="00421002" w:rsidRPr="00D61006">
        <w:fldChar w:fldCharType="end"/>
      </w:r>
    </w:p>
    <w:p w:rsidR="00D61006" w:rsidRPr="00D61006" w:rsidRDefault="00D61006">
      <w:pPr>
        <w:pStyle w:val="TOC3"/>
        <w:rPr>
          <w:rFonts w:asciiTheme="minorHAnsi" w:eastAsiaTheme="minorEastAsia" w:hAnsiTheme="minorHAnsi" w:cstheme="minorBidi"/>
          <w:color w:val="auto"/>
        </w:rPr>
      </w:pPr>
      <w:r w:rsidRPr="00D61006">
        <w:t>Complementary reporting program</w:t>
      </w:r>
      <w:r w:rsidRPr="00D61006">
        <w:tab/>
      </w:r>
      <w:r w:rsidR="00421002" w:rsidRPr="00D61006">
        <w:fldChar w:fldCharType="begin"/>
      </w:r>
      <w:r w:rsidRPr="00D61006">
        <w:instrText xml:space="preserve"> PAGEREF _Toc373149025 \h </w:instrText>
      </w:r>
      <w:r w:rsidR="00421002" w:rsidRPr="00D61006">
        <w:fldChar w:fldCharType="separate"/>
      </w:r>
      <w:r w:rsidRPr="00D61006">
        <w:t>7</w:t>
      </w:r>
      <w:r w:rsidR="00421002" w:rsidRPr="00D61006">
        <w:fldChar w:fldCharType="end"/>
      </w:r>
    </w:p>
    <w:p w:rsidR="00D61006" w:rsidRPr="00D61006" w:rsidRDefault="00D61006">
      <w:pPr>
        <w:pStyle w:val="TOC3"/>
        <w:rPr>
          <w:rFonts w:asciiTheme="minorHAnsi" w:eastAsiaTheme="minorEastAsia" w:hAnsiTheme="minorHAnsi" w:cstheme="minorBidi"/>
          <w:color w:val="auto"/>
        </w:rPr>
      </w:pPr>
      <w:r w:rsidRPr="00D61006">
        <w:t>ACMA research snapshots series</w:t>
      </w:r>
      <w:r w:rsidRPr="00D61006">
        <w:tab/>
      </w:r>
      <w:r w:rsidR="00421002" w:rsidRPr="00D61006">
        <w:fldChar w:fldCharType="begin"/>
      </w:r>
      <w:r w:rsidRPr="00D61006">
        <w:instrText xml:space="preserve"> PAGEREF _Toc373149026 \h </w:instrText>
      </w:r>
      <w:r w:rsidR="00421002" w:rsidRPr="00D61006">
        <w:fldChar w:fldCharType="separate"/>
      </w:r>
      <w:r w:rsidRPr="00D61006">
        <w:t>7</w:t>
      </w:r>
      <w:r w:rsidR="00421002" w:rsidRPr="00D61006">
        <w:fldChar w:fldCharType="end"/>
      </w:r>
    </w:p>
    <w:p w:rsidR="00D61006" w:rsidRPr="007935ED" w:rsidRDefault="00D61006">
      <w:pPr>
        <w:pStyle w:val="TOC1"/>
        <w:rPr>
          <w:rFonts w:asciiTheme="minorHAnsi" w:eastAsiaTheme="minorEastAsia" w:hAnsiTheme="minorHAnsi" w:cstheme="minorBidi"/>
          <w:b w:val="0"/>
          <w:color w:val="0070C0"/>
          <w:spacing w:val="0"/>
          <w:sz w:val="22"/>
          <w:szCs w:val="22"/>
        </w:rPr>
      </w:pPr>
      <w:r w:rsidRPr="007935ED">
        <w:rPr>
          <w:color w:val="0070C0"/>
        </w:rPr>
        <w:t>Key indicators—at a glance</w:t>
      </w:r>
      <w:r w:rsidRPr="007935ED">
        <w:rPr>
          <w:color w:val="0070C0"/>
        </w:rPr>
        <w:tab/>
      </w:r>
      <w:r w:rsidR="00421002" w:rsidRPr="007935ED">
        <w:rPr>
          <w:color w:val="0070C0"/>
        </w:rPr>
        <w:fldChar w:fldCharType="begin"/>
      </w:r>
      <w:r w:rsidRPr="007935ED">
        <w:rPr>
          <w:color w:val="0070C0"/>
        </w:rPr>
        <w:instrText xml:space="preserve"> PAGEREF _Toc373149027 \h </w:instrText>
      </w:r>
      <w:r w:rsidR="00421002" w:rsidRPr="007935ED">
        <w:rPr>
          <w:color w:val="0070C0"/>
        </w:rPr>
      </w:r>
      <w:r w:rsidR="00421002" w:rsidRPr="007935ED">
        <w:rPr>
          <w:color w:val="0070C0"/>
        </w:rPr>
        <w:fldChar w:fldCharType="separate"/>
      </w:r>
      <w:r w:rsidRPr="007935ED">
        <w:rPr>
          <w:color w:val="0070C0"/>
        </w:rPr>
        <w:t>8</w:t>
      </w:r>
      <w:r w:rsidR="00421002" w:rsidRPr="007935ED">
        <w:rPr>
          <w:color w:val="0070C0"/>
        </w:rPr>
        <w:fldChar w:fldCharType="end"/>
      </w:r>
    </w:p>
    <w:p w:rsidR="00D61006" w:rsidRPr="007935ED" w:rsidRDefault="00D61006" w:rsidP="007935ED">
      <w:pPr>
        <w:pStyle w:val="TOC2"/>
        <w:spacing w:before="40"/>
        <w:rPr>
          <w:b/>
          <w:sz w:val="22"/>
          <w:szCs w:val="22"/>
        </w:rPr>
      </w:pPr>
      <w:r w:rsidRPr="007935ED">
        <w:rPr>
          <w:b/>
          <w:sz w:val="22"/>
          <w:szCs w:val="22"/>
        </w:rPr>
        <w:t>Telecommunications services</w:t>
      </w:r>
      <w:r w:rsidRPr="007935ED">
        <w:rPr>
          <w:b/>
          <w:sz w:val="22"/>
          <w:szCs w:val="22"/>
        </w:rPr>
        <w:tab/>
      </w:r>
      <w:r w:rsidR="00421002" w:rsidRPr="007935ED">
        <w:rPr>
          <w:b/>
          <w:sz w:val="22"/>
          <w:szCs w:val="22"/>
        </w:rPr>
        <w:fldChar w:fldCharType="begin"/>
      </w:r>
      <w:r w:rsidRPr="007935ED">
        <w:rPr>
          <w:b/>
          <w:sz w:val="22"/>
          <w:szCs w:val="22"/>
        </w:rPr>
        <w:instrText xml:space="preserve"> PAGEREF _Toc373149028 \h </w:instrText>
      </w:r>
      <w:r w:rsidR="00421002" w:rsidRPr="007935ED">
        <w:rPr>
          <w:b/>
          <w:sz w:val="22"/>
          <w:szCs w:val="22"/>
        </w:rPr>
      </w:r>
      <w:r w:rsidR="00421002" w:rsidRPr="007935ED">
        <w:rPr>
          <w:b/>
          <w:sz w:val="22"/>
          <w:szCs w:val="22"/>
        </w:rPr>
        <w:fldChar w:fldCharType="separate"/>
      </w:r>
      <w:r w:rsidRPr="007935ED">
        <w:rPr>
          <w:b/>
          <w:sz w:val="22"/>
          <w:szCs w:val="22"/>
        </w:rPr>
        <w:t>8</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Digital economy</w:t>
      </w:r>
      <w:r w:rsidRPr="007935ED">
        <w:rPr>
          <w:b/>
          <w:sz w:val="22"/>
          <w:szCs w:val="22"/>
        </w:rPr>
        <w:tab/>
      </w:r>
      <w:r w:rsidR="00421002" w:rsidRPr="007935ED">
        <w:rPr>
          <w:b/>
          <w:sz w:val="22"/>
          <w:szCs w:val="22"/>
        </w:rPr>
        <w:fldChar w:fldCharType="begin"/>
      </w:r>
      <w:r w:rsidRPr="007935ED">
        <w:rPr>
          <w:b/>
          <w:sz w:val="22"/>
          <w:szCs w:val="22"/>
        </w:rPr>
        <w:instrText xml:space="preserve"> PAGEREF _Toc373149029 \h </w:instrText>
      </w:r>
      <w:r w:rsidR="00421002" w:rsidRPr="007935ED">
        <w:rPr>
          <w:b/>
          <w:sz w:val="22"/>
          <w:szCs w:val="22"/>
        </w:rPr>
      </w:r>
      <w:r w:rsidR="00421002" w:rsidRPr="007935ED">
        <w:rPr>
          <w:b/>
          <w:sz w:val="22"/>
          <w:szCs w:val="22"/>
        </w:rPr>
        <w:fldChar w:fldCharType="separate"/>
      </w:r>
      <w:r w:rsidRPr="007935ED">
        <w:rPr>
          <w:b/>
          <w:sz w:val="22"/>
          <w:szCs w:val="22"/>
        </w:rPr>
        <w:t>10</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Licensed services</w:t>
      </w:r>
      <w:r w:rsidRPr="007935ED">
        <w:rPr>
          <w:b/>
          <w:sz w:val="22"/>
          <w:szCs w:val="22"/>
        </w:rPr>
        <w:tab/>
      </w:r>
      <w:r w:rsidR="00421002" w:rsidRPr="007935ED">
        <w:rPr>
          <w:b/>
          <w:sz w:val="22"/>
          <w:szCs w:val="22"/>
        </w:rPr>
        <w:fldChar w:fldCharType="begin"/>
      </w:r>
      <w:r w:rsidRPr="007935ED">
        <w:rPr>
          <w:b/>
          <w:sz w:val="22"/>
          <w:szCs w:val="22"/>
        </w:rPr>
        <w:instrText xml:space="preserve"> PAGEREF _Toc373149030 \h </w:instrText>
      </w:r>
      <w:r w:rsidR="00421002" w:rsidRPr="007935ED">
        <w:rPr>
          <w:b/>
          <w:sz w:val="22"/>
          <w:szCs w:val="22"/>
        </w:rPr>
      </w:r>
      <w:r w:rsidR="00421002" w:rsidRPr="007935ED">
        <w:rPr>
          <w:b/>
          <w:sz w:val="22"/>
          <w:szCs w:val="22"/>
        </w:rPr>
        <w:fldChar w:fldCharType="separate"/>
      </w:r>
      <w:r w:rsidRPr="007935ED">
        <w:rPr>
          <w:b/>
          <w:sz w:val="22"/>
          <w:szCs w:val="22"/>
        </w:rPr>
        <w:t>13</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Number portability and allocations</w:t>
      </w:r>
      <w:r w:rsidRPr="007935ED">
        <w:rPr>
          <w:b/>
          <w:sz w:val="22"/>
          <w:szCs w:val="22"/>
        </w:rPr>
        <w:tab/>
      </w:r>
      <w:r w:rsidR="00421002" w:rsidRPr="007935ED">
        <w:rPr>
          <w:b/>
          <w:sz w:val="22"/>
          <w:szCs w:val="22"/>
        </w:rPr>
        <w:fldChar w:fldCharType="begin"/>
      </w:r>
      <w:r w:rsidRPr="007935ED">
        <w:rPr>
          <w:b/>
          <w:sz w:val="22"/>
          <w:szCs w:val="22"/>
        </w:rPr>
        <w:instrText xml:space="preserve"> PAGEREF _Toc373149031 \h </w:instrText>
      </w:r>
      <w:r w:rsidR="00421002" w:rsidRPr="007935ED">
        <w:rPr>
          <w:b/>
          <w:sz w:val="22"/>
          <w:szCs w:val="22"/>
        </w:rPr>
      </w:r>
      <w:r w:rsidR="00421002" w:rsidRPr="007935ED">
        <w:rPr>
          <w:b/>
          <w:sz w:val="22"/>
          <w:szCs w:val="22"/>
        </w:rPr>
        <w:fldChar w:fldCharType="separate"/>
      </w:r>
      <w:r w:rsidRPr="007935ED">
        <w:rPr>
          <w:b/>
          <w:sz w:val="22"/>
          <w:szCs w:val="22"/>
        </w:rPr>
        <w:t>14</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National interest matters</w:t>
      </w:r>
      <w:r w:rsidRPr="007935ED">
        <w:rPr>
          <w:b/>
          <w:sz w:val="22"/>
          <w:szCs w:val="22"/>
        </w:rPr>
        <w:tab/>
      </w:r>
      <w:r w:rsidR="00421002" w:rsidRPr="007935ED">
        <w:rPr>
          <w:b/>
          <w:sz w:val="22"/>
          <w:szCs w:val="22"/>
        </w:rPr>
        <w:fldChar w:fldCharType="begin"/>
      </w:r>
      <w:r w:rsidRPr="007935ED">
        <w:rPr>
          <w:b/>
          <w:sz w:val="22"/>
          <w:szCs w:val="22"/>
        </w:rPr>
        <w:instrText xml:space="preserve"> PAGEREF _Toc373149032 \h </w:instrText>
      </w:r>
      <w:r w:rsidR="00421002" w:rsidRPr="007935ED">
        <w:rPr>
          <w:b/>
          <w:sz w:val="22"/>
          <w:szCs w:val="22"/>
        </w:rPr>
      </w:r>
      <w:r w:rsidR="00421002" w:rsidRPr="007935ED">
        <w:rPr>
          <w:b/>
          <w:sz w:val="22"/>
          <w:szCs w:val="22"/>
        </w:rPr>
        <w:fldChar w:fldCharType="separate"/>
      </w:r>
      <w:r w:rsidRPr="007935ED">
        <w:rPr>
          <w:b/>
          <w:sz w:val="22"/>
          <w:szCs w:val="22"/>
        </w:rPr>
        <w:t>14</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Telecommunications and broadcasting service complaints and investigations</w:t>
      </w:r>
      <w:r w:rsidRPr="007935ED">
        <w:rPr>
          <w:b/>
          <w:sz w:val="22"/>
          <w:szCs w:val="22"/>
        </w:rPr>
        <w:tab/>
      </w:r>
      <w:r w:rsidR="00421002" w:rsidRPr="007935ED">
        <w:rPr>
          <w:b/>
          <w:sz w:val="22"/>
          <w:szCs w:val="22"/>
        </w:rPr>
        <w:fldChar w:fldCharType="begin"/>
      </w:r>
      <w:r w:rsidRPr="007935ED">
        <w:rPr>
          <w:b/>
          <w:sz w:val="22"/>
          <w:szCs w:val="22"/>
        </w:rPr>
        <w:instrText xml:space="preserve"> PAGEREF _Toc373149033 \h </w:instrText>
      </w:r>
      <w:r w:rsidR="00421002" w:rsidRPr="007935ED">
        <w:rPr>
          <w:b/>
          <w:sz w:val="22"/>
          <w:szCs w:val="22"/>
        </w:rPr>
      </w:r>
      <w:r w:rsidR="00421002" w:rsidRPr="007935ED">
        <w:rPr>
          <w:b/>
          <w:sz w:val="22"/>
          <w:szCs w:val="22"/>
        </w:rPr>
        <w:fldChar w:fldCharType="separate"/>
      </w:r>
      <w:r w:rsidRPr="007935ED">
        <w:rPr>
          <w:b/>
          <w:sz w:val="22"/>
          <w:szCs w:val="22"/>
        </w:rPr>
        <w:t>15</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Digital television</w:t>
      </w:r>
      <w:r w:rsidRPr="007935ED">
        <w:rPr>
          <w:b/>
          <w:sz w:val="22"/>
          <w:szCs w:val="22"/>
        </w:rPr>
        <w:tab/>
      </w:r>
      <w:r w:rsidR="00421002" w:rsidRPr="007935ED">
        <w:rPr>
          <w:b/>
          <w:sz w:val="22"/>
          <w:szCs w:val="22"/>
        </w:rPr>
        <w:fldChar w:fldCharType="begin"/>
      </w:r>
      <w:r w:rsidRPr="007935ED">
        <w:rPr>
          <w:b/>
          <w:sz w:val="22"/>
          <w:szCs w:val="22"/>
        </w:rPr>
        <w:instrText xml:space="preserve"> PAGEREF _Toc373149034 \h </w:instrText>
      </w:r>
      <w:r w:rsidR="00421002" w:rsidRPr="007935ED">
        <w:rPr>
          <w:b/>
          <w:sz w:val="22"/>
          <w:szCs w:val="22"/>
        </w:rPr>
      </w:r>
      <w:r w:rsidR="00421002" w:rsidRPr="007935ED">
        <w:rPr>
          <w:b/>
          <w:sz w:val="22"/>
          <w:szCs w:val="22"/>
        </w:rPr>
        <w:fldChar w:fldCharType="separate"/>
      </w:r>
      <w:r w:rsidRPr="007935ED">
        <w:rPr>
          <w:b/>
          <w:sz w:val="22"/>
          <w:szCs w:val="22"/>
        </w:rPr>
        <w:t>16</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Financial information</w:t>
      </w:r>
      <w:r w:rsidRPr="007935ED">
        <w:rPr>
          <w:b/>
          <w:sz w:val="22"/>
          <w:szCs w:val="22"/>
        </w:rPr>
        <w:tab/>
      </w:r>
      <w:r w:rsidR="00421002" w:rsidRPr="007935ED">
        <w:rPr>
          <w:b/>
          <w:sz w:val="22"/>
          <w:szCs w:val="22"/>
        </w:rPr>
        <w:fldChar w:fldCharType="begin"/>
      </w:r>
      <w:r w:rsidRPr="007935ED">
        <w:rPr>
          <w:b/>
          <w:sz w:val="22"/>
          <w:szCs w:val="22"/>
        </w:rPr>
        <w:instrText xml:space="preserve"> PAGEREF _Toc373149035 \h </w:instrText>
      </w:r>
      <w:r w:rsidR="00421002" w:rsidRPr="007935ED">
        <w:rPr>
          <w:b/>
          <w:sz w:val="22"/>
          <w:szCs w:val="22"/>
        </w:rPr>
      </w:r>
      <w:r w:rsidR="00421002" w:rsidRPr="007935ED">
        <w:rPr>
          <w:b/>
          <w:sz w:val="22"/>
          <w:szCs w:val="22"/>
        </w:rPr>
        <w:fldChar w:fldCharType="separate"/>
      </w:r>
      <w:r w:rsidRPr="007935ED">
        <w:rPr>
          <w:b/>
          <w:sz w:val="22"/>
          <w:szCs w:val="22"/>
        </w:rPr>
        <w:t>17</w:t>
      </w:r>
      <w:r w:rsidR="00421002" w:rsidRPr="007935ED">
        <w:rPr>
          <w:b/>
          <w:sz w:val="22"/>
          <w:szCs w:val="22"/>
        </w:rPr>
        <w:fldChar w:fldCharType="end"/>
      </w:r>
    </w:p>
    <w:p w:rsidR="00D61006" w:rsidRPr="007935ED" w:rsidRDefault="00D61006">
      <w:pPr>
        <w:pStyle w:val="TOC1"/>
        <w:rPr>
          <w:rFonts w:asciiTheme="minorHAnsi" w:eastAsiaTheme="minorEastAsia" w:hAnsiTheme="minorHAnsi" w:cstheme="minorBidi"/>
          <w:b w:val="0"/>
          <w:color w:val="0070C0"/>
          <w:spacing w:val="0"/>
          <w:sz w:val="22"/>
          <w:szCs w:val="22"/>
        </w:rPr>
      </w:pPr>
      <w:r w:rsidRPr="007935ED">
        <w:rPr>
          <w:color w:val="0070C0"/>
        </w:rPr>
        <w:t xml:space="preserve">Chapter 1 </w:t>
      </w:r>
      <w:r w:rsidR="007935ED" w:rsidRPr="007935ED">
        <w:rPr>
          <w:color w:val="0070C0"/>
        </w:rPr>
        <w:br/>
      </w:r>
      <w:r w:rsidRPr="007935ED">
        <w:rPr>
          <w:color w:val="0070C0"/>
        </w:rPr>
        <w:t>The Australian communications and media market</w:t>
      </w:r>
      <w:r w:rsidRPr="007935ED">
        <w:rPr>
          <w:color w:val="0070C0"/>
        </w:rPr>
        <w:tab/>
      </w:r>
      <w:r w:rsidR="00421002" w:rsidRPr="007935ED">
        <w:rPr>
          <w:color w:val="0070C0"/>
        </w:rPr>
        <w:fldChar w:fldCharType="begin"/>
      </w:r>
      <w:r w:rsidRPr="007935ED">
        <w:rPr>
          <w:color w:val="0070C0"/>
        </w:rPr>
        <w:instrText xml:space="preserve"> PAGEREF _Toc373149036 \h </w:instrText>
      </w:r>
      <w:r w:rsidR="00421002" w:rsidRPr="007935ED">
        <w:rPr>
          <w:color w:val="0070C0"/>
        </w:rPr>
      </w:r>
      <w:r w:rsidR="00421002" w:rsidRPr="007935ED">
        <w:rPr>
          <w:color w:val="0070C0"/>
        </w:rPr>
        <w:fldChar w:fldCharType="separate"/>
      </w:r>
      <w:r w:rsidRPr="007935ED">
        <w:rPr>
          <w:color w:val="0070C0"/>
        </w:rPr>
        <w:t>18</w:t>
      </w:r>
      <w:r w:rsidR="00421002" w:rsidRPr="007935ED">
        <w:rPr>
          <w:color w:val="0070C0"/>
        </w:rPr>
        <w:fldChar w:fldCharType="end"/>
      </w:r>
    </w:p>
    <w:p w:rsidR="00D61006" w:rsidRPr="007935ED" w:rsidRDefault="00D61006" w:rsidP="007935ED">
      <w:pPr>
        <w:pStyle w:val="TOC2"/>
        <w:spacing w:before="40"/>
        <w:rPr>
          <w:b/>
          <w:sz w:val="22"/>
          <w:szCs w:val="22"/>
        </w:rPr>
      </w:pPr>
      <w:r w:rsidRPr="007935ED">
        <w:rPr>
          <w:b/>
          <w:sz w:val="22"/>
          <w:szCs w:val="22"/>
        </w:rPr>
        <w:t>Overview</w:t>
      </w:r>
      <w:r w:rsidRPr="007935ED">
        <w:rPr>
          <w:b/>
          <w:sz w:val="22"/>
          <w:szCs w:val="22"/>
        </w:rPr>
        <w:tab/>
      </w:r>
      <w:r w:rsidR="007935ED">
        <w:rPr>
          <w:b/>
          <w:sz w:val="22"/>
          <w:szCs w:val="22"/>
        </w:rPr>
        <w:tab/>
      </w:r>
      <w:r w:rsidR="00421002" w:rsidRPr="007935ED">
        <w:rPr>
          <w:b/>
          <w:sz w:val="22"/>
          <w:szCs w:val="22"/>
        </w:rPr>
        <w:fldChar w:fldCharType="begin"/>
      </w:r>
      <w:r w:rsidRPr="007935ED">
        <w:rPr>
          <w:b/>
          <w:sz w:val="22"/>
          <w:szCs w:val="22"/>
        </w:rPr>
        <w:instrText xml:space="preserve"> PAGEREF _Toc373149037 \h </w:instrText>
      </w:r>
      <w:r w:rsidR="00421002" w:rsidRPr="007935ED">
        <w:rPr>
          <w:b/>
          <w:sz w:val="22"/>
          <w:szCs w:val="22"/>
        </w:rPr>
      </w:r>
      <w:r w:rsidR="00421002" w:rsidRPr="007935ED">
        <w:rPr>
          <w:b/>
          <w:sz w:val="22"/>
          <w:szCs w:val="22"/>
        </w:rPr>
        <w:fldChar w:fldCharType="separate"/>
      </w:r>
      <w:r w:rsidRPr="007935ED">
        <w:rPr>
          <w:b/>
          <w:sz w:val="22"/>
          <w:szCs w:val="22"/>
        </w:rPr>
        <w:t>18</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Fixed-line service availability</w:t>
      </w:r>
      <w:r w:rsidRPr="007935ED">
        <w:rPr>
          <w:b/>
          <w:sz w:val="22"/>
          <w:szCs w:val="22"/>
        </w:rPr>
        <w:tab/>
      </w:r>
      <w:r w:rsidR="00421002" w:rsidRPr="007935ED">
        <w:rPr>
          <w:b/>
          <w:sz w:val="22"/>
          <w:szCs w:val="22"/>
        </w:rPr>
        <w:fldChar w:fldCharType="begin"/>
      </w:r>
      <w:r w:rsidRPr="007935ED">
        <w:rPr>
          <w:b/>
          <w:sz w:val="22"/>
          <w:szCs w:val="22"/>
        </w:rPr>
        <w:instrText xml:space="preserve"> PAGEREF _Toc373149038 \h </w:instrText>
      </w:r>
      <w:r w:rsidR="00421002" w:rsidRPr="007935ED">
        <w:rPr>
          <w:b/>
          <w:sz w:val="22"/>
          <w:szCs w:val="22"/>
        </w:rPr>
      </w:r>
      <w:r w:rsidR="00421002" w:rsidRPr="007935ED">
        <w:rPr>
          <w:b/>
          <w:sz w:val="22"/>
          <w:szCs w:val="22"/>
        </w:rPr>
        <w:fldChar w:fldCharType="separate"/>
      </w:r>
      <w:r w:rsidRPr="007935ED">
        <w:rPr>
          <w:b/>
          <w:sz w:val="22"/>
          <w:szCs w:val="22"/>
        </w:rPr>
        <w:t>18</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Number of services in operation</w:t>
      </w:r>
      <w:r>
        <w:tab/>
      </w:r>
      <w:r w:rsidR="00421002">
        <w:fldChar w:fldCharType="begin"/>
      </w:r>
      <w:r>
        <w:instrText xml:space="preserve"> PAGEREF _Toc373149039 \h </w:instrText>
      </w:r>
      <w:r w:rsidR="00421002">
        <w:fldChar w:fldCharType="separate"/>
      </w:r>
      <w:r>
        <w:t>18</w:t>
      </w:r>
      <w:r w:rsidR="00421002">
        <w:fldChar w:fldCharType="end"/>
      </w:r>
    </w:p>
    <w:p w:rsidR="00D61006" w:rsidRDefault="00D61006">
      <w:pPr>
        <w:pStyle w:val="TOC3"/>
        <w:rPr>
          <w:rFonts w:asciiTheme="minorHAnsi" w:eastAsiaTheme="minorEastAsia" w:hAnsiTheme="minorHAnsi" w:cstheme="minorBidi"/>
          <w:color w:val="auto"/>
        </w:rPr>
      </w:pPr>
      <w:r>
        <w:t>The continued shift from fixed-line telephony</w:t>
      </w:r>
      <w:r>
        <w:tab/>
      </w:r>
      <w:r w:rsidR="00421002">
        <w:fldChar w:fldCharType="begin"/>
      </w:r>
      <w:r>
        <w:instrText xml:space="preserve"> PAGEREF _Toc373149040 \h </w:instrText>
      </w:r>
      <w:r w:rsidR="00421002">
        <w:fldChar w:fldCharType="separate"/>
      </w:r>
      <w:r>
        <w:t>19</w:t>
      </w:r>
      <w:r w:rsidR="00421002">
        <w:fldChar w:fldCharType="end"/>
      </w:r>
    </w:p>
    <w:p w:rsidR="00D61006" w:rsidRPr="007935ED" w:rsidRDefault="00D61006" w:rsidP="007935ED">
      <w:pPr>
        <w:pStyle w:val="TOC2"/>
        <w:spacing w:before="40"/>
        <w:rPr>
          <w:b/>
          <w:sz w:val="22"/>
          <w:szCs w:val="22"/>
        </w:rPr>
      </w:pPr>
      <w:r w:rsidRPr="007935ED">
        <w:rPr>
          <w:b/>
          <w:sz w:val="22"/>
          <w:szCs w:val="22"/>
        </w:rPr>
        <w:t>Mobile service availability</w:t>
      </w:r>
      <w:r w:rsidRPr="007935ED">
        <w:rPr>
          <w:b/>
          <w:sz w:val="22"/>
          <w:szCs w:val="22"/>
        </w:rPr>
        <w:tab/>
      </w:r>
      <w:r w:rsidR="00421002" w:rsidRPr="007935ED">
        <w:rPr>
          <w:b/>
          <w:sz w:val="22"/>
          <w:szCs w:val="22"/>
        </w:rPr>
        <w:fldChar w:fldCharType="begin"/>
      </w:r>
      <w:r w:rsidRPr="007935ED">
        <w:rPr>
          <w:b/>
          <w:sz w:val="22"/>
          <w:szCs w:val="22"/>
        </w:rPr>
        <w:instrText xml:space="preserve"> PAGEREF _Toc373149041 \h </w:instrText>
      </w:r>
      <w:r w:rsidR="00421002" w:rsidRPr="007935ED">
        <w:rPr>
          <w:b/>
          <w:sz w:val="22"/>
          <w:szCs w:val="22"/>
        </w:rPr>
      </w:r>
      <w:r w:rsidR="00421002" w:rsidRPr="007935ED">
        <w:rPr>
          <w:b/>
          <w:sz w:val="22"/>
          <w:szCs w:val="22"/>
        </w:rPr>
        <w:fldChar w:fldCharType="separate"/>
      </w:r>
      <w:r w:rsidRPr="007935ED">
        <w:rPr>
          <w:b/>
          <w:sz w:val="22"/>
          <w:szCs w:val="22"/>
        </w:rPr>
        <w:t>22</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Number of services in operation</w:t>
      </w:r>
      <w:r>
        <w:tab/>
      </w:r>
      <w:r w:rsidR="00421002">
        <w:fldChar w:fldCharType="begin"/>
      </w:r>
      <w:r>
        <w:instrText xml:space="preserve"> PAGEREF _Toc373149042 \h </w:instrText>
      </w:r>
      <w:r w:rsidR="00421002">
        <w:fldChar w:fldCharType="separate"/>
      </w:r>
      <w:r>
        <w:t>22</w:t>
      </w:r>
      <w:r w:rsidR="00421002">
        <w:fldChar w:fldCharType="end"/>
      </w:r>
    </w:p>
    <w:p w:rsidR="00D61006" w:rsidRDefault="00D61006">
      <w:pPr>
        <w:pStyle w:val="TOC3"/>
        <w:rPr>
          <w:rFonts w:asciiTheme="minorHAnsi" w:eastAsiaTheme="minorEastAsia" w:hAnsiTheme="minorHAnsi" w:cstheme="minorBidi"/>
          <w:color w:val="auto"/>
        </w:rPr>
      </w:pPr>
      <w:r>
        <w:t>Mobile-internet services</w:t>
      </w:r>
      <w:r>
        <w:tab/>
      </w:r>
      <w:r w:rsidR="00421002">
        <w:fldChar w:fldCharType="begin"/>
      </w:r>
      <w:r>
        <w:instrText xml:space="preserve"> PAGEREF _Toc373149043 \h </w:instrText>
      </w:r>
      <w:r w:rsidR="00421002">
        <w:fldChar w:fldCharType="separate"/>
      </w:r>
      <w:r>
        <w:t>24</w:t>
      </w:r>
      <w:r w:rsidR="00421002">
        <w:fldChar w:fldCharType="end"/>
      </w:r>
    </w:p>
    <w:p w:rsidR="00D61006" w:rsidRDefault="00D61006" w:rsidP="007935ED">
      <w:pPr>
        <w:pStyle w:val="TOC2"/>
        <w:spacing w:before="40"/>
        <w:rPr>
          <w:rFonts w:asciiTheme="minorHAnsi" w:eastAsiaTheme="minorEastAsia" w:hAnsiTheme="minorHAnsi" w:cstheme="minorBidi"/>
          <w:color w:val="auto"/>
          <w:spacing w:val="0"/>
          <w:sz w:val="22"/>
          <w:szCs w:val="22"/>
        </w:rPr>
      </w:pPr>
      <w:r w:rsidRPr="007935ED">
        <w:rPr>
          <w:b/>
          <w:sz w:val="22"/>
          <w:szCs w:val="22"/>
        </w:rPr>
        <w:t>Internet service availability</w:t>
      </w:r>
      <w:r w:rsidRPr="007935ED">
        <w:rPr>
          <w:b/>
          <w:sz w:val="22"/>
          <w:szCs w:val="22"/>
        </w:rPr>
        <w:tab/>
      </w:r>
      <w:r w:rsidR="00421002" w:rsidRPr="007935ED">
        <w:rPr>
          <w:b/>
          <w:sz w:val="22"/>
          <w:szCs w:val="22"/>
        </w:rPr>
        <w:fldChar w:fldCharType="begin"/>
      </w:r>
      <w:r w:rsidRPr="007935ED">
        <w:rPr>
          <w:b/>
          <w:sz w:val="22"/>
          <w:szCs w:val="22"/>
        </w:rPr>
        <w:instrText xml:space="preserve"> PAGEREF _Toc373149044 \h </w:instrText>
      </w:r>
      <w:r w:rsidR="00421002" w:rsidRPr="007935ED">
        <w:rPr>
          <w:b/>
          <w:sz w:val="22"/>
          <w:szCs w:val="22"/>
        </w:rPr>
      </w:r>
      <w:r w:rsidR="00421002" w:rsidRPr="007935ED">
        <w:rPr>
          <w:b/>
          <w:sz w:val="22"/>
          <w:szCs w:val="22"/>
        </w:rPr>
        <w:fldChar w:fldCharType="separate"/>
      </w:r>
      <w:r w:rsidRPr="007935ED">
        <w:rPr>
          <w:b/>
          <w:sz w:val="22"/>
          <w:szCs w:val="22"/>
        </w:rPr>
        <w:t>25</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Number of Internet Service Providers</w:t>
      </w:r>
      <w:r>
        <w:tab/>
      </w:r>
      <w:r w:rsidR="00421002">
        <w:fldChar w:fldCharType="begin"/>
      </w:r>
      <w:r>
        <w:instrText xml:space="preserve"> PAGEREF _Toc373149045 \h </w:instrText>
      </w:r>
      <w:r w:rsidR="00421002">
        <w:fldChar w:fldCharType="separate"/>
      </w:r>
      <w:r>
        <w:t>25</w:t>
      </w:r>
      <w:r w:rsidR="00421002">
        <w:fldChar w:fldCharType="end"/>
      </w:r>
    </w:p>
    <w:p w:rsidR="00D61006" w:rsidRDefault="00D61006">
      <w:pPr>
        <w:pStyle w:val="TOC3"/>
        <w:rPr>
          <w:rFonts w:asciiTheme="minorHAnsi" w:eastAsiaTheme="minorEastAsia" w:hAnsiTheme="minorHAnsi" w:cstheme="minorBidi"/>
          <w:color w:val="auto"/>
        </w:rPr>
      </w:pPr>
      <w:r>
        <w:t>Number of internet subscribers</w:t>
      </w:r>
      <w:r>
        <w:tab/>
      </w:r>
      <w:r w:rsidR="00421002">
        <w:fldChar w:fldCharType="begin"/>
      </w:r>
      <w:r>
        <w:instrText xml:space="preserve"> PAGEREF _Toc373149046 \h </w:instrText>
      </w:r>
      <w:r w:rsidR="00421002">
        <w:fldChar w:fldCharType="separate"/>
      </w:r>
      <w:r>
        <w:t>26</w:t>
      </w:r>
      <w:r w:rsidR="00421002">
        <w:fldChar w:fldCharType="end"/>
      </w:r>
    </w:p>
    <w:p w:rsidR="00D61006" w:rsidRDefault="00D61006">
      <w:pPr>
        <w:pStyle w:val="TOC3"/>
        <w:rPr>
          <w:rFonts w:asciiTheme="minorHAnsi" w:eastAsiaTheme="minorEastAsia" w:hAnsiTheme="minorHAnsi" w:cstheme="minorBidi"/>
          <w:color w:val="auto"/>
        </w:rPr>
      </w:pPr>
      <w:r>
        <w:t>Volume of data downloaded</w:t>
      </w:r>
      <w:r>
        <w:tab/>
      </w:r>
      <w:r w:rsidR="00421002">
        <w:fldChar w:fldCharType="begin"/>
      </w:r>
      <w:r>
        <w:instrText xml:space="preserve"> PAGEREF _Toc373149047 \h </w:instrText>
      </w:r>
      <w:r w:rsidR="00421002">
        <w:fldChar w:fldCharType="separate"/>
      </w:r>
      <w:r>
        <w:t>27</w:t>
      </w:r>
      <w:r w:rsidR="00421002">
        <w:fldChar w:fldCharType="end"/>
      </w:r>
    </w:p>
    <w:p w:rsidR="00D61006" w:rsidRDefault="00D61006">
      <w:pPr>
        <w:pStyle w:val="TOC3"/>
        <w:rPr>
          <w:rFonts w:asciiTheme="minorHAnsi" w:eastAsiaTheme="minorEastAsia" w:hAnsiTheme="minorHAnsi" w:cstheme="minorBidi"/>
          <w:color w:val="auto"/>
        </w:rPr>
      </w:pPr>
      <w:r>
        <w:t>Diversification of consumer internet access devices</w:t>
      </w:r>
      <w:r>
        <w:tab/>
      </w:r>
      <w:r w:rsidR="00421002">
        <w:fldChar w:fldCharType="begin"/>
      </w:r>
      <w:r>
        <w:instrText xml:space="preserve"> PAGEREF _Toc373149048 \h </w:instrText>
      </w:r>
      <w:r w:rsidR="00421002">
        <w:fldChar w:fldCharType="separate"/>
      </w:r>
      <w:r>
        <w:t>29</w:t>
      </w:r>
      <w:r w:rsidR="00421002">
        <w:fldChar w:fldCharType="end"/>
      </w:r>
    </w:p>
    <w:p w:rsidR="00D61006" w:rsidRDefault="00D61006">
      <w:pPr>
        <w:pStyle w:val="TOC3"/>
        <w:rPr>
          <w:rFonts w:asciiTheme="minorHAnsi" w:eastAsiaTheme="minorEastAsia" w:hAnsiTheme="minorHAnsi" w:cstheme="minorBidi"/>
          <w:color w:val="auto"/>
        </w:rPr>
      </w:pPr>
      <w:r>
        <w:t>Complementary use of internet access devices</w:t>
      </w:r>
      <w:r>
        <w:tab/>
      </w:r>
      <w:r w:rsidR="00421002">
        <w:fldChar w:fldCharType="begin"/>
      </w:r>
      <w:r>
        <w:instrText xml:space="preserve"> PAGEREF _Toc373149049 \h </w:instrText>
      </w:r>
      <w:r w:rsidR="00421002">
        <w:fldChar w:fldCharType="separate"/>
      </w:r>
      <w:r>
        <w:t>29</w:t>
      </w:r>
      <w:r w:rsidR="00421002">
        <w:fldChar w:fldCharType="end"/>
      </w:r>
    </w:p>
    <w:p w:rsidR="00D61006" w:rsidRDefault="00D61006">
      <w:pPr>
        <w:pStyle w:val="TOC3"/>
        <w:rPr>
          <w:rFonts w:asciiTheme="minorHAnsi" w:eastAsiaTheme="minorEastAsia" w:hAnsiTheme="minorHAnsi" w:cstheme="minorBidi"/>
          <w:color w:val="auto"/>
        </w:rPr>
      </w:pPr>
      <w:r>
        <w:t>Consumer expectations of internet services</w:t>
      </w:r>
      <w:r>
        <w:tab/>
      </w:r>
      <w:r w:rsidR="00421002">
        <w:fldChar w:fldCharType="begin"/>
      </w:r>
      <w:r>
        <w:instrText xml:space="preserve"> PAGEREF _Toc373149050 \h </w:instrText>
      </w:r>
      <w:r w:rsidR="00421002">
        <w:fldChar w:fldCharType="separate"/>
      </w:r>
      <w:r>
        <w:t>30</w:t>
      </w:r>
      <w:r w:rsidR="00421002">
        <w:fldChar w:fldCharType="end"/>
      </w:r>
    </w:p>
    <w:p w:rsidR="00D61006" w:rsidRDefault="00D61006">
      <w:pPr>
        <w:pStyle w:val="TOC3"/>
        <w:rPr>
          <w:rFonts w:asciiTheme="minorHAnsi" w:eastAsiaTheme="minorEastAsia" w:hAnsiTheme="minorHAnsi" w:cstheme="minorBidi"/>
          <w:color w:val="auto"/>
        </w:rPr>
      </w:pPr>
      <w:r>
        <w:t>National Broadband Network</w:t>
      </w:r>
      <w:r>
        <w:tab/>
      </w:r>
      <w:r w:rsidR="00421002">
        <w:fldChar w:fldCharType="begin"/>
      </w:r>
      <w:r>
        <w:instrText xml:space="preserve"> PAGEREF _Toc373149051 \h </w:instrText>
      </w:r>
      <w:r w:rsidR="00421002">
        <w:fldChar w:fldCharType="separate"/>
      </w:r>
      <w:r>
        <w:t>31</w:t>
      </w:r>
      <w:r w:rsidR="00421002">
        <w:fldChar w:fldCharType="end"/>
      </w:r>
    </w:p>
    <w:p w:rsidR="00D61006" w:rsidRDefault="00D61006">
      <w:pPr>
        <w:pStyle w:val="TOC3"/>
        <w:rPr>
          <w:rFonts w:asciiTheme="minorHAnsi" w:eastAsiaTheme="minorEastAsia" w:hAnsiTheme="minorHAnsi" w:cstheme="minorBidi"/>
          <w:color w:val="auto"/>
        </w:rPr>
      </w:pPr>
      <w:r>
        <w:t>NBN service providers</w:t>
      </w:r>
      <w:r>
        <w:tab/>
      </w:r>
      <w:r w:rsidR="00421002">
        <w:fldChar w:fldCharType="begin"/>
      </w:r>
      <w:r>
        <w:instrText xml:space="preserve"> PAGEREF _Toc373149052 \h </w:instrText>
      </w:r>
      <w:r w:rsidR="00421002">
        <w:fldChar w:fldCharType="separate"/>
      </w:r>
      <w:r>
        <w:t>33</w:t>
      </w:r>
      <w:r w:rsidR="00421002">
        <w:fldChar w:fldCharType="end"/>
      </w:r>
    </w:p>
    <w:p w:rsidR="00D61006" w:rsidRPr="007935ED" w:rsidRDefault="00D61006" w:rsidP="007935ED">
      <w:pPr>
        <w:pStyle w:val="TOC2"/>
        <w:spacing w:before="40"/>
        <w:rPr>
          <w:b/>
          <w:sz w:val="22"/>
          <w:szCs w:val="22"/>
        </w:rPr>
      </w:pPr>
      <w:r w:rsidRPr="007935ED">
        <w:rPr>
          <w:b/>
          <w:sz w:val="22"/>
          <w:szCs w:val="22"/>
        </w:rPr>
        <w:t>Carrier licensing</w:t>
      </w:r>
      <w:r w:rsidRPr="007935ED">
        <w:rPr>
          <w:b/>
          <w:sz w:val="22"/>
          <w:szCs w:val="22"/>
        </w:rPr>
        <w:tab/>
      </w:r>
      <w:r w:rsidR="00421002" w:rsidRPr="007935ED">
        <w:rPr>
          <w:b/>
          <w:sz w:val="22"/>
          <w:szCs w:val="22"/>
        </w:rPr>
        <w:fldChar w:fldCharType="begin"/>
      </w:r>
      <w:r w:rsidRPr="007935ED">
        <w:rPr>
          <w:b/>
          <w:sz w:val="22"/>
          <w:szCs w:val="22"/>
        </w:rPr>
        <w:instrText xml:space="preserve"> PAGEREF _Toc373149053 \h </w:instrText>
      </w:r>
      <w:r w:rsidR="00421002" w:rsidRPr="007935ED">
        <w:rPr>
          <w:b/>
          <w:sz w:val="22"/>
          <w:szCs w:val="22"/>
        </w:rPr>
      </w:r>
      <w:r w:rsidR="00421002" w:rsidRPr="007935ED">
        <w:rPr>
          <w:b/>
          <w:sz w:val="22"/>
          <w:szCs w:val="22"/>
        </w:rPr>
        <w:fldChar w:fldCharType="separate"/>
      </w:r>
      <w:r w:rsidRPr="007935ED">
        <w:rPr>
          <w:b/>
          <w:sz w:val="22"/>
          <w:szCs w:val="22"/>
        </w:rPr>
        <w:t>34</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Allocation of numbers</w:t>
      </w:r>
      <w:r w:rsidRPr="007935ED">
        <w:rPr>
          <w:b/>
          <w:sz w:val="22"/>
          <w:szCs w:val="22"/>
        </w:rPr>
        <w:tab/>
      </w:r>
      <w:r w:rsidR="00421002" w:rsidRPr="007935ED">
        <w:rPr>
          <w:b/>
          <w:sz w:val="22"/>
          <w:szCs w:val="22"/>
        </w:rPr>
        <w:fldChar w:fldCharType="begin"/>
      </w:r>
      <w:r w:rsidRPr="007935ED">
        <w:rPr>
          <w:b/>
          <w:sz w:val="22"/>
          <w:szCs w:val="22"/>
        </w:rPr>
        <w:instrText xml:space="preserve"> PAGEREF _Toc373149054 \h </w:instrText>
      </w:r>
      <w:r w:rsidR="00421002" w:rsidRPr="007935ED">
        <w:rPr>
          <w:b/>
          <w:sz w:val="22"/>
          <w:szCs w:val="22"/>
        </w:rPr>
      </w:r>
      <w:r w:rsidR="00421002" w:rsidRPr="007935ED">
        <w:rPr>
          <w:b/>
          <w:sz w:val="22"/>
          <w:szCs w:val="22"/>
        </w:rPr>
        <w:fldChar w:fldCharType="separate"/>
      </w:r>
      <w:r w:rsidRPr="007935ED">
        <w:rPr>
          <w:b/>
          <w:sz w:val="22"/>
          <w:szCs w:val="22"/>
        </w:rPr>
        <w:t>35</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Smartnumbers</w:t>
      </w:r>
      <w:r>
        <w:tab/>
      </w:r>
      <w:r w:rsidR="00421002">
        <w:fldChar w:fldCharType="begin"/>
      </w:r>
      <w:r>
        <w:instrText xml:space="preserve"> PAGEREF _Toc373149055 \h </w:instrText>
      </w:r>
      <w:r w:rsidR="00421002">
        <w:fldChar w:fldCharType="separate"/>
      </w:r>
      <w:r>
        <w:t>35</w:t>
      </w:r>
      <w:r w:rsidR="00421002">
        <w:fldChar w:fldCharType="end"/>
      </w:r>
    </w:p>
    <w:p w:rsidR="00D61006" w:rsidRDefault="00D61006">
      <w:pPr>
        <w:pStyle w:val="TOC3"/>
        <w:rPr>
          <w:rFonts w:asciiTheme="minorHAnsi" w:eastAsiaTheme="minorEastAsia" w:hAnsiTheme="minorHAnsi" w:cstheme="minorBidi"/>
          <w:color w:val="auto"/>
        </w:rPr>
      </w:pPr>
      <w:r>
        <w:t>Geographic numbers</w:t>
      </w:r>
      <w:r>
        <w:tab/>
      </w:r>
      <w:r w:rsidR="00421002">
        <w:fldChar w:fldCharType="begin"/>
      </w:r>
      <w:r>
        <w:instrText xml:space="preserve"> PAGEREF _Toc373149056 \h </w:instrText>
      </w:r>
      <w:r w:rsidR="00421002">
        <w:fldChar w:fldCharType="separate"/>
      </w:r>
      <w:r>
        <w:t>35</w:t>
      </w:r>
      <w:r w:rsidR="00421002">
        <w:fldChar w:fldCharType="end"/>
      </w:r>
    </w:p>
    <w:p w:rsidR="00D61006" w:rsidRDefault="00D61006">
      <w:pPr>
        <w:pStyle w:val="TOC3"/>
        <w:rPr>
          <w:rFonts w:asciiTheme="minorHAnsi" w:eastAsiaTheme="minorEastAsia" w:hAnsiTheme="minorHAnsi" w:cstheme="minorBidi"/>
          <w:color w:val="auto"/>
        </w:rPr>
      </w:pPr>
      <w:r>
        <w:t>Digital mobile numbers</w:t>
      </w:r>
      <w:r>
        <w:tab/>
      </w:r>
      <w:r w:rsidR="00421002">
        <w:fldChar w:fldCharType="begin"/>
      </w:r>
      <w:r>
        <w:instrText xml:space="preserve"> PAGEREF _Toc373149057 \h </w:instrText>
      </w:r>
      <w:r w:rsidR="00421002">
        <w:fldChar w:fldCharType="separate"/>
      </w:r>
      <w:r>
        <w:t>35</w:t>
      </w:r>
      <w:r w:rsidR="00421002">
        <w:fldChar w:fldCharType="end"/>
      </w:r>
    </w:p>
    <w:p w:rsidR="00D61006" w:rsidRDefault="00D61006">
      <w:pPr>
        <w:pStyle w:val="TOC3"/>
        <w:rPr>
          <w:rFonts w:asciiTheme="minorHAnsi" w:eastAsiaTheme="minorEastAsia" w:hAnsiTheme="minorHAnsi" w:cstheme="minorBidi"/>
          <w:color w:val="auto"/>
        </w:rPr>
      </w:pPr>
      <w:r>
        <w:t>Location-independent communications service numbers</w:t>
      </w:r>
      <w:r>
        <w:tab/>
      </w:r>
      <w:r w:rsidR="00421002">
        <w:fldChar w:fldCharType="begin"/>
      </w:r>
      <w:r>
        <w:instrText xml:space="preserve"> PAGEREF _Toc373149058 \h </w:instrText>
      </w:r>
      <w:r w:rsidR="00421002">
        <w:fldChar w:fldCharType="separate"/>
      </w:r>
      <w:r>
        <w:t>36</w:t>
      </w:r>
      <w:r w:rsidR="00421002">
        <w:fldChar w:fldCharType="end"/>
      </w:r>
    </w:p>
    <w:p w:rsidR="00D61006" w:rsidRPr="007935ED" w:rsidRDefault="00D61006" w:rsidP="007935ED">
      <w:pPr>
        <w:pStyle w:val="TOC2"/>
        <w:spacing w:before="40"/>
        <w:rPr>
          <w:b/>
          <w:sz w:val="22"/>
          <w:szCs w:val="22"/>
        </w:rPr>
      </w:pPr>
      <w:r w:rsidRPr="007935ED">
        <w:rPr>
          <w:b/>
          <w:sz w:val="22"/>
          <w:szCs w:val="22"/>
        </w:rPr>
        <w:t>Broadcasting services</w:t>
      </w:r>
      <w:r w:rsidRPr="007935ED">
        <w:rPr>
          <w:b/>
          <w:sz w:val="22"/>
          <w:szCs w:val="22"/>
        </w:rPr>
        <w:tab/>
      </w:r>
      <w:r w:rsidR="00421002" w:rsidRPr="007935ED">
        <w:rPr>
          <w:b/>
          <w:sz w:val="22"/>
          <w:szCs w:val="22"/>
        </w:rPr>
        <w:fldChar w:fldCharType="begin"/>
      </w:r>
      <w:r w:rsidRPr="007935ED">
        <w:rPr>
          <w:b/>
          <w:sz w:val="22"/>
          <w:szCs w:val="22"/>
        </w:rPr>
        <w:instrText xml:space="preserve"> PAGEREF _Toc373149059 \h </w:instrText>
      </w:r>
      <w:r w:rsidR="00421002" w:rsidRPr="007935ED">
        <w:rPr>
          <w:b/>
          <w:sz w:val="22"/>
          <w:szCs w:val="22"/>
        </w:rPr>
      </w:r>
      <w:r w:rsidR="00421002" w:rsidRPr="007935ED">
        <w:rPr>
          <w:b/>
          <w:sz w:val="22"/>
          <w:szCs w:val="22"/>
        </w:rPr>
        <w:fldChar w:fldCharType="separate"/>
      </w:r>
      <w:r w:rsidRPr="007935ED">
        <w:rPr>
          <w:b/>
          <w:sz w:val="22"/>
          <w:szCs w:val="22"/>
        </w:rPr>
        <w:t>36</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Commercial broadcasting services</w:t>
      </w:r>
      <w:r w:rsidRPr="007935ED">
        <w:rPr>
          <w:b/>
          <w:sz w:val="22"/>
          <w:szCs w:val="22"/>
        </w:rPr>
        <w:tab/>
      </w:r>
      <w:r w:rsidR="00421002" w:rsidRPr="007935ED">
        <w:rPr>
          <w:b/>
          <w:sz w:val="22"/>
          <w:szCs w:val="22"/>
        </w:rPr>
        <w:fldChar w:fldCharType="begin"/>
      </w:r>
      <w:r w:rsidRPr="007935ED">
        <w:rPr>
          <w:b/>
          <w:sz w:val="22"/>
          <w:szCs w:val="22"/>
        </w:rPr>
        <w:instrText xml:space="preserve"> PAGEREF _Toc373149060 \h </w:instrText>
      </w:r>
      <w:r w:rsidR="00421002" w:rsidRPr="007935ED">
        <w:rPr>
          <w:b/>
          <w:sz w:val="22"/>
          <w:szCs w:val="22"/>
        </w:rPr>
      </w:r>
      <w:r w:rsidR="00421002" w:rsidRPr="007935ED">
        <w:rPr>
          <w:b/>
          <w:sz w:val="22"/>
          <w:szCs w:val="22"/>
        </w:rPr>
        <w:fldChar w:fldCharType="separate"/>
      </w:r>
      <w:r w:rsidRPr="007935ED">
        <w:rPr>
          <w:b/>
          <w:sz w:val="22"/>
          <w:szCs w:val="22"/>
        </w:rPr>
        <w:t>37</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Ownership and control of commercial television services</w:t>
      </w:r>
      <w:r>
        <w:tab/>
      </w:r>
      <w:r w:rsidR="00421002">
        <w:fldChar w:fldCharType="begin"/>
      </w:r>
      <w:r>
        <w:instrText xml:space="preserve"> PAGEREF _Toc373149061 \h </w:instrText>
      </w:r>
      <w:r w:rsidR="00421002">
        <w:fldChar w:fldCharType="separate"/>
      </w:r>
      <w:r>
        <w:t>37</w:t>
      </w:r>
      <w:r w:rsidR="00421002">
        <w:fldChar w:fldCharType="end"/>
      </w:r>
    </w:p>
    <w:p w:rsidR="00D61006" w:rsidRDefault="00D61006">
      <w:pPr>
        <w:pStyle w:val="TOC3"/>
        <w:rPr>
          <w:rFonts w:asciiTheme="minorHAnsi" w:eastAsiaTheme="minorEastAsia" w:hAnsiTheme="minorHAnsi" w:cstheme="minorBidi"/>
          <w:color w:val="auto"/>
        </w:rPr>
      </w:pPr>
      <w:r>
        <w:t>Ownership and control of commercial radio services</w:t>
      </w:r>
      <w:r>
        <w:tab/>
      </w:r>
      <w:r w:rsidR="00421002">
        <w:fldChar w:fldCharType="begin"/>
      </w:r>
      <w:r>
        <w:instrText xml:space="preserve"> PAGEREF _Toc373149062 \h </w:instrText>
      </w:r>
      <w:r w:rsidR="00421002">
        <w:fldChar w:fldCharType="separate"/>
      </w:r>
      <w:r>
        <w:t>38</w:t>
      </w:r>
      <w:r w:rsidR="00421002">
        <w:fldChar w:fldCharType="end"/>
      </w:r>
    </w:p>
    <w:p w:rsidR="00D61006" w:rsidRDefault="00D61006">
      <w:pPr>
        <w:pStyle w:val="TOC3"/>
        <w:rPr>
          <w:rFonts w:asciiTheme="minorHAnsi" w:eastAsiaTheme="minorEastAsia" w:hAnsiTheme="minorHAnsi" w:cstheme="minorBidi"/>
          <w:color w:val="auto"/>
        </w:rPr>
      </w:pPr>
      <w:r>
        <w:t>Cross-media ownership</w:t>
      </w:r>
      <w:r>
        <w:tab/>
      </w:r>
      <w:r w:rsidR="00421002">
        <w:fldChar w:fldCharType="begin"/>
      </w:r>
      <w:r>
        <w:instrText xml:space="preserve"> PAGEREF _Toc373149063 \h </w:instrText>
      </w:r>
      <w:r w:rsidR="00421002">
        <w:fldChar w:fldCharType="separate"/>
      </w:r>
      <w:r>
        <w:t>40</w:t>
      </w:r>
      <w:r w:rsidR="00421002">
        <w:fldChar w:fldCharType="end"/>
      </w:r>
    </w:p>
    <w:p w:rsidR="00D61006" w:rsidRDefault="00D61006">
      <w:pPr>
        <w:pStyle w:val="TOC3"/>
        <w:rPr>
          <w:rFonts w:asciiTheme="minorHAnsi" w:eastAsiaTheme="minorEastAsia" w:hAnsiTheme="minorHAnsi" w:cstheme="minorBidi"/>
          <w:color w:val="auto"/>
        </w:rPr>
      </w:pPr>
      <w:r>
        <w:t>Register of Controlled Media Groups</w:t>
      </w:r>
      <w:r>
        <w:tab/>
      </w:r>
      <w:r w:rsidR="00421002">
        <w:fldChar w:fldCharType="begin"/>
      </w:r>
      <w:r>
        <w:instrText xml:space="preserve"> PAGEREF _Toc373149064 \h </w:instrText>
      </w:r>
      <w:r w:rsidR="00421002">
        <w:fldChar w:fldCharType="separate"/>
      </w:r>
      <w:r>
        <w:t>40</w:t>
      </w:r>
      <w:r w:rsidR="00421002">
        <w:fldChar w:fldCharType="end"/>
      </w:r>
    </w:p>
    <w:p w:rsidR="00D61006" w:rsidRDefault="00D61006">
      <w:pPr>
        <w:pStyle w:val="TOC3"/>
        <w:rPr>
          <w:rFonts w:asciiTheme="minorHAnsi" w:eastAsiaTheme="minorEastAsia" w:hAnsiTheme="minorHAnsi" w:cstheme="minorBidi"/>
          <w:color w:val="auto"/>
        </w:rPr>
      </w:pPr>
      <w:r>
        <w:t>Subscription television in Australia</w:t>
      </w:r>
      <w:r>
        <w:tab/>
      </w:r>
      <w:r w:rsidR="00421002">
        <w:fldChar w:fldCharType="begin"/>
      </w:r>
      <w:r>
        <w:instrText xml:space="preserve"> PAGEREF _Toc373149065 \h </w:instrText>
      </w:r>
      <w:r w:rsidR="00421002">
        <w:fldChar w:fldCharType="separate"/>
      </w:r>
      <w:r>
        <w:t>40</w:t>
      </w:r>
      <w:r w:rsidR="00421002">
        <w:fldChar w:fldCharType="end"/>
      </w:r>
    </w:p>
    <w:p w:rsidR="00D61006" w:rsidRDefault="00D61006">
      <w:pPr>
        <w:pStyle w:val="TOC3"/>
        <w:rPr>
          <w:rFonts w:asciiTheme="minorHAnsi" w:eastAsiaTheme="minorEastAsia" w:hAnsiTheme="minorHAnsi" w:cstheme="minorBidi"/>
          <w:color w:val="auto"/>
        </w:rPr>
      </w:pPr>
      <w:r>
        <w:t>Community radio broadcasting licences</w:t>
      </w:r>
      <w:r>
        <w:tab/>
      </w:r>
      <w:r w:rsidR="00421002">
        <w:fldChar w:fldCharType="begin"/>
      </w:r>
      <w:r>
        <w:instrText xml:space="preserve"> PAGEREF _Toc373149066 \h </w:instrText>
      </w:r>
      <w:r w:rsidR="00421002">
        <w:fldChar w:fldCharType="separate"/>
      </w:r>
      <w:r>
        <w:t>41</w:t>
      </w:r>
      <w:r w:rsidR="00421002">
        <w:fldChar w:fldCharType="end"/>
      </w:r>
    </w:p>
    <w:p w:rsidR="00D61006" w:rsidRDefault="00D61006">
      <w:pPr>
        <w:pStyle w:val="TOC3"/>
        <w:rPr>
          <w:rFonts w:asciiTheme="minorHAnsi" w:eastAsiaTheme="minorEastAsia" w:hAnsiTheme="minorHAnsi" w:cstheme="minorBidi"/>
          <w:color w:val="auto"/>
        </w:rPr>
      </w:pPr>
      <w:r>
        <w:t>Temporary community radio broadcasting licences</w:t>
      </w:r>
      <w:r>
        <w:tab/>
      </w:r>
      <w:r w:rsidR="00421002">
        <w:fldChar w:fldCharType="begin"/>
      </w:r>
      <w:r>
        <w:instrText xml:space="preserve"> PAGEREF _Toc373149067 \h </w:instrText>
      </w:r>
      <w:r w:rsidR="00421002">
        <w:fldChar w:fldCharType="separate"/>
      </w:r>
      <w:r>
        <w:t>41</w:t>
      </w:r>
      <w:r w:rsidR="00421002">
        <w:fldChar w:fldCharType="end"/>
      </w:r>
    </w:p>
    <w:p w:rsidR="00D61006" w:rsidRDefault="00D61006">
      <w:pPr>
        <w:pStyle w:val="TOC3"/>
        <w:rPr>
          <w:rFonts w:asciiTheme="minorHAnsi" w:eastAsiaTheme="minorEastAsia" w:hAnsiTheme="minorHAnsi" w:cstheme="minorBidi"/>
          <w:color w:val="auto"/>
        </w:rPr>
      </w:pPr>
      <w:r>
        <w:t>Community television services</w:t>
      </w:r>
      <w:r>
        <w:tab/>
      </w:r>
      <w:r w:rsidR="00421002">
        <w:fldChar w:fldCharType="begin"/>
      </w:r>
      <w:r>
        <w:instrText xml:space="preserve"> PAGEREF _Toc373149068 \h </w:instrText>
      </w:r>
      <w:r w:rsidR="00421002">
        <w:fldChar w:fldCharType="separate"/>
      </w:r>
      <w:r>
        <w:t>41</w:t>
      </w:r>
      <w:r w:rsidR="00421002">
        <w:fldChar w:fldCharType="end"/>
      </w:r>
    </w:p>
    <w:p w:rsidR="00D61006" w:rsidRDefault="00D61006">
      <w:pPr>
        <w:pStyle w:val="TOC3"/>
        <w:rPr>
          <w:rFonts w:asciiTheme="minorHAnsi" w:eastAsiaTheme="minorEastAsia" w:hAnsiTheme="minorHAnsi" w:cstheme="minorBidi"/>
          <w:color w:val="auto"/>
        </w:rPr>
      </w:pPr>
      <w:r>
        <w:t>Community television trials</w:t>
      </w:r>
      <w:r>
        <w:tab/>
      </w:r>
      <w:r w:rsidR="00421002">
        <w:fldChar w:fldCharType="begin"/>
      </w:r>
      <w:r>
        <w:instrText xml:space="preserve"> PAGEREF _Toc373149069 \h </w:instrText>
      </w:r>
      <w:r w:rsidR="00421002">
        <w:fldChar w:fldCharType="separate"/>
      </w:r>
      <w:r>
        <w:t>42</w:t>
      </w:r>
      <w:r w:rsidR="00421002">
        <w:fldChar w:fldCharType="end"/>
      </w:r>
    </w:p>
    <w:p w:rsidR="00D61006" w:rsidRPr="007935ED" w:rsidRDefault="00D61006" w:rsidP="007935ED">
      <w:pPr>
        <w:pStyle w:val="TOC2"/>
        <w:spacing w:before="40"/>
        <w:rPr>
          <w:b/>
          <w:sz w:val="22"/>
          <w:szCs w:val="22"/>
        </w:rPr>
      </w:pPr>
      <w:r w:rsidRPr="007935ED">
        <w:rPr>
          <w:b/>
          <w:sz w:val="22"/>
          <w:szCs w:val="22"/>
        </w:rPr>
        <w:t>Advertising expenditure in main media</w:t>
      </w:r>
      <w:r w:rsidRPr="007935ED">
        <w:rPr>
          <w:b/>
          <w:sz w:val="22"/>
          <w:szCs w:val="22"/>
        </w:rPr>
        <w:tab/>
      </w:r>
      <w:r w:rsidR="00421002" w:rsidRPr="007935ED">
        <w:rPr>
          <w:b/>
          <w:sz w:val="22"/>
          <w:szCs w:val="22"/>
        </w:rPr>
        <w:fldChar w:fldCharType="begin"/>
      </w:r>
      <w:r w:rsidRPr="007935ED">
        <w:rPr>
          <w:b/>
          <w:sz w:val="22"/>
          <w:szCs w:val="22"/>
        </w:rPr>
        <w:instrText xml:space="preserve"> PAGEREF _Toc373149070 \h </w:instrText>
      </w:r>
      <w:r w:rsidR="00421002" w:rsidRPr="007935ED">
        <w:rPr>
          <w:b/>
          <w:sz w:val="22"/>
          <w:szCs w:val="22"/>
        </w:rPr>
      </w:r>
      <w:r w:rsidR="00421002" w:rsidRPr="007935ED">
        <w:rPr>
          <w:b/>
          <w:sz w:val="22"/>
          <w:szCs w:val="22"/>
        </w:rPr>
        <w:fldChar w:fldCharType="separate"/>
      </w:r>
      <w:r w:rsidRPr="007935ED">
        <w:rPr>
          <w:b/>
          <w:sz w:val="22"/>
          <w:szCs w:val="22"/>
        </w:rPr>
        <w:t>42</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Continued growth in expenditure on online advertising channels</w:t>
      </w:r>
      <w:r>
        <w:tab/>
      </w:r>
      <w:r w:rsidR="00421002">
        <w:fldChar w:fldCharType="begin"/>
      </w:r>
      <w:r>
        <w:instrText xml:space="preserve"> PAGEREF _Toc373149071 \h </w:instrText>
      </w:r>
      <w:r w:rsidR="00421002">
        <w:fldChar w:fldCharType="separate"/>
      </w:r>
      <w:r>
        <w:t>42</w:t>
      </w:r>
      <w:r w:rsidR="00421002">
        <w:fldChar w:fldCharType="end"/>
      </w:r>
    </w:p>
    <w:p w:rsidR="00D61006" w:rsidRPr="007935ED" w:rsidRDefault="00D61006" w:rsidP="007935ED">
      <w:pPr>
        <w:pStyle w:val="TOC2"/>
        <w:spacing w:before="40"/>
        <w:rPr>
          <w:b/>
          <w:sz w:val="22"/>
          <w:szCs w:val="22"/>
        </w:rPr>
      </w:pPr>
      <w:r w:rsidRPr="007935ED">
        <w:rPr>
          <w:b/>
          <w:sz w:val="22"/>
          <w:szCs w:val="22"/>
        </w:rPr>
        <w:t>Consumer use of traditional media and growth in online digital content activities</w:t>
      </w:r>
      <w:r w:rsidRPr="007935ED">
        <w:rPr>
          <w:b/>
          <w:sz w:val="22"/>
          <w:szCs w:val="22"/>
        </w:rPr>
        <w:tab/>
      </w:r>
      <w:r w:rsidR="00421002" w:rsidRPr="007935ED">
        <w:rPr>
          <w:b/>
          <w:sz w:val="22"/>
          <w:szCs w:val="22"/>
        </w:rPr>
        <w:fldChar w:fldCharType="begin"/>
      </w:r>
      <w:r w:rsidRPr="007935ED">
        <w:rPr>
          <w:b/>
          <w:sz w:val="22"/>
          <w:szCs w:val="22"/>
        </w:rPr>
        <w:instrText xml:space="preserve"> PAGEREF _Toc373149072 \h </w:instrText>
      </w:r>
      <w:r w:rsidR="00421002" w:rsidRPr="007935ED">
        <w:rPr>
          <w:b/>
          <w:sz w:val="22"/>
          <w:szCs w:val="22"/>
        </w:rPr>
      </w:r>
      <w:r w:rsidR="00421002" w:rsidRPr="007935ED">
        <w:rPr>
          <w:b/>
          <w:sz w:val="22"/>
          <w:szCs w:val="22"/>
        </w:rPr>
        <w:fldChar w:fldCharType="separate"/>
      </w:r>
      <w:r w:rsidRPr="007935ED">
        <w:rPr>
          <w:b/>
          <w:sz w:val="22"/>
          <w:szCs w:val="22"/>
        </w:rPr>
        <w:t>43</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Use of traditional broadcast media</w:t>
      </w:r>
      <w:r>
        <w:tab/>
      </w:r>
      <w:r w:rsidR="00421002">
        <w:fldChar w:fldCharType="begin"/>
      </w:r>
      <w:r>
        <w:instrText xml:space="preserve"> PAGEREF _Toc373149073 \h </w:instrText>
      </w:r>
      <w:r w:rsidR="00421002">
        <w:fldChar w:fldCharType="separate"/>
      </w:r>
      <w:r>
        <w:t>43</w:t>
      </w:r>
      <w:r w:rsidR="00421002">
        <w:fldChar w:fldCharType="end"/>
      </w:r>
    </w:p>
    <w:p w:rsidR="00D61006" w:rsidRDefault="00D61006">
      <w:pPr>
        <w:pStyle w:val="TOC3"/>
        <w:rPr>
          <w:rFonts w:asciiTheme="minorHAnsi" w:eastAsiaTheme="minorEastAsia" w:hAnsiTheme="minorHAnsi" w:cstheme="minorBidi"/>
          <w:color w:val="auto"/>
        </w:rPr>
      </w:pPr>
      <w:r>
        <w:t>The shift to online content formats and the proliferation of user pays models</w:t>
      </w:r>
      <w:r>
        <w:tab/>
      </w:r>
      <w:r w:rsidR="00421002">
        <w:fldChar w:fldCharType="begin"/>
      </w:r>
      <w:r>
        <w:instrText xml:space="preserve"> PAGEREF _Toc373149074 \h </w:instrText>
      </w:r>
      <w:r w:rsidR="00421002">
        <w:fldChar w:fldCharType="separate"/>
      </w:r>
      <w:r>
        <w:t>44</w:t>
      </w:r>
      <w:r w:rsidR="00421002">
        <w:fldChar w:fldCharType="end"/>
      </w:r>
    </w:p>
    <w:p w:rsidR="00D61006" w:rsidRPr="00186F29" w:rsidRDefault="00D61006">
      <w:pPr>
        <w:pStyle w:val="TOC1"/>
        <w:rPr>
          <w:rFonts w:asciiTheme="minorHAnsi" w:eastAsiaTheme="minorEastAsia" w:hAnsiTheme="minorHAnsi" w:cstheme="minorBidi"/>
          <w:b w:val="0"/>
          <w:color w:val="0070C0"/>
          <w:spacing w:val="0"/>
          <w:sz w:val="22"/>
          <w:szCs w:val="22"/>
        </w:rPr>
      </w:pPr>
      <w:r w:rsidRPr="00186F29">
        <w:rPr>
          <w:color w:val="0070C0"/>
        </w:rPr>
        <w:t xml:space="preserve">Chapter 2 </w:t>
      </w:r>
      <w:r w:rsidR="00186F29" w:rsidRPr="00186F29">
        <w:rPr>
          <w:color w:val="0070C0"/>
        </w:rPr>
        <w:br/>
      </w:r>
      <w:r w:rsidRPr="00186F29">
        <w:rPr>
          <w:color w:val="0070C0"/>
        </w:rPr>
        <w:t>National interest issues</w:t>
      </w:r>
      <w:r w:rsidRPr="00186F29">
        <w:rPr>
          <w:color w:val="0070C0"/>
        </w:rPr>
        <w:tab/>
      </w:r>
      <w:r w:rsidR="00421002" w:rsidRPr="00186F29">
        <w:rPr>
          <w:color w:val="0070C0"/>
        </w:rPr>
        <w:fldChar w:fldCharType="begin"/>
      </w:r>
      <w:r w:rsidRPr="00186F29">
        <w:rPr>
          <w:color w:val="0070C0"/>
        </w:rPr>
        <w:instrText xml:space="preserve"> PAGEREF _Toc373149075 \h </w:instrText>
      </w:r>
      <w:r w:rsidR="00421002" w:rsidRPr="00186F29">
        <w:rPr>
          <w:color w:val="0070C0"/>
        </w:rPr>
      </w:r>
      <w:r w:rsidR="00421002" w:rsidRPr="00186F29">
        <w:rPr>
          <w:color w:val="0070C0"/>
        </w:rPr>
        <w:fldChar w:fldCharType="separate"/>
      </w:r>
      <w:r w:rsidRPr="00186F29">
        <w:rPr>
          <w:color w:val="0070C0"/>
        </w:rPr>
        <w:t>49</w:t>
      </w:r>
      <w:r w:rsidR="00421002" w:rsidRPr="00186F29">
        <w:rPr>
          <w:color w:val="0070C0"/>
        </w:rPr>
        <w:fldChar w:fldCharType="end"/>
      </w:r>
    </w:p>
    <w:p w:rsidR="00D61006" w:rsidRPr="007935ED" w:rsidRDefault="00D61006" w:rsidP="007935ED">
      <w:pPr>
        <w:pStyle w:val="TOC2"/>
        <w:spacing w:before="40"/>
        <w:rPr>
          <w:b/>
          <w:sz w:val="22"/>
          <w:szCs w:val="22"/>
        </w:rPr>
      </w:pPr>
      <w:r w:rsidRPr="007935ED">
        <w:rPr>
          <w:b/>
          <w:sz w:val="22"/>
          <w:szCs w:val="22"/>
        </w:rPr>
        <w:t>Overview</w:t>
      </w:r>
      <w:r w:rsidRPr="007935ED">
        <w:rPr>
          <w:b/>
          <w:sz w:val="22"/>
          <w:szCs w:val="22"/>
        </w:rPr>
        <w:tab/>
      </w:r>
      <w:r w:rsidR="00186F29">
        <w:rPr>
          <w:b/>
          <w:sz w:val="22"/>
          <w:szCs w:val="22"/>
        </w:rPr>
        <w:tab/>
      </w:r>
      <w:r w:rsidR="00421002" w:rsidRPr="007935ED">
        <w:rPr>
          <w:b/>
          <w:sz w:val="22"/>
          <w:szCs w:val="22"/>
        </w:rPr>
        <w:fldChar w:fldCharType="begin"/>
      </w:r>
      <w:r w:rsidRPr="007935ED">
        <w:rPr>
          <w:b/>
          <w:sz w:val="22"/>
          <w:szCs w:val="22"/>
        </w:rPr>
        <w:instrText xml:space="preserve"> PAGEREF _Toc373149076 \h </w:instrText>
      </w:r>
      <w:r w:rsidR="00421002" w:rsidRPr="007935ED">
        <w:rPr>
          <w:b/>
          <w:sz w:val="22"/>
          <w:szCs w:val="22"/>
        </w:rPr>
      </w:r>
      <w:r w:rsidR="00421002" w:rsidRPr="007935ED">
        <w:rPr>
          <w:b/>
          <w:sz w:val="22"/>
          <w:szCs w:val="22"/>
        </w:rPr>
        <w:fldChar w:fldCharType="separate"/>
      </w:r>
      <w:r w:rsidRPr="007935ED">
        <w:rPr>
          <w:b/>
          <w:sz w:val="22"/>
          <w:szCs w:val="22"/>
        </w:rPr>
        <w:t>49</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Emergency call service</w:t>
      </w:r>
      <w:r w:rsidRPr="007935ED">
        <w:rPr>
          <w:b/>
          <w:sz w:val="22"/>
          <w:szCs w:val="22"/>
        </w:rPr>
        <w:tab/>
      </w:r>
      <w:r w:rsidR="00421002" w:rsidRPr="007935ED">
        <w:rPr>
          <w:b/>
          <w:sz w:val="22"/>
          <w:szCs w:val="22"/>
        </w:rPr>
        <w:fldChar w:fldCharType="begin"/>
      </w:r>
      <w:r w:rsidRPr="007935ED">
        <w:rPr>
          <w:b/>
          <w:sz w:val="22"/>
          <w:szCs w:val="22"/>
        </w:rPr>
        <w:instrText xml:space="preserve"> PAGEREF _Toc373149077 \h </w:instrText>
      </w:r>
      <w:r w:rsidR="00421002" w:rsidRPr="007935ED">
        <w:rPr>
          <w:b/>
          <w:sz w:val="22"/>
          <w:szCs w:val="22"/>
        </w:rPr>
      </w:r>
      <w:r w:rsidR="00421002" w:rsidRPr="007935ED">
        <w:rPr>
          <w:b/>
          <w:sz w:val="22"/>
          <w:szCs w:val="22"/>
        </w:rPr>
        <w:fldChar w:fldCharType="separate"/>
      </w:r>
      <w:r w:rsidRPr="007935ED">
        <w:rPr>
          <w:b/>
          <w:sz w:val="22"/>
          <w:szCs w:val="22"/>
        </w:rPr>
        <w:t>49</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Emergency call service—Triple Zero and 112</w:t>
      </w:r>
      <w:r>
        <w:tab/>
      </w:r>
      <w:r w:rsidR="00421002">
        <w:fldChar w:fldCharType="begin"/>
      </w:r>
      <w:r>
        <w:instrText xml:space="preserve"> PAGEREF _Toc373149078 \h </w:instrText>
      </w:r>
      <w:r w:rsidR="00421002">
        <w:fldChar w:fldCharType="separate"/>
      </w:r>
      <w:r>
        <w:t>49</w:t>
      </w:r>
      <w:r w:rsidR="00421002">
        <w:fldChar w:fldCharType="end"/>
      </w:r>
    </w:p>
    <w:p w:rsidR="00D61006" w:rsidRDefault="00D61006">
      <w:pPr>
        <w:pStyle w:val="TOC3"/>
        <w:rPr>
          <w:rFonts w:asciiTheme="minorHAnsi" w:eastAsiaTheme="minorEastAsia" w:hAnsiTheme="minorHAnsi" w:cstheme="minorBidi"/>
          <w:color w:val="auto"/>
        </w:rPr>
      </w:pPr>
      <w:r>
        <w:t>Telstra’s performance in answering emergency calls</w:t>
      </w:r>
      <w:r>
        <w:tab/>
      </w:r>
      <w:r w:rsidR="00421002">
        <w:fldChar w:fldCharType="begin"/>
      </w:r>
      <w:r>
        <w:instrText xml:space="preserve"> PAGEREF _Toc373149079 \h </w:instrText>
      </w:r>
      <w:r w:rsidR="00421002">
        <w:fldChar w:fldCharType="separate"/>
      </w:r>
      <w:r>
        <w:t>50</w:t>
      </w:r>
      <w:r w:rsidR="00421002">
        <w:fldChar w:fldCharType="end"/>
      </w:r>
    </w:p>
    <w:p w:rsidR="00D61006" w:rsidRDefault="00D61006">
      <w:pPr>
        <w:pStyle w:val="TOC3"/>
        <w:rPr>
          <w:rFonts w:asciiTheme="minorHAnsi" w:eastAsiaTheme="minorEastAsia" w:hAnsiTheme="minorHAnsi" w:cstheme="minorBidi"/>
          <w:color w:val="auto"/>
        </w:rPr>
      </w:pPr>
      <w:r>
        <w:t>Calls connected to emergency service organisations</w:t>
      </w:r>
      <w:r>
        <w:tab/>
      </w:r>
      <w:r w:rsidR="00421002">
        <w:fldChar w:fldCharType="begin"/>
      </w:r>
      <w:r>
        <w:instrText xml:space="preserve"> PAGEREF _Toc373149080 \h </w:instrText>
      </w:r>
      <w:r w:rsidR="00421002">
        <w:fldChar w:fldCharType="separate"/>
      </w:r>
      <w:r>
        <w:t>50</w:t>
      </w:r>
      <w:r w:rsidR="00421002">
        <w:fldChar w:fldCharType="end"/>
      </w:r>
    </w:p>
    <w:p w:rsidR="00D61006" w:rsidRDefault="00D61006">
      <w:pPr>
        <w:pStyle w:val="TOC3"/>
        <w:rPr>
          <w:rFonts w:asciiTheme="minorHAnsi" w:eastAsiaTheme="minorEastAsia" w:hAnsiTheme="minorHAnsi" w:cstheme="minorBidi"/>
          <w:color w:val="auto"/>
        </w:rPr>
      </w:pPr>
      <w:r>
        <w:t>Precise mobile location for emergency service organisations</w:t>
      </w:r>
      <w:r>
        <w:tab/>
      </w:r>
      <w:r w:rsidR="00421002">
        <w:fldChar w:fldCharType="begin"/>
      </w:r>
      <w:r>
        <w:instrText xml:space="preserve"> PAGEREF _Toc373149081 \h </w:instrText>
      </w:r>
      <w:r w:rsidR="00421002">
        <w:fldChar w:fldCharType="separate"/>
      </w:r>
      <w:r>
        <w:t>51</w:t>
      </w:r>
      <w:r w:rsidR="00421002">
        <w:fldChar w:fldCharType="end"/>
      </w:r>
    </w:p>
    <w:p w:rsidR="00D61006" w:rsidRPr="007935ED" w:rsidRDefault="00D61006" w:rsidP="007935ED">
      <w:pPr>
        <w:pStyle w:val="TOC2"/>
        <w:spacing w:before="40"/>
        <w:rPr>
          <w:b/>
          <w:sz w:val="22"/>
          <w:szCs w:val="22"/>
        </w:rPr>
      </w:pPr>
      <w:r w:rsidRPr="007935ED">
        <w:rPr>
          <w:b/>
          <w:sz w:val="22"/>
          <w:szCs w:val="22"/>
        </w:rPr>
        <w:t>Supporting law enforcement and national security agencies</w:t>
      </w:r>
      <w:r w:rsidRPr="007935ED">
        <w:rPr>
          <w:b/>
          <w:sz w:val="22"/>
          <w:szCs w:val="22"/>
        </w:rPr>
        <w:tab/>
      </w:r>
      <w:r w:rsidR="00421002" w:rsidRPr="007935ED">
        <w:rPr>
          <w:b/>
          <w:sz w:val="22"/>
          <w:szCs w:val="22"/>
        </w:rPr>
        <w:fldChar w:fldCharType="begin"/>
      </w:r>
      <w:r w:rsidRPr="007935ED">
        <w:rPr>
          <w:b/>
          <w:sz w:val="22"/>
          <w:szCs w:val="22"/>
        </w:rPr>
        <w:instrText xml:space="preserve"> PAGEREF _Toc373149082 \h </w:instrText>
      </w:r>
      <w:r w:rsidR="00421002" w:rsidRPr="007935ED">
        <w:rPr>
          <w:b/>
          <w:sz w:val="22"/>
          <w:szCs w:val="22"/>
        </w:rPr>
      </w:r>
      <w:r w:rsidR="00421002" w:rsidRPr="007935ED">
        <w:rPr>
          <w:b/>
          <w:sz w:val="22"/>
          <w:szCs w:val="22"/>
        </w:rPr>
        <w:fldChar w:fldCharType="separate"/>
      </w:r>
      <w:r w:rsidRPr="007935ED">
        <w:rPr>
          <w:b/>
          <w:sz w:val="22"/>
          <w:szCs w:val="22"/>
        </w:rPr>
        <w:t>52</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Disclosure of customer information</w:t>
      </w:r>
      <w:r>
        <w:tab/>
      </w:r>
      <w:r w:rsidR="00421002">
        <w:fldChar w:fldCharType="begin"/>
      </w:r>
      <w:r>
        <w:instrText xml:space="preserve"> PAGEREF _Toc373149083 \h </w:instrText>
      </w:r>
      <w:r w:rsidR="00421002">
        <w:fldChar w:fldCharType="separate"/>
      </w:r>
      <w:r>
        <w:t>52</w:t>
      </w:r>
      <w:r w:rsidR="00421002">
        <w:fldChar w:fldCharType="end"/>
      </w:r>
    </w:p>
    <w:p w:rsidR="00D61006" w:rsidRDefault="00D61006">
      <w:pPr>
        <w:pStyle w:val="TOC3"/>
        <w:rPr>
          <w:rFonts w:asciiTheme="minorHAnsi" w:eastAsiaTheme="minorEastAsia" w:hAnsiTheme="minorHAnsi" w:cstheme="minorBidi"/>
          <w:color w:val="auto"/>
        </w:rPr>
      </w:pPr>
      <w:r>
        <w:t>Emergency suspension of carriage services</w:t>
      </w:r>
      <w:r>
        <w:tab/>
      </w:r>
      <w:r w:rsidR="00421002">
        <w:fldChar w:fldCharType="begin"/>
      </w:r>
      <w:r>
        <w:instrText xml:space="preserve"> PAGEREF _Toc373149084 \h </w:instrText>
      </w:r>
      <w:r w:rsidR="00421002">
        <w:fldChar w:fldCharType="separate"/>
      </w:r>
      <w:r>
        <w:t>55</w:t>
      </w:r>
      <w:r w:rsidR="00421002">
        <w:fldChar w:fldCharType="end"/>
      </w:r>
    </w:p>
    <w:p w:rsidR="00D61006" w:rsidRDefault="00D61006">
      <w:pPr>
        <w:pStyle w:val="TOC3"/>
        <w:rPr>
          <w:rFonts w:asciiTheme="minorHAnsi" w:eastAsiaTheme="minorEastAsia" w:hAnsiTheme="minorHAnsi" w:cstheme="minorBidi"/>
          <w:color w:val="auto"/>
        </w:rPr>
      </w:pPr>
      <w:r>
        <w:t>Interception</w:t>
      </w:r>
      <w:r>
        <w:tab/>
      </w:r>
      <w:r w:rsidR="00421002">
        <w:fldChar w:fldCharType="begin"/>
      </w:r>
      <w:r>
        <w:instrText xml:space="preserve"> PAGEREF _Toc373149085 \h </w:instrText>
      </w:r>
      <w:r w:rsidR="00421002">
        <w:fldChar w:fldCharType="separate"/>
      </w:r>
      <w:r>
        <w:t>55</w:t>
      </w:r>
      <w:r w:rsidR="00421002">
        <w:fldChar w:fldCharType="end"/>
      </w:r>
    </w:p>
    <w:p w:rsidR="00D61006" w:rsidRDefault="00D61006">
      <w:pPr>
        <w:pStyle w:val="TOC3"/>
        <w:rPr>
          <w:rFonts w:asciiTheme="minorHAnsi" w:eastAsiaTheme="minorEastAsia" w:hAnsiTheme="minorHAnsi" w:cstheme="minorBidi"/>
          <w:color w:val="auto"/>
        </w:rPr>
      </w:pPr>
      <w:r>
        <w:t>Cost of providing assistance</w:t>
      </w:r>
      <w:r>
        <w:tab/>
      </w:r>
      <w:r w:rsidR="00421002">
        <w:fldChar w:fldCharType="begin"/>
      </w:r>
      <w:r>
        <w:instrText xml:space="preserve"> PAGEREF _Toc373149086 \h </w:instrText>
      </w:r>
      <w:r w:rsidR="00421002">
        <w:fldChar w:fldCharType="separate"/>
      </w:r>
      <w:r>
        <w:t>55</w:t>
      </w:r>
      <w:r w:rsidR="00421002">
        <w:fldChar w:fldCharType="end"/>
      </w:r>
    </w:p>
    <w:p w:rsidR="00D61006" w:rsidRDefault="00D61006">
      <w:pPr>
        <w:pStyle w:val="TOC3"/>
        <w:rPr>
          <w:rFonts w:asciiTheme="minorHAnsi" w:eastAsiaTheme="minorEastAsia" w:hAnsiTheme="minorHAnsi" w:cstheme="minorBidi"/>
          <w:color w:val="auto"/>
        </w:rPr>
      </w:pPr>
      <w:r>
        <w:t>Interception capability plan compliance</w:t>
      </w:r>
      <w:r>
        <w:tab/>
      </w:r>
      <w:r w:rsidR="00421002">
        <w:fldChar w:fldCharType="begin"/>
      </w:r>
      <w:r>
        <w:instrText xml:space="preserve"> PAGEREF _Toc373149087 \h </w:instrText>
      </w:r>
      <w:r w:rsidR="00421002">
        <w:fldChar w:fldCharType="separate"/>
      </w:r>
      <w:r>
        <w:t>55</w:t>
      </w:r>
      <w:r w:rsidR="00421002">
        <w:fldChar w:fldCharType="end"/>
      </w:r>
    </w:p>
    <w:p w:rsidR="00D61006" w:rsidRDefault="00D61006">
      <w:pPr>
        <w:pStyle w:val="TOC3"/>
        <w:rPr>
          <w:rFonts w:asciiTheme="minorHAnsi" w:eastAsiaTheme="minorEastAsia" w:hAnsiTheme="minorHAnsi" w:cstheme="minorBidi"/>
          <w:color w:val="auto"/>
        </w:rPr>
      </w:pPr>
      <w:r>
        <w:t>Interception exemption for trial services</w:t>
      </w:r>
      <w:r>
        <w:tab/>
      </w:r>
      <w:r w:rsidR="00421002">
        <w:fldChar w:fldCharType="begin"/>
      </w:r>
      <w:r>
        <w:instrText xml:space="preserve"> PAGEREF _Toc373149088 \h </w:instrText>
      </w:r>
      <w:r w:rsidR="00421002">
        <w:fldChar w:fldCharType="separate"/>
      </w:r>
      <w:r>
        <w:t>56</w:t>
      </w:r>
      <w:r w:rsidR="00421002">
        <w:fldChar w:fldCharType="end"/>
      </w:r>
    </w:p>
    <w:p w:rsidR="00D61006" w:rsidRPr="007935ED" w:rsidRDefault="00D61006" w:rsidP="007935ED">
      <w:pPr>
        <w:pStyle w:val="TOC2"/>
        <w:spacing w:before="40"/>
        <w:rPr>
          <w:b/>
          <w:sz w:val="22"/>
          <w:szCs w:val="22"/>
        </w:rPr>
      </w:pPr>
      <w:r w:rsidRPr="007935ED">
        <w:rPr>
          <w:b/>
          <w:sz w:val="22"/>
          <w:szCs w:val="22"/>
        </w:rPr>
        <w:t>Role of the Integrated Public Number Database</w:t>
      </w:r>
      <w:r w:rsidRPr="007935ED">
        <w:rPr>
          <w:b/>
          <w:sz w:val="22"/>
          <w:szCs w:val="22"/>
        </w:rPr>
        <w:tab/>
      </w:r>
      <w:r w:rsidR="00421002" w:rsidRPr="007935ED">
        <w:rPr>
          <w:b/>
          <w:sz w:val="22"/>
          <w:szCs w:val="22"/>
        </w:rPr>
        <w:fldChar w:fldCharType="begin"/>
      </w:r>
      <w:r w:rsidRPr="007935ED">
        <w:rPr>
          <w:b/>
          <w:sz w:val="22"/>
          <w:szCs w:val="22"/>
        </w:rPr>
        <w:instrText xml:space="preserve"> PAGEREF _Toc373149089 \h </w:instrText>
      </w:r>
      <w:r w:rsidR="00421002" w:rsidRPr="007935ED">
        <w:rPr>
          <w:b/>
          <w:sz w:val="22"/>
          <w:szCs w:val="22"/>
        </w:rPr>
      </w:r>
      <w:r w:rsidR="00421002" w:rsidRPr="007935ED">
        <w:rPr>
          <w:b/>
          <w:sz w:val="22"/>
          <w:szCs w:val="22"/>
        </w:rPr>
        <w:fldChar w:fldCharType="separate"/>
      </w:r>
      <w:r w:rsidRPr="007935ED">
        <w:rPr>
          <w:b/>
          <w:sz w:val="22"/>
          <w:szCs w:val="22"/>
        </w:rPr>
        <w:t>56</w:t>
      </w:r>
      <w:r w:rsidR="00421002" w:rsidRPr="007935ED">
        <w:rPr>
          <w:b/>
          <w:sz w:val="22"/>
          <w:szCs w:val="22"/>
        </w:rPr>
        <w:fldChar w:fldCharType="end"/>
      </w:r>
    </w:p>
    <w:p w:rsidR="00D61006" w:rsidRPr="007935ED" w:rsidRDefault="00D61006" w:rsidP="00186F29">
      <w:pPr>
        <w:pStyle w:val="TOC2"/>
        <w:keepNext/>
        <w:spacing w:before="40"/>
        <w:rPr>
          <w:b/>
          <w:sz w:val="22"/>
          <w:szCs w:val="22"/>
        </w:rPr>
      </w:pPr>
      <w:r w:rsidRPr="007935ED">
        <w:rPr>
          <w:b/>
          <w:sz w:val="22"/>
          <w:szCs w:val="22"/>
        </w:rPr>
        <w:t>Handling of life-threatening and unwelcome communications industry code</w:t>
      </w:r>
      <w:r w:rsidRPr="007935ED">
        <w:rPr>
          <w:b/>
          <w:sz w:val="22"/>
          <w:szCs w:val="22"/>
        </w:rPr>
        <w:tab/>
      </w:r>
      <w:r w:rsidR="00421002" w:rsidRPr="007935ED">
        <w:rPr>
          <w:b/>
          <w:sz w:val="22"/>
          <w:szCs w:val="22"/>
        </w:rPr>
        <w:fldChar w:fldCharType="begin"/>
      </w:r>
      <w:r w:rsidRPr="007935ED">
        <w:rPr>
          <w:b/>
          <w:sz w:val="22"/>
          <w:szCs w:val="22"/>
        </w:rPr>
        <w:instrText xml:space="preserve"> PAGEREF _Toc373149090 \h </w:instrText>
      </w:r>
      <w:r w:rsidR="00421002" w:rsidRPr="007935ED">
        <w:rPr>
          <w:b/>
          <w:sz w:val="22"/>
          <w:szCs w:val="22"/>
        </w:rPr>
      </w:r>
      <w:r w:rsidR="00421002" w:rsidRPr="007935ED">
        <w:rPr>
          <w:b/>
          <w:sz w:val="22"/>
          <w:szCs w:val="22"/>
        </w:rPr>
        <w:fldChar w:fldCharType="separate"/>
      </w:r>
      <w:r w:rsidRPr="007935ED">
        <w:rPr>
          <w:b/>
          <w:sz w:val="22"/>
          <w:szCs w:val="22"/>
        </w:rPr>
        <w:t>56</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Submarine cable protection</w:t>
      </w:r>
      <w:r w:rsidRPr="007935ED">
        <w:rPr>
          <w:b/>
          <w:sz w:val="22"/>
          <w:szCs w:val="22"/>
        </w:rPr>
        <w:tab/>
      </w:r>
      <w:r w:rsidR="00421002" w:rsidRPr="007935ED">
        <w:rPr>
          <w:b/>
          <w:sz w:val="22"/>
          <w:szCs w:val="22"/>
        </w:rPr>
        <w:fldChar w:fldCharType="begin"/>
      </w:r>
      <w:r w:rsidRPr="007935ED">
        <w:rPr>
          <w:b/>
          <w:sz w:val="22"/>
          <w:szCs w:val="22"/>
        </w:rPr>
        <w:instrText xml:space="preserve"> PAGEREF _Toc373149091 \h </w:instrText>
      </w:r>
      <w:r w:rsidR="00421002" w:rsidRPr="007935ED">
        <w:rPr>
          <w:b/>
          <w:sz w:val="22"/>
          <w:szCs w:val="22"/>
        </w:rPr>
      </w:r>
      <w:r w:rsidR="00421002" w:rsidRPr="007935ED">
        <w:rPr>
          <w:b/>
          <w:sz w:val="22"/>
          <w:szCs w:val="22"/>
        </w:rPr>
        <w:fldChar w:fldCharType="separate"/>
      </w:r>
      <w:r w:rsidRPr="007935ED">
        <w:rPr>
          <w:b/>
          <w:sz w:val="22"/>
          <w:szCs w:val="22"/>
        </w:rPr>
        <w:t>56</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Radiofrequency interference complaints</w:t>
      </w:r>
      <w:r w:rsidRPr="007935ED">
        <w:rPr>
          <w:b/>
          <w:sz w:val="22"/>
          <w:szCs w:val="22"/>
        </w:rPr>
        <w:tab/>
      </w:r>
      <w:r w:rsidR="00421002" w:rsidRPr="007935ED">
        <w:rPr>
          <w:b/>
          <w:sz w:val="22"/>
          <w:szCs w:val="22"/>
        </w:rPr>
        <w:fldChar w:fldCharType="begin"/>
      </w:r>
      <w:r w:rsidRPr="007935ED">
        <w:rPr>
          <w:b/>
          <w:sz w:val="22"/>
          <w:szCs w:val="22"/>
        </w:rPr>
        <w:instrText xml:space="preserve"> PAGEREF _Toc373149092 \h </w:instrText>
      </w:r>
      <w:r w:rsidR="00421002" w:rsidRPr="007935ED">
        <w:rPr>
          <w:b/>
          <w:sz w:val="22"/>
          <w:szCs w:val="22"/>
        </w:rPr>
      </w:r>
      <w:r w:rsidR="00421002" w:rsidRPr="007935ED">
        <w:rPr>
          <w:b/>
          <w:sz w:val="22"/>
          <w:szCs w:val="22"/>
        </w:rPr>
        <w:fldChar w:fldCharType="separate"/>
      </w:r>
      <w:r w:rsidRPr="007935ED">
        <w:rPr>
          <w:b/>
          <w:sz w:val="22"/>
          <w:szCs w:val="22"/>
        </w:rPr>
        <w:t>57</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Domestic systems interference</w:t>
      </w:r>
      <w:r>
        <w:tab/>
      </w:r>
      <w:r w:rsidR="00421002">
        <w:fldChar w:fldCharType="begin"/>
      </w:r>
      <w:r>
        <w:instrText xml:space="preserve"> PAGEREF _Toc373149093 \h </w:instrText>
      </w:r>
      <w:r w:rsidR="00421002">
        <w:fldChar w:fldCharType="separate"/>
      </w:r>
      <w:r>
        <w:t>57</w:t>
      </w:r>
      <w:r w:rsidR="00421002">
        <w:fldChar w:fldCharType="end"/>
      </w:r>
    </w:p>
    <w:p w:rsidR="00D61006" w:rsidRDefault="00D61006">
      <w:pPr>
        <w:pStyle w:val="TOC3"/>
        <w:rPr>
          <w:rFonts w:asciiTheme="minorHAnsi" w:eastAsiaTheme="minorEastAsia" w:hAnsiTheme="minorHAnsi" w:cstheme="minorBidi"/>
          <w:color w:val="auto"/>
        </w:rPr>
      </w:pPr>
      <w:r>
        <w:t>Radiocommunications interference</w:t>
      </w:r>
      <w:r>
        <w:tab/>
      </w:r>
      <w:r w:rsidR="00421002">
        <w:fldChar w:fldCharType="begin"/>
      </w:r>
      <w:r>
        <w:instrText xml:space="preserve"> PAGEREF _Toc373149094 \h </w:instrText>
      </w:r>
      <w:r w:rsidR="00421002">
        <w:fldChar w:fldCharType="separate"/>
      </w:r>
      <w:r>
        <w:t>57</w:t>
      </w:r>
      <w:r w:rsidR="00421002">
        <w:fldChar w:fldCharType="end"/>
      </w:r>
    </w:p>
    <w:p w:rsidR="00D61006" w:rsidRPr="00186F29" w:rsidRDefault="00D61006">
      <w:pPr>
        <w:pStyle w:val="TOC1"/>
        <w:rPr>
          <w:rFonts w:asciiTheme="minorHAnsi" w:eastAsiaTheme="minorEastAsia" w:hAnsiTheme="minorHAnsi" w:cstheme="minorBidi"/>
          <w:b w:val="0"/>
          <w:color w:val="0070C0"/>
          <w:spacing w:val="0"/>
          <w:sz w:val="22"/>
          <w:szCs w:val="22"/>
        </w:rPr>
      </w:pPr>
      <w:r w:rsidRPr="00186F29">
        <w:rPr>
          <w:color w:val="0070C0"/>
        </w:rPr>
        <w:t xml:space="preserve">Chapter 3 </w:t>
      </w:r>
      <w:r w:rsidR="00186F29" w:rsidRPr="00186F29">
        <w:rPr>
          <w:color w:val="0070C0"/>
        </w:rPr>
        <w:br/>
      </w:r>
      <w:r w:rsidRPr="00186F29">
        <w:rPr>
          <w:color w:val="0070C0"/>
        </w:rPr>
        <w:t>Telecommunications  consumer safeguards  and quality of service</w:t>
      </w:r>
      <w:r w:rsidRPr="00186F29">
        <w:rPr>
          <w:color w:val="0070C0"/>
        </w:rPr>
        <w:tab/>
      </w:r>
      <w:r w:rsidR="00421002" w:rsidRPr="00186F29">
        <w:rPr>
          <w:color w:val="0070C0"/>
        </w:rPr>
        <w:fldChar w:fldCharType="begin"/>
      </w:r>
      <w:r w:rsidRPr="00186F29">
        <w:rPr>
          <w:color w:val="0070C0"/>
        </w:rPr>
        <w:instrText xml:space="preserve"> PAGEREF _Toc373149095 \h </w:instrText>
      </w:r>
      <w:r w:rsidR="00421002" w:rsidRPr="00186F29">
        <w:rPr>
          <w:color w:val="0070C0"/>
        </w:rPr>
      </w:r>
      <w:r w:rsidR="00421002" w:rsidRPr="00186F29">
        <w:rPr>
          <w:color w:val="0070C0"/>
        </w:rPr>
        <w:fldChar w:fldCharType="separate"/>
      </w:r>
      <w:r w:rsidRPr="00186F29">
        <w:rPr>
          <w:color w:val="0070C0"/>
        </w:rPr>
        <w:t>59</w:t>
      </w:r>
      <w:r w:rsidR="00421002" w:rsidRPr="00186F29">
        <w:rPr>
          <w:color w:val="0070C0"/>
        </w:rPr>
        <w:fldChar w:fldCharType="end"/>
      </w:r>
    </w:p>
    <w:p w:rsidR="00D61006" w:rsidRPr="007935ED" w:rsidRDefault="00D61006" w:rsidP="007935ED">
      <w:pPr>
        <w:pStyle w:val="TOC2"/>
        <w:spacing w:before="40"/>
        <w:rPr>
          <w:b/>
          <w:sz w:val="22"/>
          <w:szCs w:val="22"/>
        </w:rPr>
      </w:pPr>
      <w:r w:rsidRPr="007935ED">
        <w:rPr>
          <w:b/>
          <w:sz w:val="22"/>
          <w:szCs w:val="22"/>
        </w:rPr>
        <w:t>Overview</w:t>
      </w:r>
      <w:r w:rsidRPr="007935ED">
        <w:rPr>
          <w:b/>
          <w:sz w:val="22"/>
          <w:szCs w:val="22"/>
        </w:rPr>
        <w:tab/>
      </w:r>
      <w:r w:rsidR="00186F29">
        <w:rPr>
          <w:b/>
          <w:sz w:val="22"/>
          <w:szCs w:val="22"/>
        </w:rPr>
        <w:tab/>
      </w:r>
      <w:r w:rsidR="00421002" w:rsidRPr="007935ED">
        <w:rPr>
          <w:b/>
          <w:sz w:val="22"/>
          <w:szCs w:val="22"/>
        </w:rPr>
        <w:fldChar w:fldCharType="begin"/>
      </w:r>
      <w:r w:rsidRPr="007935ED">
        <w:rPr>
          <w:b/>
          <w:sz w:val="22"/>
          <w:szCs w:val="22"/>
        </w:rPr>
        <w:instrText xml:space="preserve"> PAGEREF _Toc373149096 \h </w:instrText>
      </w:r>
      <w:r w:rsidR="00421002" w:rsidRPr="007935ED">
        <w:rPr>
          <w:b/>
          <w:sz w:val="22"/>
          <w:szCs w:val="22"/>
        </w:rPr>
      </w:r>
      <w:r w:rsidR="00421002" w:rsidRPr="007935ED">
        <w:rPr>
          <w:b/>
          <w:sz w:val="22"/>
          <w:szCs w:val="22"/>
        </w:rPr>
        <w:fldChar w:fldCharType="separate"/>
      </w:r>
      <w:r w:rsidRPr="007935ED">
        <w:rPr>
          <w:b/>
          <w:sz w:val="22"/>
          <w:szCs w:val="22"/>
        </w:rPr>
        <w:t>59</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Fixed-line consumer safeguards</w:t>
      </w:r>
      <w:r w:rsidRPr="007935ED">
        <w:rPr>
          <w:b/>
          <w:sz w:val="22"/>
          <w:szCs w:val="22"/>
        </w:rPr>
        <w:tab/>
      </w:r>
      <w:r w:rsidR="00421002" w:rsidRPr="007935ED">
        <w:rPr>
          <w:b/>
          <w:sz w:val="22"/>
          <w:szCs w:val="22"/>
        </w:rPr>
        <w:fldChar w:fldCharType="begin"/>
      </w:r>
      <w:r w:rsidRPr="007935ED">
        <w:rPr>
          <w:b/>
          <w:sz w:val="22"/>
          <w:szCs w:val="22"/>
        </w:rPr>
        <w:instrText xml:space="preserve"> PAGEREF _Toc373149097 \h </w:instrText>
      </w:r>
      <w:r w:rsidR="00421002" w:rsidRPr="007935ED">
        <w:rPr>
          <w:b/>
          <w:sz w:val="22"/>
          <w:szCs w:val="22"/>
        </w:rPr>
      </w:r>
      <w:r w:rsidR="00421002" w:rsidRPr="007935ED">
        <w:rPr>
          <w:b/>
          <w:sz w:val="22"/>
          <w:szCs w:val="22"/>
        </w:rPr>
        <w:fldChar w:fldCharType="separate"/>
      </w:r>
      <w:r w:rsidRPr="007935ED">
        <w:rPr>
          <w:b/>
          <w:sz w:val="22"/>
          <w:szCs w:val="22"/>
        </w:rPr>
        <w:t>59</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The TIL and other public policy outcomes</w:t>
      </w:r>
      <w:r w:rsidRPr="007935ED">
        <w:rPr>
          <w:b/>
          <w:sz w:val="22"/>
          <w:szCs w:val="22"/>
        </w:rPr>
        <w:tab/>
      </w:r>
      <w:r w:rsidR="00421002" w:rsidRPr="007935ED">
        <w:rPr>
          <w:b/>
          <w:sz w:val="22"/>
          <w:szCs w:val="22"/>
        </w:rPr>
        <w:fldChar w:fldCharType="begin"/>
      </w:r>
      <w:r w:rsidRPr="007935ED">
        <w:rPr>
          <w:b/>
          <w:sz w:val="22"/>
          <w:szCs w:val="22"/>
        </w:rPr>
        <w:instrText xml:space="preserve"> PAGEREF _Toc373149098 \h </w:instrText>
      </w:r>
      <w:r w:rsidR="00421002" w:rsidRPr="007935ED">
        <w:rPr>
          <w:b/>
          <w:sz w:val="22"/>
          <w:szCs w:val="22"/>
        </w:rPr>
      </w:r>
      <w:r w:rsidR="00421002" w:rsidRPr="007935ED">
        <w:rPr>
          <w:b/>
          <w:sz w:val="22"/>
          <w:szCs w:val="22"/>
        </w:rPr>
        <w:fldChar w:fldCharType="separate"/>
      </w:r>
      <w:r w:rsidRPr="007935ED">
        <w:rPr>
          <w:b/>
          <w:sz w:val="22"/>
          <w:szCs w:val="22"/>
        </w:rPr>
        <w:t>60</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Industry levies and payments</w:t>
      </w:r>
      <w:r>
        <w:tab/>
      </w:r>
      <w:r w:rsidR="00421002">
        <w:fldChar w:fldCharType="begin"/>
      </w:r>
      <w:r>
        <w:instrText xml:space="preserve"> PAGEREF _Toc373149099 \h </w:instrText>
      </w:r>
      <w:r w:rsidR="00421002">
        <w:fldChar w:fldCharType="separate"/>
      </w:r>
      <w:r>
        <w:t>61</w:t>
      </w:r>
      <w:r w:rsidR="00421002">
        <w:fldChar w:fldCharType="end"/>
      </w:r>
    </w:p>
    <w:p w:rsidR="00D61006" w:rsidRDefault="00D61006">
      <w:pPr>
        <w:pStyle w:val="TOC3"/>
        <w:rPr>
          <w:rFonts w:asciiTheme="minorHAnsi" w:eastAsiaTheme="minorEastAsia" w:hAnsiTheme="minorHAnsi" w:cstheme="minorBidi"/>
          <w:color w:val="auto"/>
        </w:rPr>
      </w:pPr>
      <w:r>
        <w:t>Final TIL assessment</w:t>
      </w:r>
      <w:r>
        <w:tab/>
      </w:r>
      <w:r w:rsidR="00421002">
        <w:fldChar w:fldCharType="begin"/>
      </w:r>
      <w:r>
        <w:instrText xml:space="preserve"> PAGEREF _Toc373149100 \h </w:instrText>
      </w:r>
      <w:r w:rsidR="00421002">
        <w:fldChar w:fldCharType="separate"/>
      </w:r>
      <w:r>
        <w:t>61</w:t>
      </w:r>
      <w:r w:rsidR="00421002">
        <w:fldChar w:fldCharType="end"/>
      </w:r>
    </w:p>
    <w:p w:rsidR="00D61006" w:rsidRPr="007935ED" w:rsidRDefault="00D61006" w:rsidP="007935ED">
      <w:pPr>
        <w:pStyle w:val="TOC2"/>
        <w:spacing w:before="40"/>
        <w:rPr>
          <w:b/>
          <w:sz w:val="22"/>
          <w:szCs w:val="22"/>
        </w:rPr>
      </w:pPr>
      <w:r w:rsidRPr="007935ED">
        <w:rPr>
          <w:b/>
          <w:sz w:val="22"/>
          <w:szCs w:val="22"/>
        </w:rPr>
        <w:t>Public payphones</w:t>
      </w:r>
      <w:r w:rsidRPr="007935ED">
        <w:rPr>
          <w:b/>
          <w:sz w:val="22"/>
          <w:szCs w:val="22"/>
        </w:rPr>
        <w:tab/>
      </w:r>
      <w:r w:rsidR="00421002" w:rsidRPr="007935ED">
        <w:rPr>
          <w:b/>
          <w:sz w:val="22"/>
          <w:szCs w:val="22"/>
        </w:rPr>
        <w:fldChar w:fldCharType="begin"/>
      </w:r>
      <w:r w:rsidRPr="007935ED">
        <w:rPr>
          <w:b/>
          <w:sz w:val="22"/>
          <w:szCs w:val="22"/>
        </w:rPr>
        <w:instrText xml:space="preserve"> PAGEREF _Toc373149101 \h </w:instrText>
      </w:r>
      <w:r w:rsidR="00421002" w:rsidRPr="007935ED">
        <w:rPr>
          <w:b/>
          <w:sz w:val="22"/>
          <w:szCs w:val="22"/>
        </w:rPr>
      </w:r>
      <w:r w:rsidR="00421002" w:rsidRPr="007935ED">
        <w:rPr>
          <w:b/>
          <w:sz w:val="22"/>
          <w:szCs w:val="22"/>
        </w:rPr>
        <w:fldChar w:fldCharType="separate"/>
      </w:r>
      <w:r w:rsidRPr="007935ED">
        <w:rPr>
          <w:b/>
          <w:sz w:val="22"/>
          <w:szCs w:val="22"/>
        </w:rPr>
        <w:t>62</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Numbers of payphones and payphone sites</w:t>
      </w:r>
      <w:r>
        <w:tab/>
      </w:r>
      <w:r w:rsidR="00421002">
        <w:fldChar w:fldCharType="begin"/>
      </w:r>
      <w:r>
        <w:instrText xml:space="preserve"> PAGEREF _Toc373149102 \h </w:instrText>
      </w:r>
      <w:r w:rsidR="00421002">
        <w:fldChar w:fldCharType="separate"/>
      </w:r>
      <w:r>
        <w:t>62</w:t>
      </w:r>
      <w:r w:rsidR="00421002">
        <w:fldChar w:fldCharType="end"/>
      </w:r>
    </w:p>
    <w:p w:rsidR="00D61006" w:rsidRDefault="00D61006">
      <w:pPr>
        <w:pStyle w:val="TOC3"/>
        <w:rPr>
          <w:rFonts w:asciiTheme="minorHAnsi" w:eastAsiaTheme="minorEastAsia" w:hAnsiTheme="minorHAnsi" w:cstheme="minorBidi"/>
          <w:color w:val="auto"/>
        </w:rPr>
      </w:pPr>
      <w:r>
        <w:t>Payphone fault repair performance</w:t>
      </w:r>
      <w:r>
        <w:tab/>
      </w:r>
      <w:r w:rsidR="00421002">
        <w:fldChar w:fldCharType="begin"/>
      </w:r>
      <w:r>
        <w:instrText xml:space="preserve"> PAGEREF _Toc373149103 \h </w:instrText>
      </w:r>
      <w:r w:rsidR="00421002">
        <w:fldChar w:fldCharType="separate"/>
      </w:r>
      <w:r>
        <w:t>63</w:t>
      </w:r>
      <w:r w:rsidR="00421002">
        <w:fldChar w:fldCharType="end"/>
      </w:r>
    </w:p>
    <w:p w:rsidR="00D61006" w:rsidRDefault="00D61006">
      <w:pPr>
        <w:pStyle w:val="TOC3"/>
        <w:rPr>
          <w:rFonts w:asciiTheme="minorHAnsi" w:eastAsiaTheme="minorEastAsia" w:hAnsiTheme="minorHAnsi" w:cstheme="minorBidi"/>
          <w:color w:val="auto"/>
        </w:rPr>
      </w:pPr>
      <w:r>
        <w:t>Installation of payphones</w:t>
      </w:r>
      <w:r>
        <w:tab/>
      </w:r>
      <w:r w:rsidR="00421002">
        <w:fldChar w:fldCharType="begin"/>
      </w:r>
      <w:r>
        <w:instrText xml:space="preserve"> PAGEREF _Toc373149104 \h </w:instrText>
      </w:r>
      <w:r w:rsidR="00421002">
        <w:fldChar w:fldCharType="separate"/>
      </w:r>
      <w:r>
        <w:t>64</w:t>
      </w:r>
      <w:r w:rsidR="00421002">
        <w:fldChar w:fldCharType="end"/>
      </w:r>
    </w:p>
    <w:p w:rsidR="00D61006" w:rsidRDefault="00D61006">
      <w:pPr>
        <w:pStyle w:val="TOC3"/>
        <w:rPr>
          <w:rFonts w:asciiTheme="minorHAnsi" w:eastAsiaTheme="minorEastAsia" w:hAnsiTheme="minorHAnsi" w:cstheme="minorBidi"/>
          <w:color w:val="auto"/>
        </w:rPr>
      </w:pPr>
      <w:r>
        <w:t>Payphone removals</w:t>
      </w:r>
      <w:r>
        <w:tab/>
      </w:r>
      <w:r w:rsidR="00421002">
        <w:fldChar w:fldCharType="begin"/>
      </w:r>
      <w:r>
        <w:instrText xml:space="preserve"> PAGEREF _Toc373149105 \h </w:instrText>
      </w:r>
      <w:r w:rsidR="00421002">
        <w:fldChar w:fldCharType="separate"/>
      </w:r>
      <w:r>
        <w:t>64</w:t>
      </w:r>
      <w:r w:rsidR="00421002">
        <w:fldChar w:fldCharType="end"/>
      </w:r>
    </w:p>
    <w:p w:rsidR="00D61006" w:rsidRDefault="00D61006">
      <w:pPr>
        <w:pStyle w:val="TOC3"/>
        <w:rPr>
          <w:rFonts w:asciiTheme="minorHAnsi" w:eastAsiaTheme="minorEastAsia" w:hAnsiTheme="minorHAnsi" w:cstheme="minorBidi"/>
          <w:color w:val="auto"/>
        </w:rPr>
      </w:pPr>
      <w:r>
        <w:t>Payphones for people with disabilities</w:t>
      </w:r>
      <w:r>
        <w:tab/>
      </w:r>
      <w:r w:rsidR="00421002">
        <w:fldChar w:fldCharType="begin"/>
      </w:r>
      <w:r>
        <w:instrText xml:space="preserve"> PAGEREF _Toc373149106 \h </w:instrText>
      </w:r>
      <w:r w:rsidR="00421002">
        <w:fldChar w:fldCharType="separate"/>
      </w:r>
      <w:r>
        <w:t>64</w:t>
      </w:r>
      <w:r w:rsidR="00421002">
        <w:fldChar w:fldCharType="end"/>
      </w:r>
    </w:p>
    <w:p w:rsidR="00D61006" w:rsidRPr="007935ED" w:rsidRDefault="00D61006" w:rsidP="007935ED">
      <w:pPr>
        <w:pStyle w:val="TOC2"/>
        <w:spacing w:before="40"/>
        <w:rPr>
          <w:b/>
          <w:sz w:val="22"/>
          <w:szCs w:val="22"/>
        </w:rPr>
      </w:pPr>
      <w:r w:rsidRPr="007935ED">
        <w:rPr>
          <w:b/>
          <w:sz w:val="22"/>
          <w:szCs w:val="22"/>
        </w:rPr>
        <w:t>Customer Service Guarantee Standard</w:t>
      </w:r>
      <w:r w:rsidRPr="007935ED">
        <w:rPr>
          <w:b/>
          <w:sz w:val="22"/>
          <w:szCs w:val="22"/>
        </w:rPr>
        <w:tab/>
      </w:r>
      <w:r w:rsidR="00421002" w:rsidRPr="007935ED">
        <w:rPr>
          <w:b/>
          <w:sz w:val="22"/>
          <w:szCs w:val="22"/>
        </w:rPr>
        <w:fldChar w:fldCharType="begin"/>
      </w:r>
      <w:r w:rsidRPr="007935ED">
        <w:rPr>
          <w:b/>
          <w:sz w:val="22"/>
          <w:szCs w:val="22"/>
        </w:rPr>
        <w:instrText xml:space="preserve"> PAGEREF _Toc373149107 \h </w:instrText>
      </w:r>
      <w:r w:rsidR="00421002" w:rsidRPr="007935ED">
        <w:rPr>
          <w:b/>
          <w:sz w:val="22"/>
          <w:szCs w:val="22"/>
        </w:rPr>
      </w:r>
      <w:r w:rsidR="00421002" w:rsidRPr="007935ED">
        <w:rPr>
          <w:b/>
          <w:sz w:val="22"/>
          <w:szCs w:val="22"/>
        </w:rPr>
        <w:fldChar w:fldCharType="separate"/>
      </w:r>
      <w:r w:rsidRPr="007935ED">
        <w:rPr>
          <w:b/>
          <w:sz w:val="22"/>
          <w:szCs w:val="22"/>
        </w:rPr>
        <w:t>64</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Connections</w:t>
      </w:r>
      <w:r>
        <w:tab/>
      </w:r>
      <w:r w:rsidR="00421002">
        <w:fldChar w:fldCharType="begin"/>
      </w:r>
      <w:r>
        <w:instrText xml:space="preserve"> PAGEREF _Toc373149108 \h </w:instrText>
      </w:r>
      <w:r w:rsidR="00421002">
        <w:fldChar w:fldCharType="separate"/>
      </w:r>
      <w:r>
        <w:t>66</w:t>
      </w:r>
      <w:r w:rsidR="00421002">
        <w:fldChar w:fldCharType="end"/>
      </w:r>
    </w:p>
    <w:p w:rsidR="00D61006" w:rsidRDefault="00D61006">
      <w:pPr>
        <w:pStyle w:val="TOC3"/>
        <w:rPr>
          <w:rFonts w:asciiTheme="minorHAnsi" w:eastAsiaTheme="minorEastAsia" w:hAnsiTheme="minorHAnsi" w:cstheme="minorBidi"/>
          <w:color w:val="auto"/>
        </w:rPr>
      </w:pPr>
      <w:r>
        <w:t>Appointments</w:t>
      </w:r>
      <w:r>
        <w:tab/>
      </w:r>
      <w:r w:rsidR="00421002">
        <w:fldChar w:fldCharType="begin"/>
      </w:r>
      <w:r>
        <w:instrText xml:space="preserve"> PAGEREF _Toc373149109 \h </w:instrText>
      </w:r>
      <w:r w:rsidR="00421002">
        <w:fldChar w:fldCharType="separate"/>
      </w:r>
      <w:r>
        <w:t>67</w:t>
      </w:r>
      <w:r w:rsidR="00421002">
        <w:fldChar w:fldCharType="end"/>
      </w:r>
    </w:p>
    <w:p w:rsidR="00D61006" w:rsidRDefault="00D61006">
      <w:pPr>
        <w:pStyle w:val="TOC3"/>
        <w:rPr>
          <w:rFonts w:asciiTheme="minorHAnsi" w:eastAsiaTheme="minorEastAsia" w:hAnsiTheme="minorHAnsi" w:cstheme="minorBidi"/>
          <w:color w:val="auto"/>
        </w:rPr>
      </w:pPr>
      <w:r>
        <w:t>Fault repairs</w:t>
      </w:r>
      <w:r>
        <w:tab/>
      </w:r>
      <w:r w:rsidR="00421002">
        <w:fldChar w:fldCharType="begin"/>
      </w:r>
      <w:r>
        <w:instrText xml:space="preserve"> PAGEREF _Toc373149110 \h </w:instrText>
      </w:r>
      <w:r w:rsidR="00421002">
        <w:fldChar w:fldCharType="separate"/>
      </w:r>
      <w:r>
        <w:t>67</w:t>
      </w:r>
      <w:r w:rsidR="00421002">
        <w:fldChar w:fldCharType="end"/>
      </w:r>
    </w:p>
    <w:p w:rsidR="00D61006" w:rsidRDefault="00D61006">
      <w:pPr>
        <w:pStyle w:val="TOC3"/>
        <w:rPr>
          <w:rFonts w:asciiTheme="minorHAnsi" w:eastAsiaTheme="minorEastAsia" w:hAnsiTheme="minorHAnsi" w:cstheme="minorBidi"/>
          <w:color w:val="auto"/>
        </w:rPr>
      </w:pPr>
      <w:r>
        <w:t>CSG Standard payments</w:t>
      </w:r>
      <w:r>
        <w:tab/>
      </w:r>
      <w:r w:rsidR="00421002">
        <w:fldChar w:fldCharType="begin"/>
      </w:r>
      <w:r>
        <w:instrText xml:space="preserve"> PAGEREF _Toc373149111 \h </w:instrText>
      </w:r>
      <w:r w:rsidR="00421002">
        <w:fldChar w:fldCharType="separate"/>
      </w:r>
      <w:r>
        <w:t>67</w:t>
      </w:r>
      <w:r w:rsidR="00421002">
        <w:fldChar w:fldCharType="end"/>
      </w:r>
    </w:p>
    <w:p w:rsidR="00D61006" w:rsidRDefault="00D61006">
      <w:pPr>
        <w:pStyle w:val="TOC3"/>
        <w:rPr>
          <w:rFonts w:asciiTheme="minorHAnsi" w:eastAsiaTheme="minorEastAsia" w:hAnsiTheme="minorHAnsi" w:cstheme="minorBidi"/>
          <w:color w:val="auto"/>
        </w:rPr>
      </w:pPr>
      <w:r>
        <w:t>Exemptions from the CSG Standard</w:t>
      </w:r>
      <w:r>
        <w:tab/>
      </w:r>
      <w:r w:rsidR="00421002">
        <w:fldChar w:fldCharType="begin"/>
      </w:r>
      <w:r>
        <w:instrText xml:space="preserve"> PAGEREF _Toc373149112 \h </w:instrText>
      </w:r>
      <w:r w:rsidR="00421002">
        <w:fldChar w:fldCharType="separate"/>
      </w:r>
      <w:r>
        <w:t>68</w:t>
      </w:r>
      <w:r w:rsidR="00421002">
        <w:fldChar w:fldCharType="end"/>
      </w:r>
    </w:p>
    <w:p w:rsidR="00D61006" w:rsidRPr="007935ED" w:rsidRDefault="00D61006" w:rsidP="007935ED">
      <w:pPr>
        <w:pStyle w:val="TOC2"/>
        <w:spacing w:before="40"/>
        <w:rPr>
          <w:b/>
          <w:sz w:val="22"/>
          <w:szCs w:val="22"/>
        </w:rPr>
      </w:pPr>
      <w:r w:rsidRPr="007935ED">
        <w:rPr>
          <w:b/>
          <w:sz w:val="22"/>
          <w:szCs w:val="22"/>
        </w:rPr>
        <w:t>Network Reliability Framework</w:t>
      </w:r>
      <w:r w:rsidRPr="007935ED">
        <w:rPr>
          <w:b/>
          <w:sz w:val="22"/>
          <w:szCs w:val="22"/>
        </w:rPr>
        <w:tab/>
      </w:r>
      <w:r w:rsidR="00421002" w:rsidRPr="007935ED">
        <w:rPr>
          <w:b/>
          <w:sz w:val="22"/>
          <w:szCs w:val="22"/>
        </w:rPr>
        <w:fldChar w:fldCharType="begin"/>
      </w:r>
      <w:r w:rsidRPr="007935ED">
        <w:rPr>
          <w:b/>
          <w:sz w:val="22"/>
          <w:szCs w:val="22"/>
        </w:rPr>
        <w:instrText xml:space="preserve"> PAGEREF _Toc373149113 \h </w:instrText>
      </w:r>
      <w:r w:rsidR="00421002" w:rsidRPr="007935ED">
        <w:rPr>
          <w:b/>
          <w:sz w:val="22"/>
          <w:szCs w:val="22"/>
        </w:rPr>
      </w:r>
      <w:r w:rsidR="00421002" w:rsidRPr="007935ED">
        <w:rPr>
          <w:b/>
          <w:sz w:val="22"/>
          <w:szCs w:val="22"/>
        </w:rPr>
        <w:fldChar w:fldCharType="separate"/>
      </w:r>
      <w:r w:rsidRPr="007935ED">
        <w:rPr>
          <w:b/>
          <w:sz w:val="22"/>
          <w:szCs w:val="22"/>
        </w:rPr>
        <w:t>69</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Level 1—national and field service area performance</w:t>
      </w:r>
      <w:r>
        <w:tab/>
      </w:r>
      <w:r w:rsidR="00421002">
        <w:fldChar w:fldCharType="begin"/>
      </w:r>
      <w:r>
        <w:instrText xml:space="preserve"> PAGEREF _Toc373149114 \h </w:instrText>
      </w:r>
      <w:r w:rsidR="00421002">
        <w:fldChar w:fldCharType="separate"/>
      </w:r>
      <w:r>
        <w:t>69</w:t>
      </w:r>
      <w:r w:rsidR="00421002">
        <w:fldChar w:fldCharType="end"/>
      </w:r>
    </w:p>
    <w:p w:rsidR="00D61006" w:rsidRDefault="00D61006">
      <w:pPr>
        <w:pStyle w:val="TOC3"/>
        <w:rPr>
          <w:rFonts w:asciiTheme="minorHAnsi" w:eastAsiaTheme="minorEastAsia" w:hAnsiTheme="minorHAnsi" w:cstheme="minorBidi"/>
          <w:color w:val="auto"/>
        </w:rPr>
      </w:pPr>
      <w:r>
        <w:t>Level 2—local cable run remediations</w:t>
      </w:r>
      <w:r>
        <w:tab/>
      </w:r>
      <w:r w:rsidR="00421002">
        <w:fldChar w:fldCharType="begin"/>
      </w:r>
      <w:r>
        <w:instrText xml:space="preserve"> PAGEREF _Toc373149115 \h </w:instrText>
      </w:r>
      <w:r w:rsidR="00421002">
        <w:fldChar w:fldCharType="separate"/>
      </w:r>
      <w:r>
        <w:t>71</w:t>
      </w:r>
      <w:r w:rsidR="00421002">
        <w:fldChar w:fldCharType="end"/>
      </w:r>
    </w:p>
    <w:p w:rsidR="00D61006" w:rsidRDefault="00D61006">
      <w:pPr>
        <w:pStyle w:val="TOC3"/>
        <w:rPr>
          <w:rFonts w:asciiTheme="minorHAnsi" w:eastAsiaTheme="minorEastAsia" w:hAnsiTheme="minorHAnsi" w:cstheme="minorBidi"/>
          <w:color w:val="auto"/>
        </w:rPr>
      </w:pPr>
      <w:r>
        <w:t>Level 3—individual service performance</w:t>
      </w:r>
      <w:r>
        <w:tab/>
      </w:r>
      <w:r w:rsidR="00421002">
        <w:fldChar w:fldCharType="begin"/>
      </w:r>
      <w:r>
        <w:instrText xml:space="preserve"> PAGEREF _Toc373149116 \h </w:instrText>
      </w:r>
      <w:r w:rsidR="00421002">
        <w:fldChar w:fldCharType="separate"/>
      </w:r>
      <w:r>
        <w:t>71</w:t>
      </w:r>
      <w:r w:rsidR="00421002">
        <w:fldChar w:fldCharType="end"/>
      </w:r>
    </w:p>
    <w:p w:rsidR="00D61006" w:rsidRPr="007935ED" w:rsidRDefault="00D61006" w:rsidP="007935ED">
      <w:pPr>
        <w:pStyle w:val="TOC2"/>
        <w:spacing w:before="40"/>
        <w:rPr>
          <w:b/>
          <w:sz w:val="22"/>
          <w:szCs w:val="22"/>
        </w:rPr>
      </w:pPr>
      <w:r w:rsidRPr="007935ED">
        <w:rPr>
          <w:b/>
          <w:sz w:val="22"/>
          <w:szCs w:val="22"/>
        </w:rPr>
        <w:t>Priority assistance</w:t>
      </w:r>
      <w:r w:rsidRPr="007935ED">
        <w:rPr>
          <w:b/>
          <w:sz w:val="22"/>
          <w:szCs w:val="22"/>
        </w:rPr>
        <w:tab/>
      </w:r>
      <w:r w:rsidR="00421002" w:rsidRPr="007935ED">
        <w:rPr>
          <w:b/>
          <w:sz w:val="22"/>
          <w:szCs w:val="22"/>
        </w:rPr>
        <w:fldChar w:fldCharType="begin"/>
      </w:r>
      <w:r w:rsidRPr="007935ED">
        <w:rPr>
          <w:b/>
          <w:sz w:val="22"/>
          <w:szCs w:val="22"/>
        </w:rPr>
        <w:instrText xml:space="preserve"> PAGEREF _Toc373149117 \h </w:instrText>
      </w:r>
      <w:r w:rsidR="00421002" w:rsidRPr="007935ED">
        <w:rPr>
          <w:b/>
          <w:sz w:val="22"/>
          <w:szCs w:val="22"/>
        </w:rPr>
      </w:r>
      <w:r w:rsidR="00421002" w:rsidRPr="007935ED">
        <w:rPr>
          <w:b/>
          <w:sz w:val="22"/>
          <w:szCs w:val="22"/>
        </w:rPr>
        <w:fldChar w:fldCharType="separate"/>
      </w:r>
      <w:r w:rsidRPr="007935ED">
        <w:rPr>
          <w:b/>
          <w:sz w:val="22"/>
          <w:szCs w:val="22"/>
        </w:rPr>
        <w:t>73</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Telstra’s local presence plan</w:t>
      </w:r>
      <w:r w:rsidRPr="007935ED">
        <w:rPr>
          <w:b/>
          <w:sz w:val="22"/>
          <w:szCs w:val="22"/>
        </w:rPr>
        <w:tab/>
      </w:r>
      <w:r w:rsidR="00421002" w:rsidRPr="007935ED">
        <w:rPr>
          <w:b/>
          <w:sz w:val="22"/>
          <w:szCs w:val="22"/>
        </w:rPr>
        <w:fldChar w:fldCharType="begin"/>
      </w:r>
      <w:r w:rsidRPr="007935ED">
        <w:rPr>
          <w:b/>
          <w:sz w:val="22"/>
          <w:szCs w:val="22"/>
        </w:rPr>
        <w:instrText xml:space="preserve"> PAGEREF _Toc373149118 \h </w:instrText>
      </w:r>
      <w:r w:rsidR="00421002" w:rsidRPr="007935ED">
        <w:rPr>
          <w:b/>
          <w:sz w:val="22"/>
          <w:szCs w:val="22"/>
        </w:rPr>
      </w:r>
      <w:r w:rsidR="00421002" w:rsidRPr="007935ED">
        <w:rPr>
          <w:b/>
          <w:sz w:val="22"/>
          <w:szCs w:val="22"/>
        </w:rPr>
        <w:fldChar w:fldCharType="separate"/>
      </w:r>
      <w:r w:rsidRPr="007935ED">
        <w:rPr>
          <w:b/>
          <w:sz w:val="22"/>
          <w:szCs w:val="22"/>
        </w:rPr>
        <w:t>74</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National Relay Service</w:t>
      </w:r>
      <w:r w:rsidRPr="007935ED">
        <w:rPr>
          <w:b/>
          <w:sz w:val="22"/>
          <w:szCs w:val="22"/>
        </w:rPr>
        <w:tab/>
      </w:r>
      <w:r w:rsidR="00421002" w:rsidRPr="007935ED">
        <w:rPr>
          <w:b/>
          <w:sz w:val="22"/>
          <w:szCs w:val="22"/>
        </w:rPr>
        <w:fldChar w:fldCharType="begin"/>
      </w:r>
      <w:r w:rsidRPr="007935ED">
        <w:rPr>
          <w:b/>
          <w:sz w:val="22"/>
          <w:szCs w:val="22"/>
        </w:rPr>
        <w:instrText xml:space="preserve"> PAGEREF _Toc373149119 \h </w:instrText>
      </w:r>
      <w:r w:rsidR="00421002" w:rsidRPr="007935ED">
        <w:rPr>
          <w:b/>
          <w:sz w:val="22"/>
          <w:szCs w:val="22"/>
        </w:rPr>
      </w:r>
      <w:r w:rsidR="00421002" w:rsidRPr="007935ED">
        <w:rPr>
          <w:b/>
          <w:sz w:val="22"/>
          <w:szCs w:val="22"/>
        </w:rPr>
        <w:fldChar w:fldCharType="separate"/>
      </w:r>
      <w:r w:rsidRPr="007935ED">
        <w:rPr>
          <w:b/>
          <w:sz w:val="22"/>
          <w:szCs w:val="22"/>
        </w:rPr>
        <w:t>75</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Disability equipment program</w:t>
      </w:r>
      <w:r w:rsidRPr="007935ED">
        <w:rPr>
          <w:b/>
          <w:sz w:val="22"/>
          <w:szCs w:val="22"/>
        </w:rPr>
        <w:tab/>
      </w:r>
      <w:r w:rsidR="00421002" w:rsidRPr="007935ED">
        <w:rPr>
          <w:b/>
          <w:sz w:val="22"/>
          <w:szCs w:val="22"/>
        </w:rPr>
        <w:fldChar w:fldCharType="begin"/>
      </w:r>
      <w:r w:rsidRPr="007935ED">
        <w:rPr>
          <w:b/>
          <w:sz w:val="22"/>
          <w:szCs w:val="22"/>
        </w:rPr>
        <w:instrText xml:space="preserve"> PAGEREF _Toc373149120 \h </w:instrText>
      </w:r>
      <w:r w:rsidR="00421002" w:rsidRPr="007935ED">
        <w:rPr>
          <w:b/>
          <w:sz w:val="22"/>
          <w:szCs w:val="22"/>
        </w:rPr>
      </w:r>
      <w:r w:rsidR="00421002" w:rsidRPr="007935ED">
        <w:rPr>
          <w:b/>
          <w:sz w:val="22"/>
          <w:szCs w:val="22"/>
        </w:rPr>
        <w:fldChar w:fldCharType="separate"/>
      </w:r>
      <w:r w:rsidRPr="007935ED">
        <w:rPr>
          <w:b/>
          <w:sz w:val="22"/>
          <w:szCs w:val="22"/>
        </w:rPr>
        <w:t>75</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Number portability</w:t>
      </w:r>
      <w:r w:rsidRPr="007935ED">
        <w:rPr>
          <w:b/>
          <w:sz w:val="22"/>
          <w:szCs w:val="22"/>
        </w:rPr>
        <w:tab/>
      </w:r>
      <w:r w:rsidR="00421002" w:rsidRPr="007935ED">
        <w:rPr>
          <w:b/>
          <w:sz w:val="22"/>
          <w:szCs w:val="22"/>
        </w:rPr>
        <w:fldChar w:fldCharType="begin"/>
      </w:r>
      <w:r w:rsidRPr="007935ED">
        <w:rPr>
          <w:b/>
          <w:sz w:val="22"/>
          <w:szCs w:val="22"/>
        </w:rPr>
        <w:instrText xml:space="preserve"> PAGEREF _Toc373149121 \h </w:instrText>
      </w:r>
      <w:r w:rsidR="00421002" w:rsidRPr="007935ED">
        <w:rPr>
          <w:b/>
          <w:sz w:val="22"/>
          <w:szCs w:val="22"/>
        </w:rPr>
      </w:r>
      <w:r w:rsidR="00421002" w:rsidRPr="007935ED">
        <w:rPr>
          <w:b/>
          <w:sz w:val="22"/>
          <w:szCs w:val="22"/>
        </w:rPr>
        <w:fldChar w:fldCharType="separate"/>
      </w:r>
      <w:r w:rsidRPr="007935ED">
        <w:rPr>
          <w:b/>
          <w:sz w:val="22"/>
          <w:szCs w:val="22"/>
        </w:rPr>
        <w:t>75</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Local number portability</w:t>
      </w:r>
      <w:r>
        <w:tab/>
      </w:r>
      <w:r w:rsidR="00421002">
        <w:fldChar w:fldCharType="begin"/>
      </w:r>
      <w:r>
        <w:instrText xml:space="preserve"> PAGEREF _Toc373149122 \h </w:instrText>
      </w:r>
      <w:r w:rsidR="00421002">
        <w:fldChar w:fldCharType="separate"/>
      </w:r>
      <w:r>
        <w:t>75</w:t>
      </w:r>
      <w:r w:rsidR="00421002">
        <w:fldChar w:fldCharType="end"/>
      </w:r>
    </w:p>
    <w:p w:rsidR="00D61006" w:rsidRDefault="00D61006">
      <w:pPr>
        <w:pStyle w:val="TOC3"/>
        <w:rPr>
          <w:rFonts w:asciiTheme="minorHAnsi" w:eastAsiaTheme="minorEastAsia" w:hAnsiTheme="minorHAnsi" w:cstheme="minorBidi"/>
          <w:color w:val="auto"/>
        </w:rPr>
      </w:pPr>
      <w:r>
        <w:t>Freephone and local rate number (FLRN) portability</w:t>
      </w:r>
      <w:r>
        <w:tab/>
      </w:r>
      <w:r w:rsidR="00421002">
        <w:fldChar w:fldCharType="begin"/>
      </w:r>
      <w:r>
        <w:instrText xml:space="preserve"> PAGEREF _Toc373149123 \h </w:instrText>
      </w:r>
      <w:r w:rsidR="00421002">
        <w:fldChar w:fldCharType="separate"/>
      </w:r>
      <w:r>
        <w:t>76</w:t>
      </w:r>
      <w:r w:rsidR="00421002">
        <w:fldChar w:fldCharType="end"/>
      </w:r>
    </w:p>
    <w:p w:rsidR="00D61006" w:rsidRDefault="00D61006">
      <w:pPr>
        <w:pStyle w:val="TOC3"/>
        <w:rPr>
          <w:rFonts w:asciiTheme="minorHAnsi" w:eastAsiaTheme="minorEastAsia" w:hAnsiTheme="minorHAnsi" w:cstheme="minorBidi"/>
          <w:color w:val="auto"/>
        </w:rPr>
      </w:pPr>
      <w:r>
        <w:t>Mobile number portability</w:t>
      </w:r>
      <w:r>
        <w:tab/>
      </w:r>
      <w:r w:rsidR="00421002">
        <w:fldChar w:fldCharType="begin"/>
      </w:r>
      <w:r>
        <w:instrText xml:space="preserve"> PAGEREF _Toc373149124 \h </w:instrText>
      </w:r>
      <w:r w:rsidR="00421002">
        <w:fldChar w:fldCharType="separate"/>
      </w:r>
      <w:r>
        <w:t>76</w:t>
      </w:r>
      <w:r w:rsidR="00421002">
        <w:fldChar w:fldCharType="end"/>
      </w:r>
    </w:p>
    <w:p w:rsidR="00D61006" w:rsidRDefault="00D61006">
      <w:pPr>
        <w:pStyle w:val="TOC3"/>
        <w:rPr>
          <w:rFonts w:asciiTheme="minorHAnsi" w:eastAsiaTheme="minorEastAsia" w:hAnsiTheme="minorHAnsi" w:cstheme="minorBidi"/>
          <w:color w:val="auto"/>
        </w:rPr>
      </w:pPr>
      <w:r>
        <w:t>Consumer awareness and attitudes towards local number portability</w:t>
      </w:r>
      <w:r>
        <w:tab/>
      </w:r>
      <w:r w:rsidR="00421002">
        <w:fldChar w:fldCharType="begin"/>
      </w:r>
      <w:r>
        <w:instrText xml:space="preserve"> PAGEREF _Toc373149125 \h </w:instrText>
      </w:r>
      <w:r w:rsidR="00421002">
        <w:fldChar w:fldCharType="separate"/>
      </w:r>
      <w:r>
        <w:t>76</w:t>
      </w:r>
      <w:r w:rsidR="00421002">
        <w:fldChar w:fldCharType="end"/>
      </w:r>
    </w:p>
    <w:p w:rsidR="00D61006" w:rsidRPr="007935ED" w:rsidRDefault="00D61006" w:rsidP="007935ED">
      <w:pPr>
        <w:pStyle w:val="TOC2"/>
        <w:spacing w:before="40"/>
        <w:rPr>
          <w:b/>
          <w:sz w:val="22"/>
          <w:szCs w:val="22"/>
        </w:rPr>
      </w:pPr>
      <w:r w:rsidRPr="007935ED">
        <w:rPr>
          <w:b/>
          <w:sz w:val="22"/>
          <w:szCs w:val="22"/>
        </w:rPr>
        <w:t>Pre-selection and call override</w:t>
      </w:r>
      <w:r w:rsidRPr="007935ED">
        <w:rPr>
          <w:b/>
          <w:sz w:val="22"/>
          <w:szCs w:val="22"/>
        </w:rPr>
        <w:tab/>
      </w:r>
      <w:r w:rsidR="00421002" w:rsidRPr="007935ED">
        <w:rPr>
          <w:b/>
          <w:sz w:val="22"/>
          <w:szCs w:val="22"/>
        </w:rPr>
        <w:fldChar w:fldCharType="begin"/>
      </w:r>
      <w:r w:rsidRPr="007935ED">
        <w:rPr>
          <w:b/>
          <w:sz w:val="22"/>
          <w:szCs w:val="22"/>
        </w:rPr>
        <w:instrText xml:space="preserve"> PAGEREF _Toc373149126 \h </w:instrText>
      </w:r>
      <w:r w:rsidR="00421002" w:rsidRPr="007935ED">
        <w:rPr>
          <w:b/>
          <w:sz w:val="22"/>
          <w:szCs w:val="22"/>
        </w:rPr>
      </w:r>
      <w:r w:rsidR="00421002" w:rsidRPr="007935ED">
        <w:rPr>
          <w:b/>
          <w:sz w:val="22"/>
          <w:szCs w:val="22"/>
        </w:rPr>
        <w:fldChar w:fldCharType="separate"/>
      </w:r>
      <w:r w:rsidRPr="007935ED">
        <w:rPr>
          <w:b/>
          <w:sz w:val="22"/>
          <w:szCs w:val="22"/>
        </w:rPr>
        <w:t>77</w:t>
      </w:r>
      <w:r w:rsidR="00421002" w:rsidRPr="007935ED">
        <w:rPr>
          <w:b/>
          <w:sz w:val="22"/>
          <w:szCs w:val="22"/>
        </w:rPr>
        <w:fldChar w:fldCharType="end"/>
      </w:r>
    </w:p>
    <w:p w:rsidR="00186F29" w:rsidRDefault="00186F29">
      <w:pPr>
        <w:spacing w:line="240" w:lineRule="auto"/>
        <w:rPr>
          <w:b/>
          <w:noProof/>
          <w:color w:val="808285"/>
          <w:spacing w:val="-14"/>
          <w:sz w:val="22"/>
          <w:szCs w:val="22"/>
        </w:rPr>
      </w:pPr>
      <w:r>
        <w:rPr>
          <w:b/>
          <w:sz w:val="22"/>
          <w:szCs w:val="22"/>
        </w:rPr>
        <w:br w:type="page"/>
      </w:r>
    </w:p>
    <w:p w:rsidR="00D61006" w:rsidRPr="007935ED" w:rsidRDefault="00D61006" w:rsidP="007935ED">
      <w:pPr>
        <w:pStyle w:val="TOC2"/>
        <w:spacing w:before="40"/>
        <w:rPr>
          <w:b/>
          <w:sz w:val="22"/>
          <w:szCs w:val="22"/>
        </w:rPr>
      </w:pPr>
      <w:r w:rsidRPr="007935ED">
        <w:rPr>
          <w:b/>
          <w:sz w:val="22"/>
          <w:szCs w:val="22"/>
        </w:rPr>
        <w:t>Cabling regulation</w:t>
      </w:r>
      <w:r w:rsidRPr="007935ED">
        <w:rPr>
          <w:b/>
          <w:sz w:val="22"/>
          <w:szCs w:val="22"/>
        </w:rPr>
        <w:tab/>
      </w:r>
      <w:r w:rsidR="00421002" w:rsidRPr="007935ED">
        <w:rPr>
          <w:b/>
          <w:sz w:val="22"/>
          <w:szCs w:val="22"/>
        </w:rPr>
        <w:fldChar w:fldCharType="begin"/>
      </w:r>
      <w:r w:rsidRPr="007935ED">
        <w:rPr>
          <w:b/>
          <w:sz w:val="22"/>
          <w:szCs w:val="22"/>
        </w:rPr>
        <w:instrText xml:space="preserve"> PAGEREF _Toc373149127 \h </w:instrText>
      </w:r>
      <w:r w:rsidR="00421002" w:rsidRPr="007935ED">
        <w:rPr>
          <w:b/>
          <w:sz w:val="22"/>
          <w:szCs w:val="22"/>
        </w:rPr>
      </w:r>
      <w:r w:rsidR="00421002" w:rsidRPr="007935ED">
        <w:rPr>
          <w:b/>
          <w:sz w:val="22"/>
          <w:szCs w:val="22"/>
        </w:rPr>
        <w:fldChar w:fldCharType="separate"/>
      </w:r>
      <w:r w:rsidRPr="007935ED">
        <w:rPr>
          <w:b/>
          <w:sz w:val="22"/>
          <w:szCs w:val="22"/>
        </w:rPr>
        <w:t>77</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Registered cablers</w:t>
      </w:r>
      <w:r>
        <w:tab/>
      </w:r>
      <w:r w:rsidR="00421002">
        <w:fldChar w:fldCharType="begin"/>
      </w:r>
      <w:r>
        <w:instrText xml:space="preserve"> PAGEREF _Toc373149128 \h </w:instrText>
      </w:r>
      <w:r w:rsidR="00421002">
        <w:fldChar w:fldCharType="separate"/>
      </w:r>
      <w:r>
        <w:t>77</w:t>
      </w:r>
      <w:r w:rsidR="00421002">
        <w:fldChar w:fldCharType="end"/>
      </w:r>
    </w:p>
    <w:p w:rsidR="00D61006" w:rsidRDefault="00D61006">
      <w:pPr>
        <w:pStyle w:val="TOC3"/>
        <w:rPr>
          <w:rFonts w:asciiTheme="minorHAnsi" w:eastAsiaTheme="minorEastAsia" w:hAnsiTheme="minorHAnsi" w:cstheme="minorBidi"/>
          <w:color w:val="auto"/>
        </w:rPr>
      </w:pPr>
      <w:r>
        <w:t>Enforcing cabling compliance</w:t>
      </w:r>
      <w:r>
        <w:tab/>
      </w:r>
      <w:r w:rsidR="00421002">
        <w:fldChar w:fldCharType="begin"/>
      </w:r>
      <w:r>
        <w:instrText xml:space="preserve"> PAGEREF _Toc373149129 \h </w:instrText>
      </w:r>
      <w:r w:rsidR="00421002">
        <w:fldChar w:fldCharType="separate"/>
      </w:r>
      <w:r>
        <w:t>78</w:t>
      </w:r>
      <w:r w:rsidR="00421002">
        <w:fldChar w:fldCharType="end"/>
      </w:r>
    </w:p>
    <w:p w:rsidR="00D61006" w:rsidRPr="007935ED" w:rsidRDefault="00D61006" w:rsidP="007935ED">
      <w:pPr>
        <w:pStyle w:val="TOC2"/>
        <w:spacing w:before="40"/>
        <w:rPr>
          <w:b/>
          <w:sz w:val="22"/>
          <w:szCs w:val="22"/>
        </w:rPr>
      </w:pPr>
      <w:r w:rsidRPr="007935ED">
        <w:rPr>
          <w:b/>
          <w:sz w:val="22"/>
          <w:szCs w:val="22"/>
        </w:rPr>
        <w:t>Do Not Call Register</w:t>
      </w:r>
      <w:r w:rsidRPr="007935ED">
        <w:rPr>
          <w:b/>
          <w:sz w:val="22"/>
          <w:szCs w:val="22"/>
        </w:rPr>
        <w:tab/>
      </w:r>
      <w:r w:rsidR="00421002" w:rsidRPr="007935ED">
        <w:rPr>
          <w:b/>
          <w:sz w:val="22"/>
          <w:szCs w:val="22"/>
        </w:rPr>
        <w:fldChar w:fldCharType="begin"/>
      </w:r>
      <w:r w:rsidRPr="007935ED">
        <w:rPr>
          <w:b/>
          <w:sz w:val="22"/>
          <w:szCs w:val="22"/>
        </w:rPr>
        <w:instrText xml:space="preserve"> PAGEREF _Toc373149130 \h </w:instrText>
      </w:r>
      <w:r w:rsidR="00421002" w:rsidRPr="007935ED">
        <w:rPr>
          <w:b/>
          <w:sz w:val="22"/>
          <w:szCs w:val="22"/>
        </w:rPr>
      </w:r>
      <w:r w:rsidR="00421002" w:rsidRPr="007935ED">
        <w:rPr>
          <w:b/>
          <w:sz w:val="22"/>
          <w:szCs w:val="22"/>
        </w:rPr>
        <w:fldChar w:fldCharType="separate"/>
      </w:r>
      <w:r w:rsidRPr="007935ED">
        <w:rPr>
          <w:b/>
          <w:sz w:val="22"/>
          <w:szCs w:val="22"/>
        </w:rPr>
        <w:t>78</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Compliance and enforcement</w:t>
      </w:r>
      <w:r>
        <w:tab/>
      </w:r>
      <w:r w:rsidR="00421002">
        <w:fldChar w:fldCharType="begin"/>
      </w:r>
      <w:r>
        <w:instrText xml:space="preserve"> PAGEREF _Toc373149131 \h </w:instrText>
      </w:r>
      <w:r w:rsidR="00421002">
        <w:fldChar w:fldCharType="separate"/>
      </w:r>
      <w:r>
        <w:t>79</w:t>
      </w:r>
      <w:r w:rsidR="00421002">
        <w:fldChar w:fldCharType="end"/>
      </w:r>
    </w:p>
    <w:p w:rsidR="00D61006" w:rsidRDefault="00D61006">
      <w:pPr>
        <w:pStyle w:val="TOC3"/>
        <w:rPr>
          <w:rFonts w:asciiTheme="minorHAnsi" w:eastAsiaTheme="minorEastAsia" w:hAnsiTheme="minorHAnsi" w:cstheme="minorBidi"/>
          <w:color w:val="auto"/>
        </w:rPr>
      </w:pPr>
      <w:r>
        <w:t>Complaints</w:t>
      </w:r>
      <w:r>
        <w:tab/>
      </w:r>
      <w:r w:rsidR="00421002">
        <w:fldChar w:fldCharType="begin"/>
      </w:r>
      <w:r>
        <w:instrText xml:space="preserve"> PAGEREF _Toc373149132 \h </w:instrText>
      </w:r>
      <w:r w:rsidR="00421002">
        <w:fldChar w:fldCharType="separate"/>
      </w:r>
      <w:r>
        <w:t>79</w:t>
      </w:r>
      <w:r w:rsidR="00421002">
        <w:fldChar w:fldCharType="end"/>
      </w:r>
    </w:p>
    <w:p w:rsidR="00D61006" w:rsidRDefault="00D61006">
      <w:pPr>
        <w:pStyle w:val="TOC3"/>
        <w:rPr>
          <w:rFonts w:asciiTheme="minorHAnsi" w:eastAsiaTheme="minorEastAsia" w:hAnsiTheme="minorHAnsi" w:cstheme="minorBidi"/>
          <w:color w:val="auto"/>
        </w:rPr>
      </w:pPr>
      <w:r>
        <w:t>Complaint classifications</w:t>
      </w:r>
      <w:r>
        <w:tab/>
      </w:r>
      <w:r w:rsidR="00421002">
        <w:fldChar w:fldCharType="begin"/>
      </w:r>
      <w:r>
        <w:instrText xml:space="preserve"> PAGEREF _Toc373149133 \h </w:instrText>
      </w:r>
      <w:r w:rsidR="00421002">
        <w:fldChar w:fldCharType="separate"/>
      </w:r>
      <w:r>
        <w:t>80</w:t>
      </w:r>
      <w:r w:rsidR="00421002">
        <w:fldChar w:fldCharType="end"/>
      </w:r>
    </w:p>
    <w:p w:rsidR="00D61006" w:rsidRDefault="00D61006">
      <w:pPr>
        <w:pStyle w:val="TOC3"/>
        <w:rPr>
          <w:rFonts w:asciiTheme="minorHAnsi" w:eastAsiaTheme="minorEastAsia" w:hAnsiTheme="minorHAnsi" w:cstheme="minorBidi"/>
          <w:color w:val="auto"/>
        </w:rPr>
      </w:pPr>
      <w:r>
        <w:t>Telemarketing and fax marketing</w:t>
      </w:r>
      <w:r>
        <w:tab/>
      </w:r>
      <w:r w:rsidR="00421002">
        <w:fldChar w:fldCharType="begin"/>
      </w:r>
      <w:r>
        <w:instrText xml:space="preserve"> PAGEREF _Toc373149134 \h </w:instrText>
      </w:r>
      <w:r w:rsidR="00421002">
        <w:fldChar w:fldCharType="separate"/>
      </w:r>
      <w:r>
        <w:t>80</w:t>
      </w:r>
      <w:r w:rsidR="00421002">
        <w:fldChar w:fldCharType="end"/>
      </w:r>
    </w:p>
    <w:p w:rsidR="00D61006" w:rsidRDefault="00D61006">
      <w:pPr>
        <w:pStyle w:val="TOC3"/>
        <w:rPr>
          <w:rFonts w:asciiTheme="minorHAnsi" w:eastAsiaTheme="minorEastAsia" w:hAnsiTheme="minorHAnsi" w:cstheme="minorBidi"/>
          <w:color w:val="auto"/>
        </w:rPr>
      </w:pPr>
      <w:r>
        <w:t>Advisory and warning letters (informal phase)</w:t>
      </w:r>
      <w:r>
        <w:tab/>
      </w:r>
      <w:r w:rsidR="00421002">
        <w:fldChar w:fldCharType="begin"/>
      </w:r>
      <w:r>
        <w:instrText xml:space="preserve"> PAGEREF _Toc373149135 \h </w:instrText>
      </w:r>
      <w:r w:rsidR="00421002">
        <w:fldChar w:fldCharType="separate"/>
      </w:r>
      <w:r>
        <w:t>81</w:t>
      </w:r>
      <w:r w:rsidR="00421002">
        <w:fldChar w:fldCharType="end"/>
      </w:r>
    </w:p>
    <w:p w:rsidR="00D61006" w:rsidRDefault="00D61006">
      <w:pPr>
        <w:pStyle w:val="TOC3"/>
        <w:rPr>
          <w:rFonts w:asciiTheme="minorHAnsi" w:eastAsiaTheme="minorEastAsia" w:hAnsiTheme="minorHAnsi" w:cstheme="minorBidi"/>
          <w:color w:val="auto"/>
        </w:rPr>
      </w:pPr>
      <w:r>
        <w:t>Investigation and enforcement (formal phase)</w:t>
      </w:r>
      <w:r>
        <w:tab/>
      </w:r>
      <w:r w:rsidR="00421002">
        <w:fldChar w:fldCharType="begin"/>
      </w:r>
      <w:r>
        <w:instrText xml:space="preserve"> PAGEREF _Toc373149136 \h </w:instrText>
      </w:r>
      <w:r w:rsidR="00421002">
        <w:fldChar w:fldCharType="separate"/>
      </w:r>
      <w:r>
        <w:t>81</w:t>
      </w:r>
      <w:r w:rsidR="00421002">
        <w:fldChar w:fldCharType="end"/>
      </w:r>
    </w:p>
    <w:p w:rsidR="00D61006" w:rsidRPr="007935ED" w:rsidRDefault="00D61006" w:rsidP="007935ED">
      <w:pPr>
        <w:pStyle w:val="TOC2"/>
        <w:spacing w:before="40"/>
        <w:rPr>
          <w:b/>
          <w:sz w:val="22"/>
          <w:szCs w:val="22"/>
        </w:rPr>
      </w:pPr>
      <w:r w:rsidRPr="007935ED">
        <w:rPr>
          <w:b/>
          <w:sz w:val="22"/>
          <w:szCs w:val="22"/>
        </w:rPr>
        <w:t>Spam and e-marketing</w:t>
      </w:r>
      <w:r w:rsidRPr="007935ED">
        <w:rPr>
          <w:b/>
          <w:sz w:val="22"/>
          <w:szCs w:val="22"/>
        </w:rPr>
        <w:tab/>
      </w:r>
      <w:r w:rsidR="00421002" w:rsidRPr="007935ED">
        <w:rPr>
          <w:b/>
          <w:sz w:val="22"/>
          <w:szCs w:val="22"/>
        </w:rPr>
        <w:fldChar w:fldCharType="begin"/>
      </w:r>
      <w:r w:rsidRPr="007935ED">
        <w:rPr>
          <w:b/>
          <w:sz w:val="22"/>
          <w:szCs w:val="22"/>
        </w:rPr>
        <w:instrText xml:space="preserve"> PAGEREF _Toc373149137 \h </w:instrText>
      </w:r>
      <w:r w:rsidR="00421002" w:rsidRPr="007935ED">
        <w:rPr>
          <w:b/>
          <w:sz w:val="22"/>
          <w:szCs w:val="22"/>
        </w:rPr>
      </w:r>
      <w:r w:rsidR="00421002" w:rsidRPr="007935ED">
        <w:rPr>
          <w:b/>
          <w:sz w:val="22"/>
          <w:szCs w:val="22"/>
        </w:rPr>
        <w:fldChar w:fldCharType="separate"/>
      </w:r>
      <w:r w:rsidRPr="007935ED">
        <w:rPr>
          <w:b/>
          <w:sz w:val="22"/>
          <w:szCs w:val="22"/>
        </w:rPr>
        <w:t>81</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Spam</w:t>
      </w:r>
      <w:r>
        <w:tab/>
      </w:r>
      <w:r w:rsidR="00421002">
        <w:fldChar w:fldCharType="begin"/>
      </w:r>
      <w:r>
        <w:instrText xml:space="preserve"> PAGEREF _Toc373149138 \h </w:instrText>
      </w:r>
      <w:r w:rsidR="00421002">
        <w:fldChar w:fldCharType="separate"/>
      </w:r>
      <w:r>
        <w:t>81</w:t>
      </w:r>
      <w:r w:rsidR="00421002">
        <w:fldChar w:fldCharType="end"/>
      </w:r>
    </w:p>
    <w:p w:rsidR="00D61006" w:rsidRDefault="00D61006">
      <w:pPr>
        <w:pStyle w:val="TOC3"/>
        <w:rPr>
          <w:rFonts w:asciiTheme="minorHAnsi" w:eastAsiaTheme="minorEastAsia" w:hAnsiTheme="minorHAnsi" w:cstheme="minorBidi"/>
          <w:color w:val="auto"/>
        </w:rPr>
      </w:pPr>
      <w:r>
        <w:t>E-marketing</w:t>
      </w:r>
      <w:r>
        <w:tab/>
      </w:r>
      <w:r w:rsidR="00421002">
        <w:fldChar w:fldCharType="begin"/>
      </w:r>
      <w:r>
        <w:instrText xml:space="preserve"> PAGEREF _Toc373149139 \h </w:instrText>
      </w:r>
      <w:r w:rsidR="00421002">
        <w:fldChar w:fldCharType="separate"/>
      </w:r>
      <w:r>
        <w:t>82</w:t>
      </w:r>
      <w:r w:rsidR="00421002">
        <w:fldChar w:fldCharType="end"/>
      </w:r>
    </w:p>
    <w:p w:rsidR="00D61006" w:rsidRPr="007935ED" w:rsidRDefault="00D61006" w:rsidP="007935ED">
      <w:pPr>
        <w:pStyle w:val="TOC2"/>
        <w:spacing w:before="40"/>
        <w:rPr>
          <w:b/>
          <w:sz w:val="22"/>
          <w:szCs w:val="22"/>
        </w:rPr>
      </w:pPr>
      <w:r w:rsidRPr="007935ED">
        <w:rPr>
          <w:b/>
          <w:sz w:val="22"/>
          <w:szCs w:val="22"/>
        </w:rPr>
        <w:t>Cybersecurity</w:t>
      </w:r>
      <w:r w:rsidRPr="007935ED">
        <w:rPr>
          <w:b/>
          <w:sz w:val="22"/>
          <w:szCs w:val="22"/>
        </w:rPr>
        <w:tab/>
      </w:r>
      <w:r w:rsidR="00421002" w:rsidRPr="007935ED">
        <w:rPr>
          <w:b/>
          <w:sz w:val="22"/>
          <w:szCs w:val="22"/>
        </w:rPr>
        <w:fldChar w:fldCharType="begin"/>
      </w:r>
      <w:r w:rsidRPr="007935ED">
        <w:rPr>
          <w:b/>
          <w:sz w:val="22"/>
          <w:szCs w:val="22"/>
        </w:rPr>
        <w:instrText xml:space="preserve"> PAGEREF _Toc373149140 \h </w:instrText>
      </w:r>
      <w:r w:rsidR="00421002" w:rsidRPr="007935ED">
        <w:rPr>
          <w:b/>
          <w:sz w:val="22"/>
          <w:szCs w:val="22"/>
        </w:rPr>
      </w:r>
      <w:r w:rsidR="00421002" w:rsidRPr="007935ED">
        <w:rPr>
          <w:b/>
          <w:sz w:val="22"/>
          <w:szCs w:val="22"/>
        </w:rPr>
        <w:fldChar w:fldCharType="separate"/>
      </w:r>
      <w:r w:rsidRPr="007935ED">
        <w:rPr>
          <w:b/>
          <w:sz w:val="22"/>
          <w:szCs w:val="22"/>
        </w:rPr>
        <w:t>83</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Telecommunications codes—development and review</w:t>
      </w:r>
      <w:r w:rsidRPr="007935ED">
        <w:rPr>
          <w:b/>
          <w:sz w:val="22"/>
          <w:szCs w:val="22"/>
        </w:rPr>
        <w:tab/>
      </w:r>
      <w:r w:rsidR="00421002" w:rsidRPr="007935ED">
        <w:rPr>
          <w:b/>
          <w:sz w:val="22"/>
          <w:szCs w:val="22"/>
        </w:rPr>
        <w:fldChar w:fldCharType="begin"/>
      </w:r>
      <w:r w:rsidRPr="007935ED">
        <w:rPr>
          <w:b/>
          <w:sz w:val="22"/>
          <w:szCs w:val="22"/>
        </w:rPr>
        <w:instrText xml:space="preserve"> PAGEREF _Toc373149141 \h </w:instrText>
      </w:r>
      <w:r w:rsidR="00421002" w:rsidRPr="007935ED">
        <w:rPr>
          <w:b/>
          <w:sz w:val="22"/>
          <w:szCs w:val="22"/>
        </w:rPr>
      </w:r>
      <w:r w:rsidR="00421002" w:rsidRPr="007935ED">
        <w:rPr>
          <w:b/>
          <w:sz w:val="22"/>
          <w:szCs w:val="22"/>
        </w:rPr>
        <w:fldChar w:fldCharType="separate"/>
      </w:r>
      <w:r w:rsidRPr="007935ED">
        <w:rPr>
          <w:b/>
          <w:sz w:val="22"/>
          <w:szCs w:val="22"/>
        </w:rPr>
        <w:t>83</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Industry compliance with telecommunications codes</w:t>
      </w:r>
      <w:r w:rsidRPr="007935ED">
        <w:rPr>
          <w:b/>
          <w:sz w:val="22"/>
          <w:szCs w:val="22"/>
        </w:rPr>
        <w:tab/>
      </w:r>
      <w:r w:rsidR="00421002" w:rsidRPr="007935ED">
        <w:rPr>
          <w:b/>
          <w:sz w:val="22"/>
          <w:szCs w:val="22"/>
        </w:rPr>
        <w:fldChar w:fldCharType="begin"/>
      </w:r>
      <w:r w:rsidRPr="007935ED">
        <w:rPr>
          <w:b/>
          <w:sz w:val="22"/>
          <w:szCs w:val="22"/>
        </w:rPr>
        <w:instrText xml:space="preserve"> PAGEREF _Toc373149142 \h </w:instrText>
      </w:r>
      <w:r w:rsidR="00421002" w:rsidRPr="007935ED">
        <w:rPr>
          <w:b/>
          <w:sz w:val="22"/>
          <w:szCs w:val="22"/>
        </w:rPr>
      </w:r>
      <w:r w:rsidR="00421002" w:rsidRPr="007935ED">
        <w:rPr>
          <w:b/>
          <w:sz w:val="22"/>
          <w:szCs w:val="22"/>
        </w:rPr>
        <w:fldChar w:fldCharType="separate"/>
      </w:r>
      <w:r w:rsidRPr="007935ED">
        <w:rPr>
          <w:b/>
          <w:sz w:val="22"/>
          <w:szCs w:val="22"/>
        </w:rPr>
        <w:t>84</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AAPT investigation</w:t>
      </w:r>
      <w:r>
        <w:tab/>
      </w:r>
      <w:r w:rsidR="00421002">
        <w:fldChar w:fldCharType="begin"/>
      </w:r>
      <w:r>
        <w:instrText xml:space="preserve"> PAGEREF _Toc373149143 \h </w:instrText>
      </w:r>
      <w:r w:rsidR="00421002">
        <w:fldChar w:fldCharType="separate"/>
      </w:r>
      <w:r>
        <w:t>84</w:t>
      </w:r>
      <w:r w:rsidR="00421002">
        <w:fldChar w:fldCharType="end"/>
      </w:r>
    </w:p>
    <w:p w:rsidR="00D61006" w:rsidRDefault="00D61006">
      <w:pPr>
        <w:pStyle w:val="TOC3"/>
        <w:rPr>
          <w:rFonts w:asciiTheme="minorHAnsi" w:eastAsiaTheme="minorEastAsia" w:hAnsiTheme="minorHAnsi" w:cstheme="minorBidi"/>
          <w:color w:val="auto"/>
        </w:rPr>
      </w:pPr>
      <w:r>
        <w:t>Telstra—international roaming investigation</w:t>
      </w:r>
      <w:r>
        <w:tab/>
      </w:r>
      <w:r w:rsidR="00421002">
        <w:fldChar w:fldCharType="begin"/>
      </w:r>
      <w:r>
        <w:instrText xml:space="preserve"> PAGEREF _Toc373149144 \h </w:instrText>
      </w:r>
      <w:r w:rsidR="00421002">
        <w:fldChar w:fldCharType="separate"/>
      </w:r>
      <w:r>
        <w:t>84</w:t>
      </w:r>
      <w:r w:rsidR="00421002">
        <w:fldChar w:fldCharType="end"/>
      </w:r>
    </w:p>
    <w:p w:rsidR="00D61006" w:rsidRDefault="00D61006">
      <w:pPr>
        <w:pStyle w:val="TOC3"/>
        <w:rPr>
          <w:rFonts w:asciiTheme="minorHAnsi" w:eastAsiaTheme="minorEastAsia" w:hAnsiTheme="minorHAnsi" w:cstheme="minorBidi"/>
          <w:color w:val="auto"/>
        </w:rPr>
      </w:pPr>
      <w:r>
        <w:t>Startel investigation</w:t>
      </w:r>
      <w:r>
        <w:tab/>
      </w:r>
      <w:r w:rsidR="00421002">
        <w:fldChar w:fldCharType="begin"/>
      </w:r>
      <w:r>
        <w:instrText xml:space="preserve"> PAGEREF _Toc373149145 \h </w:instrText>
      </w:r>
      <w:r w:rsidR="00421002">
        <w:fldChar w:fldCharType="separate"/>
      </w:r>
      <w:r>
        <w:t>84</w:t>
      </w:r>
      <w:r w:rsidR="00421002">
        <w:fldChar w:fldCharType="end"/>
      </w:r>
    </w:p>
    <w:p w:rsidR="00D61006" w:rsidRDefault="00D61006">
      <w:pPr>
        <w:pStyle w:val="TOC3"/>
        <w:rPr>
          <w:rFonts w:asciiTheme="minorHAnsi" w:eastAsiaTheme="minorEastAsia" w:hAnsiTheme="minorHAnsi" w:cstheme="minorBidi"/>
          <w:color w:val="auto"/>
        </w:rPr>
      </w:pPr>
      <w:r>
        <w:t>Compliance with the TCP Code 2012</w:t>
      </w:r>
      <w:r>
        <w:tab/>
      </w:r>
      <w:r w:rsidR="00421002">
        <w:fldChar w:fldCharType="begin"/>
      </w:r>
      <w:r>
        <w:instrText xml:space="preserve"> PAGEREF _Toc373149146 \h </w:instrText>
      </w:r>
      <w:r w:rsidR="00421002">
        <w:fldChar w:fldCharType="separate"/>
      </w:r>
      <w:r>
        <w:t>85</w:t>
      </w:r>
      <w:r w:rsidR="00421002">
        <w:fldChar w:fldCharType="end"/>
      </w:r>
    </w:p>
    <w:p w:rsidR="00D61006" w:rsidRPr="007935ED" w:rsidRDefault="00D61006" w:rsidP="007935ED">
      <w:pPr>
        <w:pStyle w:val="TOC2"/>
        <w:spacing w:before="40"/>
        <w:rPr>
          <w:b/>
          <w:sz w:val="22"/>
          <w:szCs w:val="22"/>
        </w:rPr>
      </w:pPr>
      <w:r>
        <w:t>I</w:t>
      </w:r>
      <w:r w:rsidRPr="007935ED">
        <w:rPr>
          <w:b/>
          <w:sz w:val="22"/>
          <w:szCs w:val="22"/>
        </w:rPr>
        <w:t>ndustry compliance with TIO scheme</w:t>
      </w:r>
      <w:r w:rsidRPr="007935ED">
        <w:rPr>
          <w:b/>
          <w:sz w:val="22"/>
          <w:szCs w:val="22"/>
        </w:rPr>
        <w:tab/>
      </w:r>
      <w:r w:rsidR="00421002" w:rsidRPr="007935ED">
        <w:rPr>
          <w:b/>
          <w:sz w:val="22"/>
          <w:szCs w:val="22"/>
        </w:rPr>
        <w:fldChar w:fldCharType="begin"/>
      </w:r>
      <w:r w:rsidRPr="007935ED">
        <w:rPr>
          <w:b/>
          <w:sz w:val="22"/>
          <w:szCs w:val="22"/>
        </w:rPr>
        <w:instrText xml:space="preserve"> PAGEREF _Toc373149147 \h </w:instrText>
      </w:r>
      <w:r w:rsidR="00421002" w:rsidRPr="007935ED">
        <w:rPr>
          <w:b/>
          <w:sz w:val="22"/>
          <w:szCs w:val="22"/>
        </w:rPr>
      </w:r>
      <w:r w:rsidR="00421002" w:rsidRPr="007935ED">
        <w:rPr>
          <w:b/>
          <w:sz w:val="22"/>
          <w:szCs w:val="22"/>
        </w:rPr>
        <w:fldChar w:fldCharType="separate"/>
      </w:r>
      <w:r w:rsidRPr="007935ED">
        <w:rPr>
          <w:b/>
          <w:sz w:val="22"/>
          <w:szCs w:val="22"/>
        </w:rPr>
        <w:t>86</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Complaints to the TIO</w:t>
      </w:r>
      <w:r w:rsidRPr="007935ED">
        <w:rPr>
          <w:b/>
          <w:sz w:val="22"/>
          <w:szCs w:val="22"/>
        </w:rPr>
        <w:tab/>
      </w:r>
      <w:r w:rsidR="00421002" w:rsidRPr="007935ED">
        <w:rPr>
          <w:b/>
          <w:sz w:val="22"/>
          <w:szCs w:val="22"/>
        </w:rPr>
        <w:fldChar w:fldCharType="begin"/>
      </w:r>
      <w:r w:rsidRPr="007935ED">
        <w:rPr>
          <w:b/>
          <w:sz w:val="22"/>
          <w:szCs w:val="22"/>
        </w:rPr>
        <w:instrText xml:space="preserve"> PAGEREF _Toc373149148 \h </w:instrText>
      </w:r>
      <w:r w:rsidR="00421002" w:rsidRPr="007935ED">
        <w:rPr>
          <w:b/>
          <w:sz w:val="22"/>
          <w:szCs w:val="22"/>
        </w:rPr>
      </w:r>
      <w:r w:rsidR="00421002" w:rsidRPr="007935ED">
        <w:rPr>
          <w:b/>
          <w:sz w:val="22"/>
          <w:szCs w:val="22"/>
        </w:rPr>
        <w:fldChar w:fldCharType="separate"/>
      </w:r>
      <w:r w:rsidRPr="007935ED">
        <w:rPr>
          <w:b/>
          <w:sz w:val="22"/>
          <w:szCs w:val="22"/>
        </w:rPr>
        <w:t>86</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Consumer satisfaction with communications services</w:t>
      </w:r>
      <w:r w:rsidRPr="007935ED">
        <w:rPr>
          <w:b/>
          <w:sz w:val="22"/>
          <w:szCs w:val="22"/>
        </w:rPr>
        <w:tab/>
      </w:r>
      <w:r w:rsidR="00421002" w:rsidRPr="007935ED">
        <w:rPr>
          <w:b/>
          <w:sz w:val="22"/>
          <w:szCs w:val="22"/>
        </w:rPr>
        <w:fldChar w:fldCharType="begin"/>
      </w:r>
      <w:r w:rsidRPr="007935ED">
        <w:rPr>
          <w:b/>
          <w:sz w:val="22"/>
          <w:szCs w:val="22"/>
        </w:rPr>
        <w:instrText xml:space="preserve"> PAGEREF _Toc373149149 \h </w:instrText>
      </w:r>
      <w:r w:rsidR="00421002" w:rsidRPr="007935ED">
        <w:rPr>
          <w:b/>
          <w:sz w:val="22"/>
          <w:szCs w:val="22"/>
        </w:rPr>
      </w:r>
      <w:r w:rsidR="00421002" w:rsidRPr="007935ED">
        <w:rPr>
          <w:b/>
          <w:sz w:val="22"/>
          <w:szCs w:val="22"/>
        </w:rPr>
        <w:fldChar w:fldCharType="separate"/>
      </w:r>
      <w:r w:rsidRPr="007935ED">
        <w:rPr>
          <w:b/>
          <w:sz w:val="22"/>
          <w:szCs w:val="22"/>
        </w:rPr>
        <w:t>87</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Satisfaction with communications service components</w:t>
      </w:r>
      <w:r>
        <w:tab/>
      </w:r>
      <w:r w:rsidR="00421002">
        <w:fldChar w:fldCharType="begin"/>
      </w:r>
      <w:r>
        <w:instrText xml:space="preserve"> PAGEREF _Toc373149150 \h </w:instrText>
      </w:r>
      <w:r w:rsidR="00421002">
        <w:fldChar w:fldCharType="separate"/>
      </w:r>
      <w:r>
        <w:t>88</w:t>
      </w:r>
      <w:r w:rsidR="00421002">
        <w:fldChar w:fldCharType="end"/>
      </w:r>
    </w:p>
    <w:p w:rsidR="00D61006" w:rsidRPr="007935ED" w:rsidRDefault="00D61006" w:rsidP="007935ED">
      <w:pPr>
        <w:pStyle w:val="TOC2"/>
        <w:spacing w:before="40"/>
        <w:rPr>
          <w:b/>
          <w:sz w:val="22"/>
          <w:szCs w:val="22"/>
        </w:rPr>
      </w:pPr>
      <w:r w:rsidRPr="007935ED">
        <w:rPr>
          <w:b/>
          <w:sz w:val="22"/>
          <w:szCs w:val="22"/>
        </w:rPr>
        <w:t>Communications infrastructure regulation</w:t>
      </w:r>
      <w:r w:rsidRPr="007935ED">
        <w:rPr>
          <w:b/>
          <w:sz w:val="22"/>
          <w:szCs w:val="22"/>
        </w:rPr>
        <w:tab/>
      </w:r>
      <w:r w:rsidR="00421002" w:rsidRPr="007935ED">
        <w:rPr>
          <w:b/>
          <w:sz w:val="22"/>
          <w:szCs w:val="22"/>
        </w:rPr>
        <w:fldChar w:fldCharType="begin"/>
      </w:r>
      <w:r w:rsidRPr="007935ED">
        <w:rPr>
          <w:b/>
          <w:sz w:val="22"/>
          <w:szCs w:val="22"/>
        </w:rPr>
        <w:instrText xml:space="preserve"> PAGEREF _Toc373149151 \h </w:instrText>
      </w:r>
      <w:r w:rsidR="00421002" w:rsidRPr="007935ED">
        <w:rPr>
          <w:b/>
          <w:sz w:val="22"/>
          <w:szCs w:val="22"/>
        </w:rPr>
      </w:r>
      <w:r w:rsidR="00421002" w:rsidRPr="007935ED">
        <w:rPr>
          <w:b/>
          <w:sz w:val="22"/>
          <w:szCs w:val="22"/>
        </w:rPr>
        <w:fldChar w:fldCharType="separate"/>
      </w:r>
      <w:r w:rsidRPr="007935ED">
        <w:rPr>
          <w:b/>
          <w:sz w:val="22"/>
          <w:szCs w:val="22"/>
        </w:rPr>
        <w:t>90</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Mobile phone base stations</w:t>
      </w:r>
      <w:r w:rsidRPr="007935ED">
        <w:rPr>
          <w:b/>
          <w:sz w:val="22"/>
          <w:szCs w:val="22"/>
        </w:rPr>
        <w:tab/>
      </w:r>
      <w:r w:rsidR="00421002" w:rsidRPr="007935ED">
        <w:rPr>
          <w:b/>
          <w:sz w:val="22"/>
          <w:szCs w:val="22"/>
        </w:rPr>
        <w:fldChar w:fldCharType="begin"/>
      </w:r>
      <w:r w:rsidRPr="007935ED">
        <w:rPr>
          <w:b/>
          <w:sz w:val="22"/>
          <w:szCs w:val="22"/>
        </w:rPr>
        <w:instrText xml:space="preserve"> PAGEREF _Toc373149152 \h </w:instrText>
      </w:r>
      <w:r w:rsidR="00421002" w:rsidRPr="007935ED">
        <w:rPr>
          <w:b/>
          <w:sz w:val="22"/>
          <w:szCs w:val="22"/>
        </w:rPr>
      </w:r>
      <w:r w:rsidR="00421002" w:rsidRPr="007935ED">
        <w:rPr>
          <w:b/>
          <w:sz w:val="22"/>
          <w:szCs w:val="22"/>
        </w:rPr>
        <w:fldChar w:fldCharType="separate"/>
      </w:r>
      <w:r w:rsidRPr="007935ED">
        <w:rPr>
          <w:b/>
          <w:sz w:val="22"/>
          <w:szCs w:val="22"/>
        </w:rPr>
        <w:t>91</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Complaints and enquiries to the ACMA</w:t>
      </w:r>
      <w:r>
        <w:tab/>
      </w:r>
      <w:r w:rsidR="00421002">
        <w:fldChar w:fldCharType="begin"/>
      </w:r>
      <w:r>
        <w:instrText xml:space="preserve"> PAGEREF _Toc373149153 \h </w:instrText>
      </w:r>
      <w:r w:rsidR="00421002">
        <w:fldChar w:fldCharType="separate"/>
      </w:r>
      <w:r>
        <w:t>91</w:t>
      </w:r>
      <w:r w:rsidR="00421002">
        <w:fldChar w:fldCharType="end"/>
      </w:r>
    </w:p>
    <w:p w:rsidR="00D61006" w:rsidRPr="00186F29" w:rsidRDefault="00D61006">
      <w:pPr>
        <w:pStyle w:val="TOC1"/>
        <w:rPr>
          <w:rFonts w:asciiTheme="minorHAnsi" w:eastAsiaTheme="minorEastAsia" w:hAnsiTheme="minorHAnsi" w:cstheme="minorBidi"/>
          <w:b w:val="0"/>
          <w:color w:val="0070C0"/>
          <w:spacing w:val="0"/>
          <w:sz w:val="22"/>
          <w:szCs w:val="22"/>
        </w:rPr>
      </w:pPr>
      <w:r w:rsidRPr="00186F29">
        <w:rPr>
          <w:color w:val="0070C0"/>
        </w:rPr>
        <w:t xml:space="preserve">Chapter 4 </w:t>
      </w:r>
      <w:r w:rsidR="00186F29" w:rsidRPr="00186F29">
        <w:rPr>
          <w:color w:val="0070C0"/>
        </w:rPr>
        <w:br/>
      </w:r>
      <w:r w:rsidRPr="00186F29">
        <w:rPr>
          <w:color w:val="0070C0"/>
        </w:rPr>
        <w:t>Broadcasting industry  regulatory performance</w:t>
      </w:r>
      <w:r w:rsidRPr="00186F29">
        <w:rPr>
          <w:color w:val="0070C0"/>
        </w:rPr>
        <w:tab/>
      </w:r>
      <w:r w:rsidR="00421002" w:rsidRPr="00186F29">
        <w:rPr>
          <w:color w:val="0070C0"/>
        </w:rPr>
        <w:fldChar w:fldCharType="begin"/>
      </w:r>
      <w:r w:rsidRPr="00186F29">
        <w:rPr>
          <w:color w:val="0070C0"/>
        </w:rPr>
        <w:instrText xml:space="preserve"> PAGEREF _Toc373149154 \h </w:instrText>
      </w:r>
      <w:r w:rsidR="00421002" w:rsidRPr="00186F29">
        <w:rPr>
          <w:color w:val="0070C0"/>
        </w:rPr>
      </w:r>
      <w:r w:rsidR="00421002" w:rsidRPr="00186F29">
        <w:rPr>
          <w:color w:val="0070C0"/>
        </w:rPr>
        <w:fldChar w:fldCharType="separate"/>
      </w:r>
      <w:r w:rsidRPr="00186F29">
        <w:rPr>
          <w:color w:val="0070C0"/>
        </w:rPr>
        <w:t>92</w:t>
      </w:r>
      <w:r w:rsidR="00421002" w:rsidRPr="00186F29">
        <w:rPr>
          <w:color w:val="0070C0"/>
        </w:rPr>
        <w:fldChar w:fldCharType="end"/>
      </w:r>
    </w:p>
    <w:p w:rsidR="00D61006" w:rsidRPr="007935ED" w:rsidRDefault="00D61006" w:rsidP="007935ED">
      <w:pPr>
        <w:pStyle w:val="TOC2"/>
        <w:spacing w:before="40"/>
        <w:rPr>
          <w:b/>
          <w:sz w:val="22"/>
          <w:szCs w:val="22"/>
        </w:rPr>
      </w:pPr>
      <w:r w:rsidRPr="007935ED">
        <w:rPr>
          <w:b/>
          <w:sz w:val="22"/>
          <w:szCs w:val="22"/>
        </w:rPr>
        <w:t>Overview</w:t>
      </w:r>
      <w:r w:rsidRPr="007935ED">
        <w:rPr>
          <w:b/>
          <w:sz w:val="22"/>
          <w:szCs w:val="22"/>
        </w:rPr>
        <w:tab/>
      </w:r>
      <w:r w:rsidR="00186F29">
        <w:rPr>
          <w:b/>
          <w:sz w:val="22"/>
          <w:szCs w:val="22"/>
        </w:rPr>
        <w:tab/>
      </w:r>
      <w:r w:rsidR="00421002" w:rsidRPr="007935ED">
        <w:rPr>
          <w:b/>
          <w:sz w:val="22"/>
          <w:szCs w:val="22"/>
        </w:rPr>
        <w:fldChar w:fldCharType="begin"/>
      </w:r>
      <w:r w:rsidRPr="007935ED">
        <w:rPr>
          <w:b/>
          <w:sz w:val="22"/>
          <w:szCs w:val="22"/>
        </w:rPr>
        <w:instrText xml:space="preserve"> PAGEREF _Toc373149155 \h </w:instrText>
      </w:r>
      <w:r w:rsidR="00421002" w:rsidRPr="007935ED">
        <w:rPr>
          <w:b/>
          <w:sz w:val="22"/>
          <w:szCs w:val="22"/>
        </w:rPr>
      </w:r>
      <w:r w:rsidR="00421002" w:rsidRPr="007935ED">
        <w:rPr>
          <w:b/>
          <w:sz w:val="22"/>
          <w:szCs w:val="22"/>
        </w:rPr>
        <w:fldChar w:fldCharType="separate"/>
      </w:r>
      <w:r w:rsidRPr="007935ED">
        <w:rPr>
          <w:b/>
          <w:sz w:val="22"/>
          <w:szCs w:val="22"/>
        </w:rPr>
        <w:t>92</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Australian content on television</w:t>
      </w:r>
      <w:r w:rsidRPr="007935ED">
        <w:rPr>
          <w:b/>
          <w:sz w:val="22"/>
          <w:szCs w:val="22"/>
        </w:rPr>
        <w:tab/>
      </w:r>
      <w:r w:rsidR="00421002" w:rsidRPr="007935ED">
        <w:rPr>
          <w:b/>
          <w:sz w:val="22"/>
          <w:szCs w:val="22"/>
        </w:rPr>
        <w:fldChar w:fldCharType="begin"/>
      </w:r>
      <w:r w:rsidRPr="007935ED">
        <w:rPr>
          <w:b/>
          <w:sz w:val="22"/>
          <w:szCs w:val="22"/>
        </w:rPr>
        <w:instrText xml:space="preserve"> PAGEREF _Toc373149156 \h </w:instrText>
      </w:r>
      <w:r w:rsidR="00421002" w:rsidRPr="007935ED">
        <w:rPr>
          <w:b/>
          <w:sz w:val="22"/>
          <w:szCs w:val="22"/>
        </w:rPr>
      </w:r>
      <w:r w:rsidR="00421002" w:rsidRPr="007935ED">
        <w:rPr>
          <w:b/>
          <w:sz w:val="22"/>
          <w:szCs w:val="22"/>
        </w:rPr>
        <w:fldChar w:fldCharType="separate"/>
      </w:r>
      <w:r w:rsidRPr="007935ED">
        <w:rPr>
          <w:b/>
          <w:sz w:val="22"/>
          <w:szCs w:val="22"/>
        </w:rPr>
        <w:t>92</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Children’s programs on commercial television</w:t>
      </w:r>
      <w:r>
        <w:tab/>
      </w:r>
      <w:r w:rsidR="00421002">
        <w:fldChar w:fldCharType="begin"/>
      </w:r>
      <w:r>
        <w:instrText xml:space="preserve"> PAGEREF _Toc373149157 \h </w:instrText>
      </w:r>
      <w:r w:rsidR="00421002">
        <w:fldChar w:fldCharType="separate"/>
      </w:r>
      <w:r>
        <w:t>93</w:t>
      </w:r>
      <w:r w:rsidR="00421002">
        <w:fldChar w:fldCharType="end"/>
      </w:r>
    </w:p>
    <w:p w:rsidR="00D61006" w:rsidRDefault="00D61006">
      <w:pPr>
        <w:pStyle w:val="TOC3"/>
        <w:rPr>
          <w:rFonts w:asciiTheme="minorHAnsi" w:eastAsiaTheme="minorEastAsia" w:hAnsiTheme="minorHAnsi" w:cstheme="minorBidi"/>
          <w:color w:val="auto"/>
        </w:rPr>
      </w:pPr>
      <w:r>
        <w:t>Subscription television drama expenditure</w:t>
      </w:r>
      <w:r>
        <w:tab/>
      </w:r>
      <w:r w:rsidR="00421002">
        <w:fldChar w:fldCharType="begin"/>
      </w:r>
      <w:r>
        <w:instrText xml:space="preserve"> PAGEREF _Toc373149158 \h </w:instrText>
      </w:r>
      <w:r w:rsidR="00421002">
        <w:fldChar w:fldCharType="separate"/>
      </w:r>
      <w:r>
        <w:t>94</w:t>
      </w:r>
      <w:r w:rsidR="00421002">
        <w:fldChar w:fldCharType="end"/>
      </w:r>
    </w:p>
    <w:p w:rsidR="00D61006" w:rsidRDefault="00D61006">
      <w:pPr>
        <w:pStyle w:val="TOC3"/>
        <w:rPr>
          <w:rFonts w:asciiTheme="minorHAnsi" w:eastAsiaTheme="minorEastAsia" w:hAnsiTheme="minorHAnsi" w:cstheme="minorBidi"/>
          <w:color w:val="auto"/>
        </w:rPr>
      </w:pPr>
      <w:r>
        <w:t>Australian advertising</w:t>
      </w:r>
      <w:r>
        <w:tab/>
      </w:r>
      <w:r w:rsidR="00421002">
        <w:fldChar w:fldCharType="begin"/>
      </w:r>
      <w:r>
        <w:instrText xml:space="preserve"> PAGEREF _Toc373149159 \h </w:instrText>
      </w:r>
      <w:r w:rsidR="00421002">
        <w:fldChar w:fldCharType="separate"/>
      </w:r>
      <w:r>
        <w:t>95</w:t>
      </w:r>
      <w:r w:rsidR="00421002">
        <w:fldChar w:fldCharType="end"/>
      </w:r>
    </w:p>
    <w:p w:rsidR="00D61006" w:rsidRDefault="00D61006">
      <w:pPr>
        <w:pStyle w:val="TOC3"/>
        <w:rPr>
          <w:rFonts w:asciiTheme="minorHAnsi" w:eastAsiaTheme="minorEastAsia" w:hAnsiTheme="minorHAnsi" w:cstheme="minorBidi"/>
          <w:color w:val="auto"/>
        </w:rPr>
      </w:pPr>
      <w:r>
        <w:t>Captioning</w:t>
      </w:r>
      <w:r>
        <w:tab/>
      </w:r>
      <w:r w:rsidR="00421002">
        <w:fldChar w:fldCharType="begin"/>
      </w:r>
      <w:r>
        <w:instrText xml:space="preserve"> PAGEREF _Toc373149160 \h </w:instrText>
      </w:r>
      <w:r w:rsidR="00421002">
        <w:fldChar w:fldCharType="separate"/>
      </w:r>
      <w:r>
        <w:t>96</w:t>
      </w:r>
      <w:r w:rsidR="00421002">
        <w:fldChar w:fldCharType="end"/>
      </w:r>
    </w:p>
    <w:p w:rsidR="00D61006" w:rsidRPr="007935ED" w:rsidRDefault="00D61006" w:rsidP="007935ED">
      <w:pPr>
        <w:pStyle w:val="TOC2"/>
        <w:spacing w:before="40"/>
        <w:rPr>
          <w:b/>
          <w:sz w:val="22"/>
          <w:szCs w:val="22"/>
        </w:rPr>
      </w:pPr>
      <w:r w:rsidRPr="007935ED">
        <w:rPr>
          <w:b/>
          <w:sz w:val="22"/>
          <w:szCs w:val="22"/>
        </w:rPr>
        <w:t>Notification of changes in control</w:t>
      </w:r>
      <w:r w:rsidRPr="007935ED">
        <w:rPr>
          <w:b/>
          <w:sz w:val="22"/>
          <w:szCs w:val="22"/>
        </w:rPr>
        <w:tab/>
      </w:r>
      <w:r w:rsidR="00421002" w:rsidRPr="007935ED">
        <w:rPr>
          <w:b/>
          <w:sz w:val="22"/>
          <w:szCs w:val="22"/>
        </w:rPr>
        <w:fldChar w:fldCharType="begin"/>
      </w:r>
      <w:r w:rsidRPr="007935ED">
        <w:rPr>
          <w:b/>
          <w:sz w:val="22"/>
          <w:szCs w:val="22"/>
        </w:rPr>
        <w:instrText xml:space="preserve"> PAGEREF _Toc373149161 \h </w:instrText>
      </w:r>
      <w:r w:rsidR="00421002" w:rsidRPr="007935ED">
        <w:rPr>
          <w:b/>
          <w:sz w:val="22"/>
          <w:szCs w:val="22"/>
        </w:rPr>
      </w:r>
      <w:r w:rsidR="00421002" w:rsidRPr="007935ED">
        <w:rPr>
          <w:b/>
          <w:sz w:val="22"/>
          <w:szCs w:val="22"/>
        </w:rPr>
        <w:fldChar w:fldCharType="separate"/>
      </w:r>
      <w:r w:rsidRPr="007935ED">
        <w:rPr>
          <w:b/>
          <w:sz w:val="22"/>
          <w:szCs w:val="22"/>
        </w:rPr>
        <w:t>96</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Compliance with legislative requirements</w:t>
      </w:r>
      <w:r>
        <w:tab/>
      </w:r>
      <w:r w:rsidR="00421002">
        <w:fldChar w:fldCharType="begin"/>
      </w:r>
      <w:r>
        <w:instrText xml:space="preserve"> PAGEREF _Toc373149162 \h </w:instrText>
      </w:r>
      <w:r w:rsidR="00421002">
        <w:fldChar w:fldCharType="separate"/>
      </w:r>
      <w:r>
        <w:t>97</w:t>
      </w:r>
      <w:r w:rsidR="00421002">
        <w:fldChar w:fldCharType="end"/>
      </w:r>
    </w:p>
    <w:p w:rsidR="00D61006" w:rsidRPr="007935ED" w:rsidRDefault="00D61006" w:rsidP="007935ED">
      <w:pPr>
        <w:pStyle w:val="TOC2"/>
        <w:spacing w:before="40"/>
        <w:rPr>
          <w:b/>
          <w:sz w:val="22"/>
          <w:szCs w:val="22"/>
        </w:rPr>
      </w:pPr>
      <w:r w:rsidRPr="007935ED">
        <w:rPr>
          <w:b/>
          <w:sz w:val="22"/>
          <w:szCs w:val="22"/>
        </w:rPr>
        <w:t>Local information on regional television</w:t>
      </w:r>
      <w:r w:rsidRPr="007935ED">
        <w:rPr>
          <w:b/>
          <w:sz w:val="22"/>
          <w:szCs w:val="22"/>
        </w:rPr>
        <w:tab/>
      </w:r>
      <w:r w:rsidR="00421002" w:rsidRPr="007935ED">
        <w:rPr>
          <w:b/>
          <w:sz w:val="22"/>
          <w:szCs w:val="22"/>
        </w:rPr>
        <w:fldChar w:fldCharType="begin"/>
      </w:r>
      <w:r w:rsidRPr="007935ED">
        <w:rPr>
          <w:b/>
          <w:sz w:val="22"/>
          <w:szCs w:val="22"/>
        </w:rPr>
        <w:instrText xml:space="preserve"> PAGEREF _Toc373149163 \h </w:instrText>
      </w:r>
      <w:r w:rsidR="00421002" w:rsidRPr="007935ED">
        <w:rPr>
          <w:b/>
          <w:sz w:val="22"/>
          <w:szCs w:val="22"/>
        </w:rPr>
      </w:r>
      <w:r w:rsidR="00421002" w:rsidRPr="007935ED">
        <w:rPr>
          <w:b/>
          <w:sz w:val="22"/>
          <w:szCs w:val="22"/>
        </w:rPr>
        <w:fldChar w:fldCharType="separate"/>
      </w:r>
      <w:r w:rsidRPr="007935ED">
        <w:rPr>
          <w:b/>
          <w:sz w:val="22"/>
          <w:szCs w:val="22"/>
        </w:rPr>
        <w:t>97</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Local content, presence and information on  regional radio</w:t>
      </w:r>
      <w:r w:rsidRPr="007935ED">
        <w:rPr>
          <w:b/>
          <w:sz w:val="22"/>
          <w:szCs w:val="22"/>
        </w:rPr>
        <w:tab/>
      </w:r>
      <w:r w:rsidR="00421002" w:rsidRPr="007935ED">
        <w:rPr>
          <w:b/>
          <w:sz w:val="22"/>
          <w:szCs w:val="22"/>
        </w:rPr>
        <w:fldChar w:fldCharType="begin"/>
      </w:r>
      <w:r w:rsidRPr="007935ED">
        <w:rPr>
          <w:b/>
          <w:sz w:val="22"/>
          <w:szCs w:val="22"/>
        </w:rPr>
        <w:instrText xml:space="preserve"> PAGEREF _Toc373149164 \h </w:instrText>
      </w:r>
      <w:r w:rsidR="00421002" w:rsidRPr="007935ED">
        <w:rPr>
          <w:b/>
          <w:sz w:val="22"/>
          <w:szCs w:val="22"/>
        </w:rPr>
      </w:r>
      <w:r w:rsidR="00421002" w:rsidRPr="007935ED">
        <w:rPr>
          <w:b/>
          <w:sz w:val="22"/>
          <w:szCs w:val="22"/>
        </w:rPr>
        <w:fldChar w:fldCharType="separate"/>
      </w:r>
      <w:r w:rsidRPr="007935ED">
        <w:rPr>
          <w:b/>
          <w:sz w:val="22"/>
          <w:szCs w:val="22"/>
        </w:rPr>
        <w:t>98</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Datacasting</w:t>
      </w:r>
      <w:r w:rsidRPr="007935ED">
        <w:rPr>
          <w:b/>
          <w:sz w:val="22"/>
          <w:szCs w:val="22"/>
        </w:rPr>
        <w:tab/>
      </w:r>
      <w:r w:rsidR="00421002" w:rsidRPr="007935ED">
        <w:rPr>
          <w:b/>
          <w:sz w:val="22"/>
          <w:szCs w:val="22"/>
        </w:rPr>
        <w:fldChar w:fldCharType="begin"/>
      </w:r>
      <w:r w:rsidRPr="007935ED">
        <w:rPr>
          <w:b/>
          <w:sz w:val="22"/>
          <w:szCs w:val="22"/>
        </w:rPr>
        <w:instrText xml:space="preserve"> PAGEREF _Toc373149165 \h </w:instrText>
      </w:r>
      <w:r w:rsidR="00421002" w:rsidRPr="007935ED">
        <w:rPr>
          <w:b/>
          <w:sz w:val="22"/>
          <w:szCs w:val="22"/>
        </w:rPr>
      </w:r>
      <w:r w:rsidR="00421002" w:rsidRPr="007935ED">
        <w:rPr>
          <w:b/>
          <w:sz w:val="22"/>
          <w:szCs w:val="22"/>
        </w:rPr>
        <w:fldChar w:fldCharType="separate"/>
      </w:r>
      <w:r w:rsidRPr="007935ED">
        <w:rPr>
          <w:b/>
          <w:sz w:val="22"/>
          <w:szCs w:val="22"/>
        </w:rPr>
        <w:t>98</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Anti-terrorism standards</w:t>
      </w:r>
      <w:r w:rsidRPr="007935ED">
        <w:rPr>
          <w:b/>
          <w:sz w:val="22"/>
          <w:szCs w:val="22"/>
        </w:rPr>
        <w:tab/>
      </w:r>
      <w:r w:rsidR="00421002" w:rsidRPr="007935ED">
        <w:rPr>
          <w:b/>
          <w:sz w:val="22"/>
          <w:szCs w:val="22"/>
        </w:rPr>
        <w:fldChar w:fldCharType="begin"/>
      </w:r>
      <w:r w:rsidRPr="007935ED">
        <w:rPr>
          <w:b/>
          <w:sz w:val="22"/>
          <w:szCs w:val="22"/>
        </w:rPr>
        <w:instrText xml:space="preserve"> PAGEREF _Toc373149166 \h </w:instrText>
      </w:r>
      <w:r w:rsidR="00421002" w:rsidRPr="007935ED">
        <w:rPr>
          <w:b/>
          <w:sz w:val="22"/>
          <w:szCs w:val="22"/>
        </w:rPr>
      </w:r>
      <w:r w:rsidR="00421002" w:rsidRPr="007935ED">
        <w:rPr>
          <w:b/>
          <w:sz w:val="22"/>
          <w:szCs w:val="22"/>
        </w:rPr>
        <w:fldChar w:fldCharType="separate"/>
      </w:r>
      <w:r w:rsidRPr="007935ED">
        <w:rPr>
          <w:b/>
          <w:sz w:val="22"/>
          <w:szCs w:val="22"/>
        </w:rPr>
        <w:t>99</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Commercial radio standards</w:t>
      </w:r>
      <w:r w:rsidRPr="007935ED">
        <w:rPr>
          <w:b/>
          <w:sz w:val="22"/>
          <w:szCs w:val="22"/>
        </w:rPr>
        <w:tab/>
      </w:r>
      <w:r w:rsidR="00421002" w:rsidRPr="007935ED">
        <w:rPr>
          <w:b/>
          <w:sz w:val="22"/>
          <w:szCs w:val="22"/>
        </w:rPr>
        <w:fldChar w:fldCharType="begin"/>
      </w:r>
      <w:r w:rsidRPr="007935ED">
        <w:rPr>
          <w:b/>
          <w:sz w:val="22"/>
          <w:szCs w:val="22"/>
        </w:rPr>
        <w:instrText xml:space="preserve"> PAGEREF _Toc373149167 \h </w:instrText>
      </w:r>
      <w:r w:rsidR="00421002" w:rsidRPr="007935ED">
        <w:rPr>
          <w:b/>
          <w:sz w:val="22"/>
          <w:szCs w:val="22"/>
        </w:rPr>
      </w:r>
      <w:r w:rsidR="00421002" w:rsidRPr="007935ED">
        <w:rPr>
          <w:b/>
          <w:sz w:val="22"/>
          <w:szCs w:val="22"/>
        </w:rPr>
        <w:fldChar w:fldCharType="separate"/>
      </w:r>
      <w:r w:rsidRPr="007935ED">
        <w:rPr>
          <w:b/>
          <w:sz w:val="22"/>
          <w:szCs w:val="22"/>
        </w:rPr>
        <w:t>99</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Advertising</w:t>
      </w:r>
      <w:r>
        <w:tab/>
      </w:r>
      <w:r w:rsidR="00421002">
        <w:fldChar w:fldCharType="begin"/>
      </w:r>
      <w:r>
        <w:instrText xml:space="preserve"> PAGEREF _Toc373149168 \h </w:instrText>
      </w:r>
      <w:r w:rsidR="00421002">
        <w:fldChar w:fldCharType="separate"/>
      </w:r>
      <w:r>
        <w:t>99</w:t>
      </w:r>
      <w:r w:rsidR="00421002">
        <w:fldChar w:fldCharType="end"/>
      </w:r>
    </w:p>
    <w:p w:rsidR="00D61006" w:rsidRDefault="00D61006">
      <w:pPr>
        <w:pStyle w:val="TOC3"/>
        <w:rPr>
          <w:rFonts w:asciiTheme="minorHAnsi" w:eastAsiaTheme="minorEastAsia" w:hAnsiTheme="minorHAnsi" w:cstheme="minorBidi"/>
          <w:color w:val="auto"/>
        </w:rPr>
      </w:pPr>
      <w:r>
        <w:t>Disclosure</w:t>
      </w:r>
      <w:r>
        <w:tab/>
      </w:r>
      <w:r w:rsidR="00421002">
        <w:fldChar w:fldCharType="begin"/>
      </w:r>
      <w:r>
        <w:instrText xml:space="preserve"> PAGEREF _Toc373149169 \h </w:instrText>
      </w:r>
      <w:r w:rsidR="00421002">
        <w:fldChar w:fldCharType="separate"/>
      </w:r>
      <w:r>
        <w:t>99</w:t>
      </w:r>
      <w:r w:rsidR="00421002">
        <w:fldChar w:fldCharType="end"/>
      </w:r>
    </w:p>
    <w:p w:rsidR="00D61006" w:rsidRPr="007935ED" w:rsidRDefault="00D61006" w:rsidP="007935ED">
      <w:pPr>
        <w:pStyle w:val="TOC2"/>
        <w:spacing w:before="40"/>
        <w:rPr>
          <w:b/>
          <w:sz w:val="22"/>
          <w:szCs w:val="22"/>
        </w:rPr>
      </w:pPr>
      <w:r w:rsidRPr="007935ED">
        <w:rPr>
          <w:b/>
          <w:sz w:val="22"/>
          <w:szCs w:val="22"/>
        </w:rPr>
        <w:t>Digital broadcasting</w:t>
      </w:r>
      <w:r w:rsidRPr="007935ED">
        <w:rPr>
          <w:b/>
          <w:sz w:val="22"/>
          <w:szCs w:val="22"/>
        </w:rPr>
        <w:tab/>
      </w:r>
      <w:r w:rsidR="00421002" w:rsidRPr="007935ED">
        <w:rPr>
          <w:b/>
          <w:sz w:val="22"/>
          <w:szCs w:val="22"/>
        </w:rPr>
        <w:fldChar w:fldCharType="begin"/>
      </w:r>
      <w:r w:rsidRPr="007935ED">
        <w:rPr>
          <w:b/>
          <w:sz w:val="22"/>
          <w:szCs w:val="22"/>
        </w:rPr>
        <w:instrText xml:space="preserve"> PAGEREF _Toc373149170 \h </w:instrText>
      </w:r>
      <w:r w:rsidR="00421002" w:rsidRPr="007935ED">
        <w:rPr>
          <w:b/>
          <w:sz w:val="22"/>
          <w:szCs w:val="22"/>
        </w:rPr>
      </w:r>
      <w:r w:rsidR="00421002" w:rsidRPr="007935ED">
        <w:rPr>
          <w:b/>
          <w:sz w:val="22"/>
          <w:szCs w:val="22"/>
        </w:rPr>
        <w:fldChar w:fldCharType="separate"/>
      </w:r>
      <w:r w:rsidRPr="007935ED">
        <w:rPr>
          <w:b/>
          <w:sz w:val="22"/>
          <w:szCs w:val="22"/>
        </w:rPr>
        <w:t>100</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Digital television</w:t>
      </w:r>
      <w:r>
        <w:tab/>
      </w:r>
      <w:r w:rsidR="00421002">
        <w:fldChar w:fldCharType="begin"/>
      </w:r>
      <w:r>
        <w:instrText xml:space="preserve"> PAGEREF _Toc373149171 \h </w:instrText>
      </w:r>
      <w:r w:rsidR="00421002">
        <w:fldChar w:fldCharType="separate"/>
      </w:r>
      <w:r>
        <w:t>100</w:t>
      </w:r>
      <w:r w:rsidR="00421002">
        <w:fldChar w:fldCharType="end"/>
      </w:r>
    </w:p>
    <w:p w:rsidR="00D61006" w:rsidRDefault="00D61006">
      <w:pPr>
        <w:pStyle w:val="TOC3"/>
        <w:rPr>
          <w:rFonts w:asciiTheme="minorHAnsi" w:eastAsiaTheme="minorEastAsia" w:hAnsiTheme="minorHAnsi" w:cstheme="minorBidi"/>
          <w:color w:val="auto"/>
        </w:rPr>
      </w:pPr>
      <w:r>
        <w:t>Digital television consumer research</w:t>
      </w:r>
      <w:r>
        <w:tab/>
      </w:r>
      <w:r w:rsidR="00421002">
        <w:fldChar w:fldCharType="begin"/>
      </w:r>
      <w:r>
        <w:instrText xml:space="preserve"> PAGEREF _Toc373149172 \h </w:instrText>
      </w:r>
      <w:r w:rsidR="00421002">
        <w:fldChar w:fldCharType="separate"/>
      </w:r>
      <w:r>
        <w:t>101</w:t>
      </w:r>
      <w:r w:rsidR="00421002">
        <w:fldChar w:fldCharType="end"/>
      </w:r>
    </w:p>
    <w:p w:rsidR="00D61006" w:rsidRDefault="00D61006">
      <w:pPr>
        <w:pStyle w:val="TOC3"/>
        <w:rPr>
          <w:rFonts w:asciiTheme="minorHAnsi" w:eastAsiaTheme="minorEastAsia" w:hAnsiTheme="minorHAnsi" w:cstheme="minorBidi"/>
          <w:color w:val="auto"/>
        </w:rPr>
      </w:pPr>
      <w:r>
        <w:t>High definition broadcasting</w:t>
      </w:r>
      <w:r>
        <w:tab/>
      </w:r>
      <w:r w:rsidR="00421002">
        <w:fldChar w:fldCharType="begin"/>
      </w:r>
      <w:r>
        <w:instrText xml:space="preserve"> PAGEREF _Toc373149173 \h </w:instrText>
      </w:r>
      <w:r w:rsidR="00421002">
        <w:fldChar w:fldCharType="separate"/>
      </w:r>
      <w:r>
        <w:t>101</w:t>
      </w:r>
      <w:r w:rsidR="00421002">
        <w:fldChar w:fldCharType="end"/>
      </w:r>
    </w:p>
    <w:p w:rsidR="00D61006" w:rsidRDefault="00D61006">
      <w:pPr>
        <w:pStyle w:val="TOC3"/>
        <w:rPr>
          <w:rFonts w:asciiTheme="minorHAnsi" w:eastAsiaTheme="minorEastAsia" w:hAnsiTheme="minorHAnsi" w:cstheme="minorBidi"/>
          <w:color w:val="auto"/>
        </w:rPr>
      </w:pPr>
      <w:r>
        <w:t>Viewer Access Satellite Television service</w:t>
      </w:r>
      <w:r>
        <w:tab/>
      </w:r>
      <w:r w:rsidR="00421002">
        <w:fldChar w:fldCharType="begin"/>
      </w:r>
      <w:r>
        <w:instrText xml:space="preserve"> PAGEREF _Toc373149174 \h </w:instrText>
      </w:r>
      <w:r w:rsidR="00421002">
        <w:fldChar w:fldCharType="separate"/>
      </w:r>
      <w:r>
        <w:t>101</w:t>
      </w:r>
      <w:r w:rsidR="00421002">
        <w:fldChar w:fldCharType="end"/>
      </w:r>
    </w:p>
    <w:p w:rsidR="00D61006" w:rsidRDefault="00D61006">
      <w:pPr>
        <w:pStyle w:val="TOC3"/>
        <w:rPr>
          <w:rFonts w:asciiTheme="minorHAnsi" w:eastAsiaTheme="minorEastAsia" w:hAnsiTheme="minorHAnsi" w:cstheme="minorBidi"/>
          <w:color w:val="auto"/>
        </w:rPr>
      </w:pPr>
      <w:r>
        <w:t xml:space="preserve">Complaints under the conditional access scheme for satellite access </w:t>
      </w:r>
      <w:r w:rsidR="00186F29">
        <w:br/>
      </w:r>
      <w:r>
        <w:t>to digital television</w:t>
      </w:r>
      <w:r>
        <w:tab/>
      </w:r>
      <w:r w:rsidR="00421002">
        <w:fldChar w:fldCharType="begin"/>
      </w:r>
      <w:r>
        <w:instrText xml:space="preserve"> PAGEREF _Toc373149175 \h </w:instrText>
      </w:r>
      <w:r w:rsidR="00421002">
        <w:fldChar w:fldCharType="separate"/>
      </w:r>
      <w:r>
        <w:t>102</w:t>
      </w:r>
      <w:r w:rsidR="00421002">
        <w:fldChar w:fldCharType="end"/>
      </w:r>
    </w:p>
    <w:p w:rsidR="00D61006" w:rsidRDefault="00D61006">
      <w:pPr>
        <w:pStyle w:val="TOC3"/>
        <w:rPr>
          <w:rFonts w:asciiTheme="minorHAnsi" w:eastAsiaTheme="minorEastAsia" w:hAnsiTheme="minorHAnsi" w:cstheme="minorBidi"/>
          <w:color w:val="auto"/>
        </w:rPr>
      </w:pPr>
      <w:r>
        <w:t>Digital radio</w:t>
      </w:r>
      <w:r>
        <w:tab/>
      </w:r>
      <w:r w:rsidR="00421002">
        <w:fldChar w:fldCharType="begin"/>
      </w:r>
      <w:r>
        <w:instrText xml:space="preserve"> PAGEREF _Toc373149176 \h </w:instrText>
      </w:r>
      <w:r w:rsidR="00421002">
        <w:fldChar w:fldCharType="separate"/>
      </w:r>
      <w:r>
        <w:t>102</w:t>
      </w:r>
      <w:r w:rsidR="00421002">
        <w:fldChar w:fldCharType="end"/>
      </w:r>
    </w:p>
    <w:p w:rsidR="00D61006" w:rsidRPr="007935ED" w:rsidRDefault="00D61006" w:rsidP="007935ED">
      <w:pPr>
        <w:pStyle w:val="TOC2"/>
        <w:spacing w:before="40"/>
        <w:rPr>
          <w:b/>
          <w:sz w:val="22"/>
          <w:szCs w:val="22"/>
        </w:rPr>
      </w:pPr>
      <w:r w:rsidRPr="007935ED">
        <w:rPr>
          <w:b/>
          <w:sz w:val="22"/>
          <w:szCs w:val="22"/>
        </w:rPr>
        <w:t>Broadcasting complaints</w:t>
      </w:r>
      <w:r w:rsidRPr="007935ED">
        <w:rPr>
          <w:b/>
          <w:sz w:val="22"/>
          <w:szCs w:val="22"/>
        </w:rPr>
        <w:tab/>
      </w:r>
      <w:r w:rsidR="00421002" w:rsidRPr="007935ED">
        <w:rPr>
          <w:b/>
          <w:sz w:val="22"/>
          <w:szCs w:val="22"/>
        </w:rPr>
        <w:fldChar w:fldCharType="begin"/>
      </w:r>
      <w:r w:rsidRPr="007935ED">
        <w:rPr>
          <w:b/>
          <w:sz w:val="22"/>
          <w:szCs w:val="22"/>
        </w:rPr>
        <w:instrText xml:space="preserve"> PAGEREF _Toc373149177 \h </w:instrText>
      </w:r>
      <w:r w:rsidR="00421002" w:rsidRPr="007935ED">
        <w:rPr>
          <w:b/>
          <w:sz w:val="22"/>
          <w:szCs w:val="22"/>
        </w:rPr>
      </w:r>
      <w:r w:rsidR="00421002" w:rsidRPr="007935ED">
        <w:rPr>
          <w:b/>
          <w:sz w:val="22"/>
          <w:szCs w:val="22"/>
        </w:rPr>
        <w:fldChar w:fldCharType="separate"/>
      </w:r>
      <w:r w:rsidRPr="007935ED">
        <w:rPr>
          <w:b/>
          <w:sz w:val="22"/>
          <w:szCs w:val="22"/>
        </w:rPr>
        <w:t>102</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Broadcasting complaints and investigations</w:t>
      </w:r>
      <w:r>
        <w:tab/>
      </w:r>
      <w:r w:rsidR="00421002">
        <w:fldChar w:fldCharType="begin"/>
      </w:r>
      <w:r>
        <w:instrText xml:space="preserve"> PAGEREF _Toc373149178 \h </w:instrText>
      </w:r>
      <w:r w:rsidR="00421002">
        <w:fldChar w:fldCharType="separate"/>
      </w:r>
      <w:r>
        <w:t>102</w:t>
      </w:r>
      <w:r w:rsidR="00421002">
        <w:fldChar w:fldCharType="end"/>
      </w:r>
    </w:p>
    <w:p w:rsidR="00D61006" w:rsidRDefault="00D61006">
      <w:pPr>
        <w:pStyle w:val="TOC3"/>
        <w:rPr>
          <w:rFonts w:asciiTheme="minorHAnsi" w:eastAsiaTheme="minorEastAsia" w:hAnsiTheme="minorHAnsi" w:cstheme="minorBidi"/>
          <w:color w:val="auto"/>
        </w:rPr>
      </w:pPr>
      <w:r>
        <w:t>Broadcasting complaints and investigations, 2008–13</w:t>
      </w:r>
      <w:r>
        <w:tab/>
      </w:r>
      <w:r w:rsidR="00421002">
        <w:fldChar w:fldCharType="begin"/>
      </w:r>
      <w:r>
        <w:instrText xml:space="preserve"> PAGEREF _Toc373149179 \h </w:instrText>
      </w:r>
      <w:r w:rsidR="00421002">
        <w:fldChar w:fldCharType="separate"/>
      </w:r>
      <w:r>
        <w:t>103</w:t>
      </w:r>
      <w:r w:rsidR="00421002">
        <w:fldChar w:fldCharType="end"/>
      </w:r>
    </w:p>
    <w:p w:rsidR="00D61006" w:rsidRPr="007935ED" w:rsidRDefault="00D61006" w:rsidP="007935ED">
      <w:pPr>
        <w:pStyle w:val="TOC2"/>
        <w:spacing w:before="40"/>
        <w:rPr>
          <w:b/>
          <w:sz w:val="22"/>
          <w:szCs w:val="22"/>
        </w:rPr>
      </w:pPr>
      <w:r w:rsidRPr="007935ED">
        <w:rPr>
          <w:b/>
          <w:sz w:val="22"/>
          <w:szCs w:val="22"/>
        </w:rPr>
        <w:t>Investigating complaints about online content</w:t>
      </w:r>
      <w:r w:rsidRPr="007935ED">
        <w:rPr>
          <w:b/>
          <w:sz w:val="22"/>
          <w:szCs w:val="22"/>
        </w:rPr>
        <w:tab/>
      </w:r>
      <w:r w:rsidR="00421002" w:rsidRPr="007935ED">
        <w:rPr>
          <w:b/>
          <w:sz w:val="22"/>
          <w:szCs w:val="22"/>
        </w:rPr>
        <w:fldChar w:fldCharType="begin"/>
      </w:r>
      <w:r w:rsidRPr="007935ED">
        <w:rPr>
          <w:b/>
          <w:sz w:val="22"/>
          <w:szCs w:val="22"/>
        </w:rPr>
        <w:instrText xml:space="preserve"> PAGEREF _Toc373149180 \h </w:instrText>
      </w:r>
      <w:r w:rsidR="00421002" w:rsidRPr="007935ED">
        <w:rPr>
          <w:b/>
          <w:sz w:val="22"/>
          <w:szCs w:val="22"/>
        </w:rPr>
      </w:r>
      <w:r w:rsidR="00421002" w:rsidRPr="007935ED">
        <w:rPr>
          <w:b/>
          <w:sz w:val="22"/>
          <w:szCs w:val="22"/>
        </w:rPr>
        <w:fldChar w:fldCharType="separate"/>
      </w:r>
      <w:r w:rsidRPr="007935ED">
        <w:rPr>
          <w:b/>
          <w:sz w:val="22"/>
          <w:szCs w:val="22"/>
        </w:rPr>
        <w:t>104</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International cooperation to remove online illegal content</w:t>
      </w:r>
      <w:r>
        <w:tab/>
      </w:r>
      <w:r w:rsidR="00421002">
        <w:fldChar w:fldCharType="begin"/>
      </w:r>
      <w:r>
        <w:instrText xml:space="preserve"> PAGEREF _Toc373149181 \h </w:instrText>
      </w:r>
      <w:r w:rsidR="00421002">
        <w:fldChar w:fldCharType="separate"/>
      </w:r>
      <w:r>
        <w:t>106</w:t>
      </w:r>
      <w:r w:rsidR="00421002">
        <w:fldChar w:fldCharType="end"/>
      </w:r>
    </w:p>
    <w:p w:rsidR="00D61006" w:rsidRPr="007935ED" w:rsidRDefault="00D61006" w:rsidP="007935ED">
      <w:pPr>
        <w:pStyle w:val="TOC2"/>
        <w:spacing w:before="40"/>
        <w:rPr>
          <w:b/>
          <w:sz w:val="22"/>
          <w:szCs w:val="22"/>
        </w:rPr>
      </w:pPr>
      <w:r w:rsidRPr="007935ED">
        <w:rPr>
          <w:b/>
          <w:sz w:val="22"/>
          <w:szCs w:val="22"/>
        </w:rPr>
        <w:t>Interactive gambling</w:t>
      </w:r>
      <w:r w:rsidRPr="007935ED">
        <w:rPr>
          <w:b/>
          <w:sz w:val="22"/>
          <w:szCs w:val="22"/>
        </w:rPr>
        <w:tab/>
      </w:r>
      <w:r w:rsidR="00421002" w:rsidRPr="007935ED">
        <w:rPr>
          <w:b/>
          <w:sz w:val="22"/>
          <w:szCs w:val="22"/>
        </w:rPr>
        <w:fldChar w:fldCharType="begin"/>
      </w:r>
      <w:r w:rsidRPr="007935ED">
        <w:rPr>
          <w:b/>
          <w:sz w:val="22"/>
          <w:szCs w:val="22"/>
        </w:rPr>
        <w:instrText xml:space="preserve"> PAGEREF _Toc373149182 \h </w:instrText>
      </w:r>
      <w:r w:rsidR="00421002" w:rsidRPr="007935ED">
        <w:rPr>
          <w:b/>
          <w:sz w:val="22"/>
          <w:szCs w:val="22"/>
        </w:rPr>
      </w:r>
      <w:r w:rsidR="00421002" w:rsidRPr="007935ED">
        <w:rPr>
          <w:b/>
          <w:sz w:val="22"/>
          <w:szCs w:val="22"/>
        </w:rPr>
        <w:fldChar w:fldCharType="separate"/>
      </w:r>
      <w:r w:rsidRPr="007935ED">
        <w:rPr>
          <w:b/>
          <w:sz w:val="22"/>
          <w:szCs w:val="22"/>
        </w:rPr>
        <w:t>106</w:t>
      </w:r>
      <w:r w:rsidR="00421002" w:rsidRPr="007935ED">
        <w:rPr>
          <w:b/>
          <w:sz w:val="22"/>
          <w:szCs w:val="22"/>
        </w:rPr>
        <w:fldChar w:fldCharType="end"/>
      </w:r>
    </w:p>
    <w:p w:rsidR="00D61006" w:rsidRPr="00186F29" w:rsidRDefault="00D61006">
      <w:pPr>
        <w:pStyle w:val="TOC1"/>
        <w:rPr>
          <w:rFonts w:asciiTheme="minorHAnsi" w:eastAsiaTheme="minorEastAsia" w:hAnsiTheme="minorHAnsi" w:cstheme="minorBidi"/>
          <w:b w:val="0"/>
          <w:color w:val="0070C0"/>
          <w:spacing w:val="0"/>
          <w:sz w:val="22"/>
          <w:szCs w:val="22"/>
        </w:rPr>
      </w:pPr>
      <w:r w:rsidRPr="00186F29">
        <w:rPr>
          <w:color w:val="0070C0"/>
        </w:rPr>
        <w:t xml:space="preserve">Chapter 5 </w:t>
      </w:r>
      <w:r w:rsidR="00186F29" w:rsidRPr="00186F29">
        <w:rPr>
          <w:color w:val="0070C0"/>
        </w:rPr>
        <w:br/>
      </w:r>
      <w:r w:rsidRPr="00186F29">
        <w:rPr>
          <w:color w:val="0070C0"/>
        </w:rPr>
        <w:t>Consumer benefits from participating in the digital economy</w:t>
      </w:r>
      <w:r w:rsidRPr="00186F29">
        <w:rPr>
          <w:color w:val="0070C0"/>
        </w:rPr>
        <w:tab/>
      </w:r>
      <w:r w:rsidR="00421002" w:rsidRPr="00186F29">
        <w:rPr>
          <w:color w:val="0070C0"/>
        </w:rPr>
        <w:fldChar w:fldCharType="begin"/>
      </w:r>
      <w:r w:rsidRPr="00186F29">
        <w:rPr>
          <w:color w:val="0070C0"/>
        </w:rPr>
        <w:instrText xml:space="preserve"> PAGEREF _Toc373149183 \h </w:instrText>
      </w:r>
      <w:r w:rsidR="00421002" w:rsidRPr="00186F29">
        <w:rPr>
          <w:color w:val="0070C0"/>
        </w:rPr>
      </w:r>
      <w:r w:rsidR="00421002" w:rsidRPr="00186F29">
        <w:rPr>
          <w:color w:val="0070C0"/>
        </w:rPr>
        <w:fldChar w:fldCharType="separate"/>
      </w:r>
      <w:r w:rsidRPr="00186F29">
        <w:rPr>
          <w:color w:val="0070C0"/>
        </w:rPr>
        <w:t>108</w:t>
      </w:r>
      <w:r w:rsidR="00421002" w:rsidRPr="00186F29">
        <w:rPr>
          <w:color w:val="0070C0"/>
        </w:rPr>
        <w:fldChar w:fldCharType="end"/>
      </w:r>
    </w:p>
    <w:p w:rsidR="00D61006" w:rsidRPr="007935ED" w:rsidRDefault="00D61006" w:rsidP="007935ED">
      <w:pPr>
        <w:pStyle w:val="TOC2"/>
        <w:spacing w:before="40"/>
        <w:rPr>
          <w:b/>
          <w:sz w:val="22"/>
          <w:szCs w:val="22"/>
        </w:rPr>
      </w:pPr>
      <w:r w:rsidRPr="007935ED">
        <w:rPr>
          <w:b/>
          <w:sz w:val="22"/>
          <w:szCs w:val="22"/>
        </w:rPr>
        <w:t>Overview</w:t>
      </w:r>
      <w:r w:rsidRPr="007935ED">
        <w:rPr>
          <w:b/>
          <w:sz w:val="22"/>
          <w:szCs w:val="22"/>
        </w:rPr>
        <w:tab/>
      </w:r>
      <w:r w:rsidR="00186F29">
        <w:rPr>
          <w:b/>
          <w:sz w:val="22"/>
          <w:szCs w:val="22"/>
        </w:rPr>
        <w:tab/>
      </w:r>
      <w:r w:rsidR="00421002" w:rsidRPr="007935ED">
        <w:rPr>
          <w:b/>
          <w:sz w:val="22"/>
          <w:szCs w:val="22"/>
        </w:rPr>
        <w:fldChar w:fldCharType="begin"/>
      </w:r>
      <w:r w:rsidRPr="007935ED">
        <w:rPr>
          <w:b/>
          <w:sz w:val="22"/>
          <w:szCs w:val="22"/>
        </w:rPr>
        <w:instrText xml:space="preserve"> PAGEREF _Toc373149184 \h </w:instrText>
      </w:r>
      <w:r w:rsidR="00421002" w:rsidRPr="007935ED">
        <w:rPr>
          <w:b/>
          <w:sz w:val="22"/>
          <w:szCs w:val="22"/>
        </w:rPr>
      </w:r>
      <w:r w:rsidR="00421002" w:rsidRPr="007935ED">
        <w:rPr>
          <w:b/>
          <w:sz w:val="22"/>
          <w:szCs w:val="22"/>
        </w:rPr>
        <w:fldChar w:fldCharType="separate"/>
      </w:r>
      <w:r w:rsidRPr="007935ED">
        <w:rPr>
          <w:b/>
          <w:sz w:val="22"/>
          <w:szCs w:val="22"/>
        </w:rPr>
        <w:t>108</w:t>
      </w:r>
      <w:r w:rsidR="00421002" w:rsidRPr="007935ED">
        <w:rPr>
          <w:b/>
          <w:sz w:val="22"/>
          <w:szCs w:val="22"/>
        </w:rPr>
        <w:fldChar w:fldCharType="end"/>
      </w:r>
    </w:p>
    <w:p w:rsidR="00D61006" w:rsidRPr="007935ED" w:rsidRDefault="00D61006" w:rsidP="007935ED">
      <w:pPr>
        <w:pStyle w:val="TOC2"/>
        <w:spacing w:before="40"/>
        <w:rPr>
          <w:b/>
          <w:sz w:val="22"/>
          <w:szCs w:val="22"/>
        </w:rPr>
      </w:pPr>
      <w:r w:rsidRPr="007935ED">
        <w:rPr>
          <w:b/>
          <w:sz w:val="22"/>
          <w:szCs w:val="22"/>
        </w:rPr>
        <w:t>Connectivity</w:t>
      </w:r>
      <w:r w:rsidRPr="007935ED">
        <w:rPr>
          <w:b/>
          <w:sz w:val="22"/>
          <w:szCs w:val="22"/>
        </w:rPr>
        <w:tab/>
      </w:r>
      <w:r w:rsidR="00421002" w:rsidRPr="007935ED">
        <w:rPr>
          <w:b/>
          <w:sz w:val="22"/>
          <w:szCs w:val="22"/>
        </w:rPr>
        <w:fldChar w:fldCharType="begin"/>
      </w:r>
      <w:r w:rsidRPr="007935ED">
        <w:rPr>
          <w:b/>
          <w:sz w:val="22"/>
          <w:szCs w:val="22"/>
        </w:rPr>
        <w:instrText xml:space="preserve"> PAGEREF _Toc373149185 \h </w:instrText>
      </w:r>
      <w:r w:rsidR="00421002" w:rsidRPr="007935ED">
        <w:rPr>
          <w:b/>
          <w:sz w:val="22"/>
          <w:szCs w:val="22"/>
        </w:rPr>
      </w:r>
      <w:r w:rsidR="00421002" w:rsidRPr="007935ED">
        <w:rPr>
          <w:b/>
          <w:sz w:val="22"/>
          <w:szCs w:val="22"/>
        </w:rPr>
        <w:fldChar w:fldCharType="separate"/>
      </w:r>
      <w:r w:rsidRPr="007935ED">
        <w:rPr>
          <w:b/>
          <w:sz w:val="22"/>
          <w:szCs w:val="22"/>
        </w:rPr>
        <w:t>108</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Take-up of the internet</w:t>
      </w:r>
      <w:r>
        <w:tab/>
      </w:r>
      <w:r w:rsidR="00421002">
        <w:fldChar w:fldCharType="begin"/>
      </w:r>
      <w:r>
        <w:instrText xml:space="preserve"> PAGEREF _Toc373149186 \h </w:instrText>
      </w:r>
      <w:r w:rsidR="00421002">
        <w:fldChar w:fldCharType="separate"/>
      </w:r>
      <w:r>
        <w:t>108</w:t>
      </w:r>
      <w:r w:rsidR="00421002">
        <w:fldChar w:fldCharType="end"/>
      </w:r>
    </w:p>
    <w:p w:rsidR="00D61006" w:rsidRDefault="00D61006">
      <w:pPr>
        <w:pStyle w:val="TOC3"/>
        <w:rPr>
          <w:rFonts w:asciiTheme="minorHAnsi" w:eastAsiaTheme="minorEastAsia" w:hAnsiTheme="minorHAnsi" w:cstheme="minorBidi"/>
          <w:color w:val="auto"/>
        </w:rPr>
      </w:pPr>
      <w:r>
        <w:t>Complementary internet services</w:t>
      </w:r>
      <w:r>
        <w:tab/>
      </w:r>
      <w:r w:rsidR="00421002">
        <w:fldChar w:fldCharType="begin"/>
      </w:r>
      <w:r>
        <w:instrText xml:space="preserve"> PAGEREF _Toc373149187 \h </w:instrText>
      </w:r>
      <w:r w:rsidR="00421002">
        <w:fldChar w:fldCharType="separate"/>
      </w:r>
      <w:r>
        <w:t>111</w:t>
      </w:r>
      <w:r w:rsidR="00421002">
        <w:fldChar w:fldCharType="end"/>
      </w:r>
    </w:p>
    <w:p w:rsidR="00D61006" w:rsidRDefault="00D61006">
      <w:pPr>
        <w:pStyle w:val="TOC3"/>
        <w:rPr>
          <w:rFonts w:asciiTheme="minorHAnsi" w:eastAsiaTheme="minorEastAsia" w:hAnsiTheme="minorHAnsi" w:cstheme="minorBidi"/>
          <w:color w:val="auto"/>
        </w:rPr>
      </w:pPr>
      <w:r>
        <w:t>Locations of internet use</w:t>
      </w:r>
      <w:r>
        <w:tab/>
      </w:r>
      <w:r w:rsidR="00421002">
        <w:fldChar w:fldCharType="begin"/>
      </w:r>
      <w:r>
        <w:instrText xml:space="preserve"> PAGEREF _Toc373149188 \h </w:instrText>
      </w:r>
      <w:r w:rsidR="00421002">
        <w:fldChar w:fldCharType="separate"/>
      </w:r>
      <w:r>
        <w:t>111</w:t>
      </w:r>
      <w:r w:rsidR="00421002">
        <w:fldChar w:fldCharType="end"/>
      </w:r>
    </w:p>
    <w:p w:rsidR="00D61006" w:rsidRDefault="00D61006">
      <w:pPr>
        <w:pStyle w:val="TOC3"/>
        <w:rPr>
          <w:rFonts w:asciiTheme="minorHAnsi" w:eastAsiaTheme="minorEastAsia" w:hAnsiTheme="minorHAnsi" w:cstheme="minorBidi"/>
          <w:color w:val="auto"/>
        </w:rPr>
      </w:pPr>
      <w:r>
        <w:t>Australian business enabling online participation</w:t>
      </w:r>
      <w:r>
        <w:tab/>
      </w:r>
      <w:r w:rsidR="00421002">
        <w:fldChar w:fldCharType="begin"/>
      </w:r>
      <w:r>
        <w:instrText xml:space="preserve"> PAGEREF _Toc373149189 \h </w:instrText>
      </w:r>
      <w:r w:rsidR="00421002">
        <w:fldChar w:fldCharType="separate"/>
      </w:r>
      <w:r>
        <w:t>112</w:t>
      </w:r>
      <w:r w:rsidR="00421002">
        <w:fldChar w:fldCharType="end"/>
      </w:r>
    </w:p>
    <w:p w:rsidR="00D61006" w:rsidRPr="007935ED" w:rsidRDefault="00D61006" w:rsidP="007935ED">
      <w:pPr>
        <w:pStyle w:val="TOC2"/>
        <w:spacing w:before="40"/>
        <w:rPr>
          <w:b/>
          <w:sz w:val="22"/>
          <w:szCs w:val="22"/>
        </w:rPr>
      </w:pPr>
      <w:r w:rsidRPr="007935ED">
        <w:rPr>
          <w:b/>
          <w:sz w:val="22"/>
          <w:szCs w:val="22"/>
        </w:rPr>
        <w:t>Capability</w:t>
      </w:r>
      <w:r w:rsidRPr="007935ED">
        <w:rPr>
          <w:b/>
          <w:sz w:val="22"/>
          <w:szCs w:val="22"/>
        </w:rPr>
        <w:tab/>
      </w:r>
      <w:r w:rsidR="00421002" w:rsidRPr="007935ED">
        <w:rPr>
          <w:b/>
          <w:sz w:val="22"/>
          <w:szCs w:val="22"/>
        </w:rPr>
        <w:fldChar w:fldCharType="begin"/>
      </w:r>
      <w:r w:rsidRPr="007935ED">
        <w:rPr>
          <w:b/>
          <w:sz w:val="22"/>
          <w:szCs w:val="22"/>
        </w:rPr>
        <w:instrText xml:space="preserve"> PAGEREF _Toc373149190 \h </w:instrText>
      </w:r>
      <w:r w:rsidR="00421002" w:rsidRPr="007935ED">
        <w:rPr>
          <w:b/>
          <w:sz w:val="22"/>
          <w:szCs w:val="22"/>
        </w:rPr>
      </w:r>
      <w:r w:rsidR="00421002" w:rsidRPr="007935ED">
        <w:rPr>
          <w:b/>
          <w:sz w:val="22"/>
          <w:szCs w:val="22"/>
        </w:rPr>
        <w:fldChar w:fldCharType="separate"/>
      </w:r>
      <w:r w:rsidRPr="007935ED">
        <w:rPr>
          <w:b/>
          <w:sz w:val="22"/>
          <w:szCs w:val="22"/>
        </w:rPr>
        <w:t>114</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Growth in frequency of internet use</w:t>
      </w:r>
      <w:r>
        <w:tab/>
      </w:r>
      <w:r w:rsidR="00421002">
        <w:fldChar w:fldCharType="begin"/>
      </w:r>
      <w:r>
        <w:instrText xml:space="preserve"> PAGEREF _Toc373149191 \h </w:instrText>
      </w:r>
      <w:r w:rsidR="00421002">
        <w:fldChar w:fldCharType="separate"/>
      </w:r>
      <w:r>
        <w:t>114</w:t>
      </w:r>
      <w:r w:rsidR="00421002">
        <w:fldChar w:fldCharType="end"/>
      </w:r>
    </w:p>
    <w:p w:rsidR="00D61006" w:rsidRDefault="00D61006">
      <w:pPr>
        <w:pStyle w:val="TOC3"/>
        <w:rPr>
          <w:rFonts w:asciiTheme="minorHAnsi" w:eastAsiaTheme="minorEastAsia" w:hAnsiTheme="minorHAnsi" w:cstheme="minorBidi"/>
          <w:color w:val="auto"/>
        </w:rPr>
      </w:pPr>
      <w:r>
        <w:t>Frequency of internet use by age</w:t>
      </w:r>
      <w:r>
        <w:tab/>
      </w:r>
      <w:r w:rsidR="00421002">
        <w:fldChar w:fldCharType="begin"/>
      </w:r>
      <w:r>
        <w:instrText xml:space="preserve"> PAGEREF _Toc373149192 \h </w:instrText>
      </w:r>
      <w:r w:rsidR="00421002">
        <w:fldChar w:fldCharType="separate"/>
      </w:r>
      <w:r>
        <w:t>115</w:t>
      </w:r>
      <w:r w:rsidR="00421002">
        <w:fldChar w:fldCharType="end"/>
      </w:r>
    </w:p>
    <w:p w:rsidR="00D61006" w:rsidRDefault="00D61006">
      <w:pPr>
        <w:pStyle w:val="TOC3"/>
        <w:rPr>
          <w:rFonts w:asciiTheme="minorHAnsi" w:eastAsiaTheme="minorEastAsia" w:hAnsiTheme="minorHAnsi" w:cstheme="minorBidi"/>
          <w:color w:val="auto"/>
        </w:rPr>
      </w:pPr>
      <w:r>
        <w:t>Activities undertaken online</w:t>
      </w:r>
      <w:r>
        <w:tab/>
      </w:r>
      <w:r w:rsidR="00421002">
        <w:fldChar w:fldCharType="begin"/>
      </w:r>
      <w:r>
        <w:instrText xml:space="preserve"> PAGEREF _Toc373149193 \h </w:instrText>
      </w:r>
      <w:r w:rsidR="00421002">
        <w:fldChar w:fldCharType="separate"/>
      </w:r>
      <w:r>
        <w:t>116</w:t>
      </w:r>
      <w:r w:rsidR="00421002">
        <w:fldChar w:fldCharType="end"/>
      </w:r>
    </w:p>
    <w:p w:rsidR="00D61006" w:rsidRDefault="00D61006">
      <w:pPr>
        <w:pStyle w:val="TOC3"/>
        <w:rPr>
          <w:rFonts w:asciiTheme="minorHAnsi" w:eastAsiaTheme="minorEastAsia" w:hAnsiTheme="minorHAnsi" w:cstheme="minorBidi"/>
          <w:color w:val="auto"/>
        </w:rPr>
      </w:pPr>
      <w:r>
        <w:t>Activities undertaken online by age</w:t>
      </w:r>
      <w:r>
        <w:tab/>
      </w:r>
      <w:r w:rsidR="00421002">
        <w:fldChar w:fldCharType="begin"/>
      </w:r>
      <w:r>
        <w:instrText xml:space="preserve"> PAGEREF _Toc373149194 \h </w:instrText>
      </w:r>
      <w:r w:rsidR="00421002">
        <w:fldChar w:fldCharType="separate"/>
      </w:r>
      <w:r>
        <w:t>117</w:t>
      </w:r>
      <w:r w:rsidR="00421002">
        <w:fldChar w:fldCharType="end"/>
      </w:r>
    </w:p>
    <w:p w:rsidR="00D61006" w:rsidRPr="007935ED" w:rsidRDefault="00D61006" w:rsidP="007935ED">
      <w:pPr>
        <w:pStyle w:val="TOC2"/>
        <w:spacing w:before="40"/>
        <w:rPr>
          <w:b/>
          <w:sz w:val="22"/>
          <w:szCs w:val="22"/>
        </w:rPr>
      </w:pPr>
      <w:r w:rsidRPr="007935ED">
        <w:rPr>
          <w:b/>
          <w:sz w:val="22"/>
          <w:szCs w:val="22"/>
        </w:rPr>
        <w:t>Confidence</w:t>
      </w:r>
      <w:r w:rsidRPr="007935ED">
        <w:rPr>
          <w:b/>
          <w:sz w:val="22"/>
          <w:szCs w:val="22"/>
        </w:rPr>
        <w:tab/>
      </w:r>
      <w:r w:rsidR="00421002" w:rsidRPr="007935ED">
        <w:rPr>
          <w:b/>
          <w:sz w:val="22"/>
          <w:szCs w:val="22"/>
        </w:rPr>
        <w:fldChar w:fldCharType="begin"/>
      </w:r>
      <w:r w:rsidRPr="007935ED">
        <w:rPr>
          <w:b/>
          <w:sz w:val="22"/>
          <w:szCs w:val="22"/>
        </w:rPr>
        <w:instrText xml:space="preserve"> PAGEREF _Toc373149195 \h </w:instrText>
      </w:r>
      <w:r w:rsidR="00421002" w:rsidRPr="007935ED">
        <w:rPr>
          <w:b/>
          <w:sz w:val="22"/>
          <w:szCs w:val="22"/>
        </w:rPr>
      </w:r>
      <w:r w:rsidR="00421002" w:rsidRPr="007935ED">
        <w:rPr>
          <w:b/>
          <w:sz w:val="22"/>
          <w:szCs w:val="22"/>
        </w:rPr>
        <w:fldChar w:fldCharType="separate"/>
      </w:r>
      <w:r w:rsidRPr="007935ED">
        <w:rPr>
          <w:b/>
          <w:sz w:val="22"/>
          <w:szCs w:val="22"/>
        </w:rPr>
        <w:t>118</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Trust and confidence in the online environment</w:t>
      </w:r>
      <w:r>
        <w:tab/>
      </w:r>
      <w:r w:rsidR="00421002">
        <w:fldChar w:fldCharType="begin"/>
      </w:r>
      <w:r>
        <w:instrText xml:space="preserve"> PAGEREF _Toc373149196 \h </w:instrText>
      </w:r>
      <w:r w:rsidR="00421002">
        <w:fldChar w:fldCharType="separate"/>
      </w:r>
      <w:r>
        <w:t>118</w:t>
      </w:r>
      <w:r w:rsidR="00421002">
        <w:fldChar w:fldCharType="end"/>
      </w:r>
    </w:p>
    <w:p w:rsidR="00D61006" w:rsidRPr="007935ED" w:rsidRDefault="00D61006" w:rsidP="007935ED">
      <w:pPr>
        <w:pStyle w:val="TOC2"/>
        <w:spacing w:before="40"/>
        <w:rPr>
          <w:b/>
          <w:sz w:val="22"/>
          <w:szCs w:val="22"/>
        </w:rPr>
      </w:pPr>
      <w:r w:rsidRPr="007935ED">
        <w:rPr>
          <w:b/>
          <w:sz w:val="22"/>
          <w:szCs w:val="22"/>
        </w:rPr>
        <w:t>Impacts</w:t>
      </w:r>
      <w:r w:rsidRPr="007935ED">
        <w:rPr>
          <w:b/>
          <w:sz w:val="22"/>
          <w:szCs w:val="22"/>
        </w:rPr>
        <w:tab/>
      </w:r>
      <w:r w:rsidR="007935ED">
        <w:rPr>
          <w:b/>
          <w:sz w:val="22"/>
          <w:szCs w:val="22"/>
        </w:rPr>
        <w:tab/>
      </w:r>
      <w:r w:rsidR="00421002" w:rsidRPr="007935ED">
        <w:rPr>
          <w:b/>
          <w:sz w:val="22"/>
          <w:szCs w:val="22"/>
        </w:rPr>
        <w:fldChar w:fldCharType="begin"/>
      </w:r>
      <w:r w:rsidRPr="007935ED">
        <w:rPr>
          <w:b/>
          <w:sz w:val="22"/>
          <w:szCs w:val="22"/>
        </w:rPr>
        <w:instrText xml:space="preserve"> PAGEREF _Toc373149197 \h </w:instrText>
      </w:r>
      <w:r w:rsidR="00421002" w:rsidRPr="007935ED">
        <w:rPr>
          <w:b/>
          <w:sz w:val="22"/>
          <w:szCs w:val="22"/>
        </w:rPr>
      </w:r>
      <w:r w:rsidR="00421002" w:rsidRPr="007935ED">
        <w:rPr>
          <w:b/>
          <w:sz w:val="22"/>
          <w:szCs w:val="22"/>
        </w:rPr>
        <w:fldChar w:fldCharType="separate"/>
      </w:r>
      <w:r w:rsidRPr="007935ED">
        <w:rPr>
          <w:b/>
          <w:sz w:val="22"/>
          <w:szCs w:val="22"/>
        </w:rPr>
        <w:t>122</w:t>
      </w:r>
      <w:r w:rsidR="00421002" w:rsidRPr="007935ED">
        <w:rPr>
          <w:b/>
          <w:sz w:val="22"/>
          <w:szCs w:val="22"/>
        </w:rPr>
        <w:fldChar w:fldCharType="end"/>
      </w:r>
    </w:p>
    <w:p w:rsidR="00D61006" w:rsidRDefault="00D61006">
      <w:pPr>
        <w:pStyle w:val="TOC3"/>
        <w:rPr>
          <w:rFonts w:asciiTheme="minorHAnsi" w:eastAsiaTheme="minorEastAsia" w:hAnsiTheme="minorHAnsi" w:cstheme="minorBidi"/>
          <w:color w:val="auto"/>
        </w:rPr>
      </w:pPr>
      <w:r>
        <w:t>Growth of e-commerce</w:t>
      </w:r>
      <w:r>
        <w:tab/>
      </w:r>
      <w:r w:rsidR="00421002">
        <w:fldChar w:fldCharType="begin"/>
      </w:r>
      <w:r>
        <w:instrText xml:space="preserve"> PAGEREF _Toc373149198 \h </w:instrText>
      </w:r>
      <w:r w:rsidR="00421002">
        <w:fldChar w:fldCharType="separate"/>
      </w:r>
      <w:r>
        <w:t>122</w:t>
      </w:r>
      <w:r w:rsidR="00421002">
        <w:fldChar w:fldCharType="end"/>
      </w:r>
    </w:p>
    <w:p w:rsidR="00D61006" w:rsidRDefault="00D61006">
      <w:pPr>
        <w:pStyle w:val="TOC3"/>
        <w:rPr>
          <w:rFonts w:asciiTheme="minorHAnsi" w:eastAsiaTheme="minorEastAsia" w:hAnsiTheme="minorHAnsi" w:cstheme="minorBidi"/>
          <w:color w:val="auto"/>
        </w:rPr>
      </w:pPr>
      <w:r>
        <w:t>Increasing volumes of data being downloaded</w:t>
      </w:r>
      <w:r>
        <w:tab/>
      </w:r>
      <w:r w:rsidR="00421002">
        <w:fldChar w:fldCharType="begin"/>
      </w:r>
      <w:r>
        <w:instrText xml:space="preserve"> PAGEREF _Toc373149199 \h </w:instrText>
      </w:r>
      <w:r w:rsidR="00421002">
        <w:fldChar w:fldCharType="separate"/>
      </w:r>
      <w:r>
        <w:t>123</w:t>
      </w:r>
      <w:r w:rsidR="00421002">
        <w:fldChar w:fldCharType="end"/>
      </w:r>
    </w:p>
    <w:p w:rsidR="00D61006" w:rsidRDefault="00D61006">
      <w:pPr>
        <w:pStyle w:val="TOC3"/>
        <w:rPr>
          <w:rFonts w:asciiTheme="minorHAnsi" w:eastAsiaTheme="minorEastAsia" w:hAnsiTheme="minorHAnsi" w:cstheme="minorBidi"/>
          <w:color w:val="auto"/>
        </w:rPr>
      </w:pPr>
      <w:r>
        <w:t>Changing behaviours</w:t>
      </w:r>
      <w:r>
        <w:tab/>
      </w:r>
      <w:r w:rsidR="00421002">
        <w:fldChar w:fldCharType="begin"/>
      </w:r>
      <w:r>
        <w:instrText xml:space="preserve"> PAGEREF _Toc373149200 \h </w:instrText>
      </w:r>
      <w:r w:rsidR="00421002">
        <w:fldChar w:fldCharType="separate"/>
      </w:r>
      <w:r>
        <w:t>123</w:t>
      </w:r>
      <w:r w:rsidR="00421002">
        <w:fldChar w:fldCharType="end"/>
      </w:r>
    </w:p>
    <w:p w:rsidR="00D61006" w:rsidRPr="00186F29" w:rsidRDefault="00D61006">
      <w:pPr>
        <w:pStyle w:val="TOC1"/>
        <w:rPr>
          <w:rFonts w:asciiTheme="minorHAnsi" w:eastAsiaTheme="minorEastAsia" w:hAnsiTheme="minorHAnsi" w:cstheme="minorBidi"/>
          <w:b w:val="0"/>
          <w:color w:val="0070C0"/>
          <w:spacing w:val="0"/>
          <w:sz w:val="22"/>
          <w:szCs w:val="22"/>
        </w:rPr>
      </w:pPr>
      <w:r w:rsidRPr="00186F29">
        <w:rPr>
          <w:color w:val="0070C0"/>
        </w:rPr>
        <w:t>Glossary</w:t>
      </w:r>
      <w:r w:rsidRPr="00186F29">
        <w:rPr>
          <w:color w:val="0070C0"/>
        </w:rPr>
        <w:tab/>
      </w:r>
      <w:r w:rsidR="00421002" w:rsidRPr="00186F29">
        <w:rPr>
          <w:color w:val="0070C0"/>
        </w:rPr>
        <w:fldChar w:fldCharType="begin"/>
      </w:r>
      <w:r w:rsidRPr="00186F29">
        <w:rPr>
          <w:color w:val="0070C0"/>
        </w:rPr>
        <w:instrText xml:space="preserve"> PAGEREF _Toc373149201 \h </w:instrText>
      </w:r>
      <w:r w:rsidR="00421002" w:rsidRPr="00186F29">
        <w:rPr>
          <w:color w:val="0070C0"/>
        </w:rPr>
      </w:r>
      <w:r w:rsidR="00421002" w:rsidRPr="00186F29">
        <w:rPr>
          <w:color w:val="0070C0"/>
        </w:rPr>
        <w:fldChar w:fldCharType="separate"/>
      </w:r>
      <w:r w:rsidRPr="00186F29">
        <w:rPr>
          <w:color w:val="0070C0"/>
        </w:rPr>
        <w:t>126</w:t>
      </w:r>
      <w:r w:rsidR="00421002" w:rsidRPr="00186F29">
        <w:rPr>
          <w:color w:val="0070C0"/>
        </w:rPr>
        <w:fldChar w:fldCharType="end"/>
      </w:r>
    </w:p>
    <w:p w:rsidR="00D61006" w:rsidRPr="00186F29" w:rsidRDefault="00D61006">
      <w:pPr>
        <w:pStyle w:val="TOC1"/>
        <w:rPr>
          <w:rFonts w:asciiTheme="minorHAnsi" w:eastAsiaTheme="minorEastAsia" w:hAnsiTheme="minorHAnsi" w:cstheme="minorBidi"/>
          <w:b w:val="0"/>
          <w:color w:val="0070C0"/>
          <w:spacing w:val="0"/>
          <w:sz w:val="22"/>
          <w:szCs w:val="22"/>
        </w:rPr>
      </w:pPr>
      <w:r w:rsidRPr="00186F29">
        <w:rPr>
          <w:color w:val="0070C0"/>
        </w:rPr>
        <w:t>Index</w:t>
      </w:r>
      <w:r w:rsidRPr="00186F29">
        <w:rPr>
          <w:color w:val="0070C0"/>
        </w:rPr>
        <w:tab/>
      </w:r>
      <w:r w:rsidR="00421002" w:rsidRPr="00186F29">
        <w:rPr>
          <w:color w:val="0070C0"/>
        </w:rPr>
        <w:fldChar w:fldCharType="begin"/>
      </w:r>
      <w:r w:rsidRPr="00186F29">
        <w:rPr>
          <w:color w:val="0070C0"/>
        </w:rPr>
        <w:instrText xml:space="preserve"> PAGEREF _Toc373149202 \h </w:instrText>
      </w:r>
      <w:r w:rsidR="00421002" w:rsidRPr="00186F29">
        <w:rPr>
          <w:color w:val="0070C0"/>
        </w:rPr>
      </w:r>
      <w:r w:rsidR="00421002" w:rsidRPr="00186F29">
        <w:rPr>
          <w:color w:val="0070C0"/>
        </w:rPr>
        <w:fldChar w:fldCharType="separate"/>
      </w:r>
      <w:r w:rsidRPr="00186F29">
        <w:rPr>
          <w:color w:val="0070C0"/>
        </w:rPr>
        <w:t>136</w:t>
      </w:r>
      <w:r w:rsidR="00421002" w:rsidRPr="00186F29">
        <w:rPr>
          <w:color w:val="0070C0"/>
        </w:rPr>
        <w:fldChar w:fldCharType="end"/>
      </w:r>
    </w:p>
    <w:p w:rsidR="00152903" w:rsidRPr="000D76E0" w:rsidRDefault="00421002" w:rsidP="00332011">
      <w:pPr>
        <w:rPr>
          <w:rFonts w:cs="Arial"/>
        </w:rPr>
      </w:pPr>
      <w:r w:rsidRPr="000D76E0">
        <w:rPr>
          <w:rFonts w:cs="Arial"/>
        </w:rPr>
        <w:fldChar w:fldCharType="end"/>
      </w:r>
    </w:p>
    <w:p w:rsidR="004D56FF" w:rsidRDefault="004D56FF">
      <w:pPr>
        <w:rPr>
          <w:rFonts w:cs="Arial"/>
        </w:rPr>
      </w:pPr>
    </w:p>
    <w:p w:rsidR="00922D30" w:rsidRPr="000D76E0" w:rsidRDefault="00922D30">
      <w:pPr>
        <w:rPr>
          <w:rFonts w:cs="Arial"/>
        </w:rPr>
        <w:sectPr w:rsidR="00922D30" w:rsidRPr="000D76E0" w:rsidSect="00BE4C11">
          <w:headerReference w:type="even" r:id="rId24"/>
          <w:headerReference w:type="default" r:id="rId25"/>
          <w:footerReference w:type="even" r:id="rId26"/>
          <w:footerReference w:type="default" r:id="rId27"/>
          <w:footerReference w:type="first" r:id="rId28"/>
          <w:endnotePr>
            <w:numFmt w:val="decimal"/>
            <w:numRestart w:val="eachSect"/>
          </w:endnotePr>
          <w:pgSz w:w="11906" w:h="16838" w:code="9"/>
          <w:pgMar w:top="3646" w:right="3102" w:bottom="868" w:left="1134" w:header="709" w:footer="119" w:gutter="0"/>
          <w:cols w:space="708"/>
          <w:titlePg/>
          <w:docGrid w:linePitch="360"/>
        </w:sectPr>
      </w:pPr>
    </w:p>
    <w:p w:rsidR="009D6C71" w:rsidRPr="009174F3" w:rsidRDefault="001E6FB8" w:rsidP="009174F3">
      <w:pPr>
        <w:pStyle w:val="ExecSummaryHeading"/>
      </w:pPr>
      <w:bookmarkStart w:id="0" w:name="_Toc373149013"/>
      <w:r>
        <w:t>Chairman’s foreword</w:t>
      </w:r>
      <w:bookmarkEnd w:id="0"/>
    </w:p>
    <w:p w:rsidR="001E6FB8" w:rsidRPr="001E6FB8" w:rsidRDefault="001E6FB8" w:rsidP="001E6FB8">
      <w:pPr>
        <w:rPr>
          <w:rFonts w:cs="Arial"/>
        </w:rPr>
      </w:pPr>
      <w:r w:rsidRPr="001E6FB8">
        <w:rPr>
          <w:rFonts w:cs="Arial"/>
          <w:noProof/>
        </w:rPr>
        <w:drawing>
          <wp:anchor distT="0" distB="71755" distL="36195" distR="252095" simplePos="0" relativeHeight="251662336" behindDoc="0" locked="0" layoutInCell="1" allowOverlap="1">
            <wp:simplePos x="0" y="0"/>
            <wp:positionH relativeFrom="column">
              <wp:posOffset>24765</wp:posOffset>
            </wp:positionH>
            <wp:positionV relativeFrom="page">
              <wp:posOffset>2519680</wp:posOffset>
            </wp:positionV>
            <wp:extent cx="1544320" cy="1466850"/>
            <wp:effectExtent l="19050" t="19050" r="17780" b="19050"/>
            <wp:wrapSquare wrapText="bothSides"/>
            <wp:docPr id="3" name="Picture 0" descr="ACM-AER 00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AER 0017.tif"/>
                    <pic:cNvPicPr/>
                  </pic:nvPicPr>
                  <pic:blipFill>
                    <a:blip r:embed="rId29" cstate="print"/>
                    <a:srcRect l="19575" t="11111" r="19828"/>
                    <a:stretch>
                      <a:fillRect/>
                    </a:stretch>
                  </pic:blipFill>
                  <pic:spPr>
                    <a:xfrm>
                      <a:off x="0" y="0"/>
                      <a:ext cx="1544320" cy="1466850"/>
                    </a:xfrm>
                    <a:prstGeom prst="rect">
                      <a:avLst/>
                    </a:prstGeom>
                    <a:ln w="3175">
                      <a:solidFill>
                        <a:schemeClr val="tx1">
                          <a:lumMod val="65000"/>
                          <a:lumOff val="35000"/>
                        </a:schemeClr>
                      </a:solidFill>
                    </a:ln>
                  </pic:spPr>
                </pic:pic>
              </a:graphicData>
            </a:graphic>
          </wp:anchor>
        </w:drawing>
      </w:r>
      <w:r w:rsidRPr="001E6FB8">
        <w:rPr>
          <w:rFonts w:cs="Arial"/>
        </w:rPr>
        <w:t>I am pleased to present the ACMA Communications report 2012–13, the eighth edition produced since the establishment of the ACMA in July 2005.</w:t>
      </w:r>
    </w:p>
    <w:p w:rsidR="001E6FB8" w:rsidRPr="001E6FB8" w:rsidRDefault="001E6FB8" w:rsidP="001E6FB8">
      <w:pPr>
        <w:rPr>
          <w:rFonts w:cs="Arial"/>
        </w:rPr>
      </w:pPr>
    </w:p>
    <w:p w:rsidR="001E6FB8" w:rsidRPr="001E6FB8" w:rsidRDefault="001E6FB8" w:rsidP="001E6FB8">
      <w:pPr>
        <w:rPr>
          <w:rFonts w:cs="Arial"/>
        </w:rPr>
      </w:pPr>
      <w:r w:rsidRPr="001E6FB8">
        <w:rPr>
          <w:rFonts w:cs="Arial"/>
        </w:rPr>
        <w:t xml:space="preserve">The annual communications report addresses the statutory requirements under section 105 of the </w:t>
      </w:r>
      <w:r w:rsidRPr="001E6FB8">
        <w:rPr>
          <w:rFonts w:cs="Arial"/>
          <w:i/>
        </w:rPr>
        <w:t>Telecommunications Act 1997</w:t>
      </w:r>
      <w:r w:rsidRPr="001E6FB8">
        <w:rPr>
          <w:rFonts w:cs="Arial"/>
        </w:rPr>
        <w:t xml:space="preserve"> to report on the performance of carriers and carriage service providers in meeting service and compliance obligations, consumer satisfaction, consumer benefits and quality of service. </w:t>
      </w:r>
      <w:r>
        <w:rPr>
          <w:rFonts w:cs="Arial"/>
        </w:rPr>
        <w:br/>
      </w:r>
      <w:r w:rsidRPr="001E6FB8">
        <w:rPr>
          <w:rFonts w:cs="Arial"/>
        </w:rPr>
        <w:t>A comprehensive overview of the performance of the broadcasting industry in meeting regulatory obligations is also provided.</w:t>
      </w:r>
    </w:p>
    <w:p w:rsidR="001E6FB8" w:rsidRPr="001E6FB8" w:rsidRDefault="001E6FB8" w:rsidP="001E6FB8">
      <w:pPr>
        <w:rPr>
          <w:rFonts w:cs="Arial"/>
        </w:rPr>
      </w:pPr>
    </w:p>
    <w:p w:rsidR="001E6FB8" w:rsidRPr="001E6FB8" w:rsidRDefault="001E6FB8" w:rsidP="001E6FB8">
      <w:pPr>
        <w:rPr>
          <w:rFonts w:cs="Arial"/>
        </w:rPr>
      </w:pPr>
      <w:r w:rsidRPr="001E6FB8">
        <w:rPr>
          <w:rFonts w:cs="Arial"/>
        </w:rPr>
        <w:t>The communications report again provides critical insights into the developing digital economy and its impacts on the communications and media sectors that the ACMA regulates. During 2012–13, the digital economy in Australia grew strongly as evidenced by, for example, increasing levels of online participation, the growth in intensity and economic value of activities performed online and the surge in the volume of data being downloaded by Australian internet users.</w:t>
      </w:r>
    </w:p>
    <w:p w:rsidR="001E6FB8" w:rsidRPr="001E6FB8" w:rsidRDefault="001E6FB8" w:rsidP="001E6FB8">
      <w:pPr>
        <w:rPr>
          <w:rFonts w:cs="Arial"/>
        </w:rPr>
      </w:pPr>
    </w:p>
    <w:p w:rsidR="001E6FB8" w:rsidRPr="001E6FB8" w:rsidRDefault="001E6FB8" w:rsidP="001E6FB8">
      <w:pPr>
        <w:rPr>
          <w:rFonts w:cs="Arial"/>
        </w:rPr>
      </w:pPr>
      <w:r w:rsidRPr="001E6FB8">
        <w:rPr>
          <w:rFonts w:cs="Arial"/>
        </w:rPr>
        <w:t xml:space="preserve">This report also suggests that while Australians are continuing to derive real benefits from increased online engagement, the rapid take-up of over-the-top (OTT) services delivered via the internet presents an ongoing challenge to established business models in terms of declining use of traditional voice and content services. </w:t>
      </w:r>
    </w:p>
    <w:p w:rsidR="001E6FB8" w:rsidRPr="001E6FB8" w:rsidRDefault="001E6FB8" w:rsidP="001E6FB8">
      <w:pPr>
        <w:rPr>
          <w:rFonts w:cs="Arial"/>
        </w:rPr>
      </w:pPr>
    </w:p>
    <w:p w:rsidR="001E6FB8" w:rsidRPr="001E6FB8" w:rsidRDefault="001E6FB8" w:rsidP="001E6FB8">
      <w:pPr>
        <w:rPr>
          <w:rFonts w:cs="Arial"/>
        </w:rPr>
      </w:pPr>
      <w:r w:rsidRPr="001E6FB8">
        <w:rPr>
          <w:rFonts w:cs="Arial"/>
        </w:rPr>
        <w:t>This year we have introduced a number of changes to the reporting program to add further value to the communications report.</w:t>
      </w:r>
    </w:p>
    <w:p w:rsidR="001E6FB8" w:rsidRPr="001E6FB8" w:rsidRDefault="001E6FB8" w:rsidP="001E6FB8">
      <w:pPr>
        <w:rPr>
          <w:rFonts w:cs="Arial"/>
        </w:rPr>
      </w:pPr>
      <w:r w:rsidRPr="001E6FB8">
        <w:rPr>
          <w:rFonts w:cs="Arial"/>
        </w:rPr>
        <w:t xml:space="preserve"> </w:t>
      </w:r>
    </w:p>
    <w:p w:rsidR="001E6FB8" w:rsidRPr="001E6FB8" w:rsidRDefault="001E6FB8" w:rsidP="001E6FB8">
      <w:pPr>
        <w:rPr>
          <w:rFonts w:cs="Arial"/>
        </w:rPr>
      </w:pPr>
      <w:r w:rsidRPr="001E6FB8">
        <w:rPr>
          <w:rFonts w:cs="Arial"/>
        </w:rPr>
        <w:t xml:space="preserve">In further recognition of the global nature of communications, we have included international data for the first time, allowing some comparisons of Australia’s progress in the digital economy relative to other countries. We intend to expand this feature in future reports. </w:t>
      </w:r>
    </w:p>
    <w:p w:rsidR="001E6FB8" w:rsidRPr="001E6FB8" w:rsidRDefault="001E6FB8" w:rsidP="001E6FB8">
      <w:pPr>
        <w:rPr>
          <w:rFonts w:cs="Arial"/>
        </w:rPr>
      </w:pPr>
    </w:p>
    <w:p w:rsidR="001E6FB8" w:rsidRPr="001E6FB8" w:rsidRDefault="001E6FB8" w:rsidP="001E6FB8">
      <w:pPr>
        <w:rPr>
          <w:rFonts w:cs="Arial"/>
        </w:rPr>
      </w:pPr>
      <w:r w:rsidRPr="001E6FB8">
        <w:rPr>
          <w:rFonts w:cs="Arial"/>
        </w:rPr>
        <w:t xml:space="preserve">The ACMA has also introduced its inaugural ACMA research snapshot series—concise, ‘fit-for-purpose’ research updates on key issues of relevance to the ACMA and its stakeholders. These snapshots are published in blog, video and </w:t>
      </w:r>
      <w:proofErr w:type="spellStart"/>
      <w:r w:rsidRPr="001E6FB8">
        <w:rPr>
          <w:rFonts w:cs="Arial"/>
        </w:rPr>
        <w:t>infographic</w:t>
      </w:r>
      <w:proofErr w:type="spellEnd"/>
      <w:r w:rsidRPr="001E6FB8">
        <w:rPr>
          <w:rFonts w:cs="Arial"/>
        </w:rPr>
        <w:t xml:space="preserve"> format, as a complement to the communications report. </w:t>
      </w:r>
    </w:p>
    <w:p w:rsidR="001E6FB8" w:rsidRPr="001E6FB8" w:rsidRDefault="001E6FB8" w:rsidP="001E6FB8">
      <w:pPr>
        <w:rPr>
          <w:rFonts w:cs="Arial"/>
        </w:rPr>
      </w:pPr>
    </w:p>
    <w:p w:rsidR="001E6FB8" w:rsidRPr="001E6FB8" w:rsidRDefault="001E6FB8" w:rsidP="001E6FB8">
      <w:pPr>
        <w:rPr>
          <w:rFonts w:cs="Arial"/>
        </w:rPr>
      </w:pPr>
      <w:r>
        <w:rPr>
          <w:rFonts w:cs="Arial"/>
          <w:noProof/>
        </w:rPr>
        <w:drawing>
          <wp:anchor distT="0" distB="0" distL="114300" distR="114300" simplePos="0" relativeHeight="251664384" behindDoc="1" locked="0" layoutInCell="1" allowOverlap="1">
            <wp:simplePos x="0" y="0"/>
            <wp:positionH relativeFrom="column">
              <wp:posOffset>9413</wp:posOffset>
            </wp:positionH>
            <wp:positionV relativeFrom="paragraph">
              <wp:posOffset>842869</wp:posOffset>
            </wp:positionV>
            <wp:extent cx="2136439" cy="976443"/>
            <wp:effectExtent l="57150" t="114300" r="54311" b="90357"/>
            <wp:wrapNone/>
            <wp:docPr id="4" name="Picture 19" descr="ACM_ChrisChapman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M_ChrisChapmanSignature.tif"/>
                    <pic:cNvPicPr/>
                  </pic:nvPicPr>
                  <pic:blipFill>
                    <a:blip r:embed="rId30" cstate="print"/>
                    <a:srcRect l="17285" t="28780" r="15985" b="16576"/>
                    <a:stretch>
                      <a:fillRect/>
                    </a:stretch>
                  </pic:blipFill>
                  <pic:spPr>
                    <a:xfrm rot="360000">
                      <a:off x="0" y="0"/>
                      <a:ext cx="2136439" cy="976443"/>
                    </a:xfrm>
                    <a:prstGeom prst="rect">
                      <a:avLst/>
                    </a:prstGeom>
                  </pic:spPr>
                </pic:pic>
              </a:graphicData>
            </a:graphic>
          </wp:anchor>
        </w:drawing>
      </w:r>
      <w:r w:rsidRPr="001E6FB8">
        <w:rPr>
          <w:rFonts w:cs="Arial"/>
        </w:rPr>
        <w:t>I commend the ACMA Communications report 2012–13, and related complementary reports and snapshots, as an essential evidence-base to analyse and understand the rapidly changing communications and media environment in Australia. In the spirit of continually striving to improve its research and reporting program, the ACMA welcomes any feedback on this report as a key component of its research and reporting program.</w:t>
      </w:r>
      <w:r w:rsidRPr="001E6FB8">
        <w:rPr>
          <w:rFonts w:cs="Arial"/>
          <w:noProof/>
          <w:szCs w:val="20"/>
        </w:rPr>
        <w:t xml:space="preserve"> </w:t>
      </w:r>
    </w:p>
    <w:p w:rsidR="001E6FB8" w:rsidRPr="001E6FB8" w:rsidRDefault="001E6FB8" w:rsidP="001E6FB8">
      <w:pPr>
        <w:rPr>
          <w:rFonts w:cs="Arial"/>
        </w:rPr>
      </w:pPr>
    </w:p>
    <w:p w:rsidR="001E6FB8" w:rsidRPr="001E6FB8" w:rsidRDefault="001E6FB8" w:rsidP="001E6FB8">
      <w:pPr>
        <w:rPr>
          <w:rFonts w:cs="Arial"/>
        </w:rPr>
      </w:pPr>
    </w:p>
    <w:p w:rsidR="001E6FB8" w:rsidRPr="001E6FB8" w:rsidRDefault="001E6FB8" w:rsidP="001E6FB8">
      <w:pPr>
        <w:rPr>
          <w:rFonts w:cs="Arial"/>
        </w:rPr>
      </w:pPr>
    </w:p>
    <w:p w:rsidR="001E6FB8" w:rsidRPr="001E6FB8" w:rsidRDefault="001E6FB8" w:rsidP="001E6FB8">
      <w:pPr>
        <w:rPr>
          <w:rFonts w:cs="Arial"/>
        </w:rPr>
      </w:pPr>
      <w:r w:rsidRPr="001E6FB8">
        <w:rPr>
          <w:rFonts w:cs="Arial"/>
        </w:rPr>
        <w:t>Chris Chapman</w:t>
      </w:r>
    </w:p>
    <w:p w:rsidR="00FF3C69" w:rsidRPr="006D46E5" w:rsidRDefault="001E6FB8" w:rsidP="001E6FB8">
      <w:pPr>
        <w:rPr>
          <w:rFonts w:cs="Arial"/>
        </w:rPr>
      </w:pPr>
      <w:r w:rsidRPr="001E6FB8">
        <w:rPr>
          <w:rFonts w:cs="Arial"/>
        </w:rPr>
        <w:t>Chairman</w:t>
      </w:r>
    </w:p>
    <w:p w:rsidR="001E6FB8" w:rsidRPr="00E141F1" w:rsidRDefault="001E6FB8" w:rsidP="001E6FB8">
      <w:pPr>
        <w:pStyle w:val="Heading1"/>
      </w:pPr>
      <w:bookmarkStart w:id="1" w:name="_Toc371588952"/>
      <w:bookmarkStart w:id="2" w:name="_Toc373149014"/>
      <w:r>
        <w:t>Introduction and</w:t>
      </w:r>
      <w:r>
        <w:br/>
      </w:r>
      <w:r w:rsidRPr="00E141F1">
        <w:t>executive summary</w:t>
      </w:r>
      <w:bookmarkEnd w:id="1"/>
      <w:bookmarkEnd w:id="2"/>
      <w:r w:rsidRPr="00E141F1">
        <w:t xml:space="preserve"> </w:t>
      </w:r>
    </w:p>
    <w:p w:rsidR="001E6FB8" w:rsidRPr="00E141F1" w:rsidRDefault="001E6FB8" w:rsidP="001E6FB8">
      <w:pPr>
        <w:pStyle w:val="Heading2"/>
      </w:pPr>
      <w:bookmarkStart w:id="3" w:name="_Toc341428258"/>
      <w:bookmarkStart w:id="4" w:name="_Toc371588953"/>
      <w:bookmarkStart w:id="5" w:name="_Toc373149015"/>
      <w:r w:rsidRPr="00E141F1">
        <w:t>Introduction</w:t>
      </w:r>
      <w:bookmarkEnd w:id="3"/>
      <w:bookmarkEnd w:id="4"/>
      <w:bookmarkEnd w:id="5"/>
    </w:p>
    <w:p w:rsidR="001E6FB8" w:rsidRPr="00E141F1" w:rsidRDefault="001E6FB8" w:rsidP="001E6FB8">
      <w:pPr>
        <w:pStyle w:val="Heading3"/>
      </w:pPr>
      <w:bookmarkStart w:id="6" w:name="_Toc341428259"/>
      <w:bookmarkStart w:id="7" w:name="_Toc371588954"/>
      <w:bookmarkStart w:id="8" w:name="_Toc373149016"/>
      <w:r w:rsidRPr="00E141F1">
        <w:t>Legislative basis</w:t>
      </w:r>
      <w:bookmarkEnd w:id="6"/>
      <w:bookmarkEnd w:id="7"/>
      <w:bookmarkEnd w:id="8"/>
    </w:p>
    <w:p w:rsidR="001E6FB8" w:rsidRPr="00E141F1" w:rsidRDefault="001E6FB8" w:rsidP="001E6FB8">
      <w:pPr>
        <w:rPr>
          <w:rFonts w:cs="Arial"/>
        </w:rPr>
      </w:pPr>
      <w:r w:rsidRPr="00E141F1">
        <w:rPr>
          <w:rFonts w:cs="Arial"/>
        </w:rPr>
        <w:t xml:space="preserve">The </w:t>
      </w:r>
      <w:r w:rsidRPr="00E141F1">
        <w:rPr>
          <w:rFonts w:cs="Arial"/>
          <w:i/>
        </w:rPr>
        <w:t>Communications report 2012–13</w:t>
      </w:r>
      <w:r w:rsidRPr="00E141F1">
        <w:rPr>
          <w:rFonts w:cs="Arial"/>
        </w:rPr>
        <w:t xml:space="preserve"> fulfils the ACMA’s statutory reporting requirements under the </w:t>
      </w:r>
      <w:r w:rsidRPr="00E141F1">
        <w:rPr>
          <w:rFonts w:cs="Arial"/>
          <w:i/>
        </w:rPr>
        <w:t>Telecommunications Act 1997</w:t>
      </w:r>
      <w:r w:rsidRPr="00E141F1">
        <w:rPr>
          <w:rFonts w:cs="Arial"/>
        </w:rPr>
        <w:t xml:space="preserve"> (the Act). Section 105 of the Act requires the ACMA to report annually on the performance of carriers and carriage service providers (CSPs) in meeting regulatory obligations with specific reference to consumer satisfaction, consumer benefits and quality of service. Information about the broadcasting industry’s performance in meeting regulatory obligations is also included in this report—a reflection of the ACMA’s role as a converged communications and media regulator. </w:t>
      </w:r>
    </w:p>
    <w:p w:rsidR="001E6FB8" w:rsidRPr="00E141F1" w:rsidRDefault="001E6FB8" w:rsidP="001E6FB8">
      <w:pPr>
        <w:rPr>
          <w:rFonts w:cs="Arial"/>
        </w:rPr>
      </w:pPr>
    </w:p>
    <w:p w:rsidR="001E6FB8" w:rsidRPr="00E141F1" w:rsidRDefault="001E6FB8" w:rsidP="001E6FB8">
      <w:pPr>
        <w:pStyle w:val="Heading3"/>
      </w:pPr>
      <w:bookmarkStart w:id="9" w:name="_Toc341428260"/>
      <w:bookmarkStart w:id="10" w:name="_Toc371588955"/>
      <w:bookmarkStart w:id="11" w:name="_Toc373149017"/>
      <w:r w:rsidRPr="00E141F1">
        <w:t>Scope and structure</w:t>
      </w:r>
      <w:bookmarkEnd w:id="9"/>
      <w:bookmarkEnd w:id="10"/>
      <w:bookmarkEnd w:id="11"/>
    </w:p>
    <w:p w:rsidR="001E6FB8" w:rsidRPr="00E141F1" w:rsidRDefault="001E6FB8" w:rsidP="001E6FB8">
      <w:pPr>
        <w:spacing w:after="80"/>
        <w:rPr>
          <w:rFonts w:cs="Arial"/>
        </w:rPr>
      </w:pPr>
      <w:r w:rsidRPr="00E141F1">
        <w:rPr>
          <w:rFonts w:cs="Arial"/>
        </w:rPr>
        <w:t xml:space="preserve">The </w:t>
      </w:r>
      <w:r w:rsidRPr="00E141F1">
        <w:rPr>
          <w:rFonts w:cs="Arial"/>
          <w:i/>
        </w:rPr>
        <w:t>Communications report 2012–13</w:t>
      </w:r>
      <w:r w:rsidRPr="00E141F1">
        <w:rPr>
          <w:rFonts w:cs="Arial"/>
        </w:rPr>
        <w:t xml:space="preserve"> comprises the following chapters:</w:t>
      </w:r>
    </w:p>
    <w:p w:rsidR="001E6FB8" w:rsidRPr="00E141F1" w:rsidRDefault="001E6FB8" w:rsidP="001E6FB8">
      <w:pPr>
        <w:pStyle w:val="ListBullet"/>
        <w:rPr>
          <w:rFonts w:cs="Arial"/>
        </w:rPr>
      </w:pPr>
      <w:r w:rsidRPr="00E141F1">
        <w:rPr>
          <w:rFonts w:cs="Arial"/>
        </w:rPr>
        <w:t>Chapter 1—</w:t>
      </w:r>
      <w:r w:rsidRPr="00E141F1">
        <w:rPr>
          <w:rFonts w:cs="Arial"/>
          <w:i/>
        </w:rPr>
        <w:t xml:space="preserve">The Australian communications and media market </w:t>
      </w:r>
      <w:r w:rsidRPr="00E141F1">
        <w:rPr>
          <w:rFonts w:cs="Arial"/>
        </w:rPr>
        <w:t>presents a detailed analysis of key supply and demand side developments in the communications and media markets in Australia during the 2012–13 reporting period, including key mergers and acquisitions, new service offerings, developments relating to the rollout of digital economy infrastructure and changing consumer communications and media preferences.</w:t>
      </w:r>
    </w:p>
    <w:p w:rsidR="001E6FB8" w:rsidRPr="00E141F1" w:rsidRDefault="001E6FB8" w:rsidP="001E6FB8">
      <w:pPr>
        <w:pStyle w:val="ListBullet"/>
        <w:rPr>
          <w:rFonts w:cs="Arial"/>
        </w:rPr>
      </w:pPr>
      <w:r w:rsidRPr="00E141F1">
        <w:rPr>
          <w:rFonts w:cs="Arial"/>
        </w:rPr>
        <w:t>Chapter 2—</w:t>
      </w:r>
      <w:r w:rsidRPr="00E141F1">
        <w:rPr>
          <w:rFonts w:cs="Arial"/>
          <w:i/>
        </w:rPr>
        <w:t xml:space="preserve">National interest issues </w:t>
      </w:r>
      <w:r w:rsidRPr="00E141F1">
        <w:rPr>
          <w:rFonts w:cs="Arial"/>
        </w:rPr>
        <w:t xml:space="preserve">presents information about the performance of the emergency call services, an update on the cost of maintaining communication interception capabilities, the disclosure of customer information in support of law enforcement and investigations, submarine cable infrastructure protection and radiofrequency interference complaints. </w:t>
      </w:r>
    </w:p>
    <w:p w:rsidR="001E6FB8" w:rsidRPr="00E141F1" w:rsidRDefault="001E6FB8" w:rsidP="001E6FB8">
      <w:pPr>
        <w:pStyle w:val="ListBullet"/>
        <w:rPr>
          <w:rFonts w:cs="Arial"/>
          <w:i/>
        </w:rPr>
      </w:pPr>
      <w:r w:rsidRPr="00E141F1">
        <w:rPr>
          <w:rFonts w:cs="Arial"/>
        </w:rPr>
        <w:t>Chapter 3—</w:t>
      </w:r>
      <w:r w:rsidRPr="00E141F1">
        <w:rPr>
          <w:rFonts w:cs="Arial"/>
          <w:i/>
        </w:rPr>
        <w:t xml:space="preserve">Telecommunications consumer safeguards and quality of service </w:t>
      </w:r>
      <w:r w:rsidRPr="00E141F1">
        <w:rPr>
          <w:rFonts w:cs="Arial"/>
        </w:rPr>
        <w:t>examines the performance of key communications safeguards such as the Customer Service Guarantee Standard (CSG Standard), priority assistance and the Network Reliability Framework, the Do Not Call Register (DNCR) and related unwanted communications rules covering telemarketing investigations and spam complaints. This chapter also examines number portability, complaints to the Telecommunications Industry Ombudsman (TIO) and current levels of consumer satisfaction with fixed-voice, mobile phones and internet services.</w:t>
      </w:r>
    </w:p>
    <w:p w:rsidR="001E6FB8" w:rsidRPr="00E141F1" w:rsidRDefault="001E6FB8" w:rsidP="001E6FB8">
      <w:pPr>
        <w:pStyle w:val="ListBullet"/>
        <w:rPr>
          <w:rFonts w:cs="Arial"/>
          <w:i/>
        </w:rPr>
      </w:pPr>
      <w:r w:rsidRPr="00E141F1">
        <w:rPr>
          <w:rFonts w:cs="Arial"/>
        </w:rPr>
        <w:t>Chapter 4—</w:t>
      </w:r>
      <w:r w:rsidRPr="00E141F1">
        <w:rPr>
          <w:rFonts w:cs="Arial"/>
          <w:i/>
        </w:rPr>
        <w:t xml:space="preserve">Broadcasting industry regulatory performance </w:t>
      </w:r>
      <w:r w:rsidRPr="00E141F1">
        <w:rPr>
          <w:rFonts w:cs="Arial"/>
        </w:rPr>
        <w:t>discusses the performance of Australian broadcasters in meeting their regulatory obligations relating to broadcasting Australian content, changes in media ownership and control, the digitalisation of broadcasting services and complaints to the ACMA about broadcasting matters and prohibited online content.</w:t>
      </w:r>
    </w:p>
    <w:p w:rsidR="001E6FB8" w:rsidRPr="00E141F1" w:rsidRDefault="001E6FB8" w:rsidP="001E6FB8">
      <w:pPr>
        <w:pStyle w:val="ListBullet"/>
        <w:spacing w:after="200"/>
        <w:rPr>
          <w:rFonts w:cs="Arial"/>
        </w:rPr>
      </w:pPr>
      <w:r w:rsidRPr="00E141F1">
        <w:rPr>
          <w:rFonts w:cs="Arial"/>
        </w:rPr>
        <w:t>Chapter 5—</w:t>
      </w:r>
      <w:r w:rsidRPr="00E141F1">
        <w:rPr>
          <w:rFonts w:cs="Arial"/>
          <w:i/>
        </w:rPr>
        <w:t xml:space="preserve">Consumer benefits from participating in the digital economy </w:t>
      </w:r>
      <w:r w:rsidRPr="00E141F1">
        <w:rPr>
          <w:rFonts w:cs="Arial"/>
        </w:rPr>
        <w:t>examines the latest findings on Australians’ increasing engagement with the online economy and some of the impacts of the shift to the online environment.</w:t>
      </w:r>
    </w:p>
    <w:p w:rsidR="001E6FB8" w:rsidRPr="00E141F1" w:rsidRDefault="001E6FB8" w:rsidP="001E6FB8">
      <w:pPr>
        <w:spacing w:line="240" w:lineRule="auto"/>
        <w:rPr>
          <w:rFonts w:cs="Arial"/>
          <w:b/>
          <w:bCs/>
          <w:iCs/>
          <w:sz w:val="28"/>
          <w:szCs w:val="28"/>
        </w:rPr>
      </w:pPr>
      <w:bookmarkStart w:id="12" w:name="_Toc341428262"/>
      <w:r w:rsidRPr="00E141F1">
        <w:rPr>
          <w:rFonts w:cs="Arial"/>
        </w:rPr>
        <w:br w:type="page"/>
      </w:r>
    </w:p>
    <w:p w:rsidR="001E6FB8" w:rsidRPr="00E141F1" w:rsidRDefault="001E6FB8" w:rsidP="001E6FB8">
      <w:pPr>
        <w:pStyle w:val="Heading2"/>
      </w:pPr>
      <w:bookmarkStart w:id="13" w:name="_Toc371588956"/>
      <w:bookmarkStart w:id="14" w:name="_Toc373149018"/>
      <w:r w:rsidRPr="00E141F1">
        <w:t>Executive summary</w:t>
      </w:r>
      <w:bookmarkEnd w:id="12"/>
      <w:bookmarkEnd w:id="13"/>
      <w:bookmarkEnd w:id="14"/>
    </w:p>
    <w:p w:rsidR="001E6FB8" w:rsidRPr="00E141F1" w:rsidRDefault="001E6FB8" w:rsidP="001E6FB8">
      <w:pPr>
        <w:pStyle w:val="Heading3"/>
      </w:pPr>
      <w:bookmarkStart w:id="15" w:name="_Toc287540072"/>
      <w:bookmarkStart w:id="16" w:name="_Toc308517093"/>
      <w:bookmarkStart w:id="17" w:name="_Toc308523553"/>
      <w:bookmarkStart w:id="18" w:name="_Toc312157056"/>
      <w:bookmarkStart w:id="19" w:name="_Toc341428263"/>
      <w:bookmarkStart w:id="20" w:name="_Toc371588957"/>
      <w:bookmarkStart w:id="21" w:name="_Toc373149019"/>
      <w:r w:rsidRPr="00E141F1">
        <w:t>Key trends</w:t>
      </w:r>
      <w:bookmarkEnd w:id="15"/>
      <w:bookmarkEnd w:id="16"/>
      <w:bookmarkEnd w:id="17"/>
      <w:bookmarkEnd w:id="18"/>
      <w:bookmarkEnd w:id="19"/>
      <w:bookmarkEnd w:id="20"/>
      <w:bookmarkEnd w:id="21"/>
    </w:p>
    <w:p w:rsidR="001E6FB8" w:rsidRPr="00E141F1" w:rsidRDefault="001E6FB8" w:rsidP="001E6FB8">
      <w:pPr>
        <w:rPr>
          <w:rFonts w:cs="Arial"/>
        </w:rPr>
      </w:pPr>
      <w:r w:rsidRPr="00E141F1">
        <w:rPr>
          <w:rFonts w:cs="Arial"/>
          <w:lang w:val="en-US"/>
        </w:rPr>
        <w:t xml:space="preserve">The ACMA </w:t>
      </w:r>
      <w:r w:rsidRPr="00E141F1">
        <w:rPr>
          <w:rFonts w:cs="Arial"/>
          <w:i/>
          <w:lang w:val="en-US"/>
        </w:rPr>
        <w:t xml:space="preserve">Communications report 2012–13 </w:t>
      </w:r>
      <w:r w:rsidRPr="00E141F1">
        <w:rPr>
          <w:rFonts w:cs="Arial"/>
          <w:lang w:val="en-US"/>
        </w:rPr>
        <w:t xml:space="preserve">highlights key developments in Australia relating to the ongoing transition to online and internet-protocol (IP) services delivery models and their impacts on the communication and media sectors that the ACMA regulates. </w:t>
      </w:r>
      <w:r w:rsidRPr="00E141F1">
        <w:rPr>
          <w:rFonts w:cs="Arial"/>
        </w:rPr>
        <w:t xml:space="preserve">These developments continue to provide strong evidence of the growing scale of the digital economy in Australia and of the ongoing challenges this brings to traditional communications and broadcasting regulation, such as fixed-voice consumer safeguards, online protections and the representation of Australian content in new online delivery channels. </w:t>
      </w:r>
      <w:bookmarkStart w:id="22" w:name="_Toc287540073"/>
      <w:bookmarkStart w:id="23" w:name="_Toc308517094"/>
      <w:bookmarkStart w:id="24" w:name="_Toc308523554"/>
      <w:bookmarkStart w:id="25" w:name="_Toc312157057"/>
      <w:bookmarkStart w:id="26" w:name="_Toc341428264"/>
    </w:p>
    <w:p w:rsidR="001E6FB8" w:rsidRPr="00E141F1" w:rsidRDefault="001E6FB8" w:rsidP="001E6FB8">
      <w:pPr>
        <w:pStyle w:val="Default"/>
        <w:rPr>
          <w:color w:val="auto"/>
          <w:sz w:val="20"/>
        </w:rPr>
      </w:pPr>
    </w:p>
    <w:p w:rsidR="001E6FB8" w:rsidRPr="00E141F1" w:rsidRDefault="001E6FB8" w:rsidP="001E6FB8">
      <w:pPr>
        <w:spacing w:after="80"/>
        <w:rPr>
          <w:rFonts w:cs="Arial"/>
        </w:rPr>
      </w:pPr>
      <w:r w:rsidRPr="00E141F1">
        <w:rPr>
          <w:rFonts w:cs="Arial"/>
        </w:rPr>
        <w:t xml:space="preserve">During 2012–13, Australia’s digital economy continued to grow strongly with increases in levels of internet access, frequency of internet use and intensity of online engagement—a trend seen over the last five years. This increased engagement with the digital economy also continues to shape and challenge the existing business models of carriers, CSPs and traditional content providers such as broadcasters and print news operators. </w:t>
      </w:r>
      <w:r>
        <w:rPr>
          <w:rFonts w:cs="Arial"/>
        </w:rPr>
        <w:t>F</w:t>
      </w:r>
      <w:r w:rsidRPr="00E141F1">
        <w:rPr>
          <w:rFonts w:cs="Arial"/>
        </w:rPr>
        <w:t xml:space="preserve">our highlights are:  </w:t>
      </w:r>
    </w:p>
    <w:p w:rsidR="001E6FB8" w:rsidRDefault="001E6FB8" w:rsidP="001E6FB8">
      <w:pPr>
        <w:pStyle w:val="ListNumber"/>
      </w:pPr>
      <w:r w:rsidRPr="00E141F1">
        <w:t xml:space="preserve">a continued surge in the volume of data being downloaded, largely driven by fixed-line broadband users </w:t>
      </w:r>
    </w:p>
    <w:p w:rsidR="001E6FB8" w:rsidRDefault="001E6FB8" w:rsidP="001E6FB8">
      <w:pPr>
        <w:pStyle w:val="ListNumber"/>
      </w:pPr>
      <w:r w:rsidRPr="00E141F1">
        <w:t xml:space="preserve">increased use of online content streaming services such as catch-up TV, video on demand and IPTV, </w:t>
      </w:r>
      <w:r>
        <w:t>with</w:t>
      </w:r>
      <w:r w:rsidRPr="00E141F1">
        <w:t xml:space="preserve"> cloud computing contributing to the growth in data downloads</w:t>
      </w:r>
    </w:p>
    <w:p w:rsidR="001E6FB8" w:rsidRDefault="001E6FB8" w:rsidP="001E6FB8">
      <w:pPr>
        <w:pStyle w:val="ListNumber"/>
      </w:pPr>
      <w:r w:rsidRPr="00E141F1">
        <w:t>growth in the use of internet ser</w:t>
      </w:r>
      <w:r>
        <w:t xml:space="preserve">vices via mobile phone handsets—particularly </w:t>
      </w:r>
      <w:proofErr w:type="spellStart"/>
      <w:r>
        <w:t>smartphones</w:t>
      </w:r>
      <w:proofErr w:type="spellEnd"/>
      <w:r>
        <w:t>—</w:t>
      </w:r>
      <w:r w:rsidRPr="005603C5">
        <w:t>and tablets</w:t>
      </w:r>
    </w:p>
    <w:p w:rsidR="001E6FB8" w:rsidRDefault="001E6FB8" w:rsidP="001E6FB8">
      <w:pPr>
        <w:pStyle w:val="ListNumber"/>
        <w:spacing w:after="240"/>
      </w:pPr>
      <w:r w:rsidRPr="00E141F1">
        <w:t>a jump in the number of people using over-the-top (OTT) communications, such as Skype, via tablets and mobile phones</w:t>
      </w:r>
      <w:r>
        <w:t>—</w:t>
      </w:r>
      <w:r w:rsidRPr="00E141F1">
        <w:t>challenging traditional fixed-line telephone and mobile voice revenues.</w:t>
      </w:r>
    </w:p>
    <w:p w:rsidR="001E6FB8" w:rsidRPr="00E141F1" w:rsidRDefault="001E6FB8" w:rsidP="001E6FB8">
      <w:pPr>
        <w:pStyle w:val="Heading3"/>
      </w:pPr>
      <w:bookmarkStart w:id="27" w:name="_Toc371588958"/>
      <w:bookmarkStart w:id="28" w:name="_Toc373149020"/>
      <w:r w:rsidRPr="00E141F1">
        <w:t>Consumer benefits from participation in the digital economy</w:t>
      </w:r>
      <w:bookmarkEnd w:id="27"/>
      <w:bookmarkEnd w:id="28"/>
    </w:p>
    <w:p w:rsidR="001E6FB8" w:rsidRPr="00E141F1" w:rsidRDefault="001E6FB8" w:rsidP="001E6FB8">
      <w:pPr>
        <w:spacing w:after="80"/>
        <w:rPr>
          <w:rFonts w:cs="Arial"/>
        </w:rPr>
      </w:pPr>
      <w:r w:rsidRPr="00E141F1">
        <w:rPr>
          <w:rFonts w:cs="Arial"/>
        </w:rPr>
        <w:t>Internet connectivity levels continue to increase in Australia:</w:t>
      </w:r>
    </w:p>
    <w:p w:rsidR="001E6FB8" w:rsidRPr="00E141F1" w:rsidRDefault="001E6FB8" w:rsidP="001E6FB8">
      <w:pPr>
        <w:pStyle w:val="ListParagraph"/>
        <w:numPr>
          <w:ilvl w:val="0"/>
          <w:numId w:val="20"/>
        </w:numPr>
        <w:spacing w:after="80" w:line="240" w:lineRule="auto"/>
        <w:contextualSpacing w:val="0"/>
        <w:rPr>
          <w:rFonts w:ascii="Arial" w:hAnsi="Arial" w:cs="Arial"/>
        </w:rPr>
      </w:pPr>
      <w:r w:rsidRPr="00E141F1">
        <w:rPr>
          <w:rFonts w:ascii="Arial" w:hAnsi="Arial" w:cs="Arial"/>
        </w:rPr>
        <w:t>7.50 million people used the internet via their mobile phone during June 2013, a 33 per cent increase over the number of mobile internet users during June 2012.</w:t>
      </w:r>
      <w:r>
        <w:rPr>
          <w:rFonts w:ascii="Arial" w:hAnsi="Arial" w:cs="Arial"/>
        </w:rPr>
        <w:t xml:space="preserve"> </w:t>
      </w:r>
    </w:p>
    <w:p w:rsidR="001E6FB8" w:rsidRPr="00E141F1" w:rsidRDefault="001E6FB8" w:rsidP="001E6FB8">
      <w:pPr>
        <w:pStyle w:val="ListParagraph"/>
        <w:numPr>
          <w:ilvl w:val="0"/>
          <w:numId w:val="20"/>
        </w:numPr>
        <w:spacing w:after="80" w:line="240" w:lineRule="auto"/>
        <w:contextualSpacing w:val="0"/>
        <w:rPr>
          <w:rFonts w:ascii="Arial" w:hAnsi="Arial" w:cs="Arial"/>
        </w:rPr>
      </w:pPr>
      <w:r w:rsidRPr="00E141F1">
        <w:rPr>
          <w:rFonts w:ascii="Arial" w:hAnsi="Arial" w:cs="Arial"/>
        </w:rPr>
        <w:t>14.24 million people had access to the internet in the home at June 2013, an increase of two per cent since June 2012.</w:t>
      </w:r>
    </w:p>
    <w:p w:rsidR="001E6FB8" w:rsidRPr="00E141F1" w:rsidRDefault="001E6FB8" w:rsidP="001E6FB8">
      <w:pPr>
        <w:pStyle w:val="ListParagraph"/>
        <w:numPr>
          <w:ilvl w:val="0"/>
          <w:numId w:val="20"/>
        </w:numPr>
        <w:spacing w:after="80" w:line="240" w:lineRule="auto"/>
        <w:contextualSpacing w:val="0"/>
        <w:rPr>
          <w:rFonts w:ascii="Arial" w:hAnsi="Arial" w:cs="Arial"/>
        </w:rPr>
      </w:pPr>
      <w:r w:rsidRPr="00E141F1">
        <w:rPr>
          <w:rFonts w:ascii="Arial" w:hAnsi="Arial" w:cs="Arial"/>
        </w:rPr>
        <w:t>13.15 million people had a home broadband internet service at June 2013, an increase of seven per cent since June 2012.</w:t>
      </w:r>
    </w:p>
    <w:p w:rsidR="001E6FB8" w:rsidRPr="00E141F1" w:rsidRDefault="001E6FB8" w:rsidP="001E6FB8">
      <w:pPr>
        <w:pStyle w:val="ListParagraph"/>
        <w:numPr>
          <w:ilvl w:val="0"/>
          <w:numId w:val="20"/>
        </w:numPr>
        <w:spacing w:after="120" w:line="240" w:lineRule="auto"/>
        <w:contextualSpacing w:val="0"/>
        <w:rPr>
          <w:rFonts w:ascii="Arial" w:hAnsi="Arial" w:cs="Arial"/>
        </w:rPr>
      </w:pPr>
      <w:r w:rsidRPr="00E141F1">
        <w:rPr>
          <w:rFonts w:ascii="Arial" w:hAnsi="Arial" w:cs="Arial"/>
        </w:rPr>
        <w:t xml:space="preserve">Mobile phone internet use continued to develop primarily as a complement to the use of fixed-line broadband services with 63 per cent of mobile phone internet users also with a home fixed-line internet service. </w:t>
      </w:r>
    </w:p>
    <w:p w:rsidR="001E6FB8" w:rsidRPr="00E141F1" w:rsidRDefault="001E6FB8" w:rsidP="001E6FB8">
      <w:pPr>
        <w:spacing w:after="80" w:line="240" w:lineRule="auto"/>
        <w:rPr>
          <w:rFonts w:cs="Arial"/>
        </w:rPr>
      </w:pPr>
      <w:r w:rsidRPr="00E141F1">
        <w:rPr>
          <w:rFonts w:cs="Arial"/>
        </w:rPr>
        <w:t>Australians are more intensive users of the internet:</w:t>
      </w:r>
    </w:p>
    <w:p w:rsidR="001E6FB8" w:rsidRPr="00E141F1" w:rsidRDefault="001E6FB8" w:rsidP="001E6FB8">
      <w:pPr>
        <w:pStyle w:val="ListParagraph"/>
        <w:numPr>
          <w:ilvl w:val="0"/>
          <w:numId w:val="20"/>
        </w:numPr>
        <w:spacing w:after="80" w:line="240" w:lineRule="auto"/>
        <w:contextualSpacing w:val="0"/>
        <w:rPr>
          <w:rFonts w:ascii="Arial" w:hAnsi="Arial" w:cs="Arial"/>
          <w:color w:val="000000" w:themeColor="text1"/>
        </w:rPr>
      </w:pPr>
      <w:r w:rsidRPr="00E141F1">
        <w:rPr>
          <w:rFonts w:ascii="Arial" w:hAnsi="Arial" w:cs="Arial"/>
          <w:color w:val="000000" w:themeColor="text1"/>
        </w:rPr>
        <w:t>676,898 terabytes of data downloaded by internet users during the June quarter 2013, a 59 per cent increase over the June quarter of 2012.</w:t>
      </w:r>
    </w:p>
    <w:p w:rsidR="001E6FB8" w:rsidRPr="00E141F1" w:rsidRDefault="001E6FB8" w:rsidP="001E6FB8">
      <w:pPr>
        <w:pStyle w:val="ListParagraph"/>
        <w:numPr>
          <w:ilvl w:val="0"/>
          <w:numId w:val="20"/>
        </w:numPr>
        <w:spacing w:after="80" w:line="240" w:lineRule="auto"/>
        <w:contextualSpacing w:val="0"/>
        <w:rPr>
          <w:rFonts w:ascii="Arial" w:hAnsi="Arial" w:cs="Arial"/>
          <w:color w:val="000000" w:themeColor="text1"/>
        </w:rPr>
      </w:pPr>
      <w:r w:rsidRPr="00E141F1">
        <w:rPr>
          <w:rFonts w:ascii="Arial" w:hAnsi="Arial" w:cs="Arial"/>
          <w:color w:val="000000" w:themeColor="text1"/>
        </w:rPr>
        <w:t>Fixed-</w:t>
      </w:r>
      <w:r>
        <w:rPr>
          <w:rFonts w:ascii="Arial" w:hAnsi="Arial" w:cs="Arial"/>
          <w:color w:val="000000" w:themeColor="text1"/>
        </w:rPr>
        <w:t xml:space="preserve">line </w:t>
      </w:r>
      <w:r w:rsidRPr="00E141F1">
        <w:rPr>
          <w:rFonts w:ascii="Arial" w:hAnsi="Arial" w:cs="Arial"/>
          <w:color w:val="000000" w:themeColor="text1"/>
        </w:rPr>
        <w:t xml:space="preserve">broadband users continue to dominate the digital economy in terms of data downloaded accounting for 93 per cent of the total volume of data downloaded during the June quarter of 2013. </w:t>
      </w:r>
    </w:p>
    <w:p w:rsidR="001E6FB8" w:rsidRPr="00E141F1" w:rsidRDefault="001E6FB8" w:rsidP="001E6FB8">
      <w:pPr>
        <w:pStyle w:val="ListBullet"/>
        <w:numPr>
          <w:ilvl w:val="0"/>
          <w:numId w:val="20"/>
        </w:numPr>
        <w:spacing w:line="240" w:lineRule="auto"/>
        <w:rPr>
          <w:rFonts w:cs="Arial"/>
          <w:color w:val="000000" w:themeColor="text1"/>
        </w:rPr>
      </w:pPr>
      <w:r w:rsidRPr="00E141F1">
        <w:rPr>
          <w:rFonts w:cs="Arial"/>
          <w:color w:val="000000" w:themeColor="text1"/>
        </w:rPr>
        <w:t>Fixed-</w:t>
      </w:r>
      <w:r>
        <w:rPr>
          <w:rFonts w:cs="Arial"/>
          <w:color w:val="000000" w:themeColor="text1"/>
        </w:rPr>
        <w:t xml:space="preserve">line </w:t>
      </w:r>
      <w:r w:rsidRPr="00E141F1">
        <w:rPr>
          <w:rFonts w:cs="Arial"/>
          <w:color w:val="000000" w:themeColor="text1"/>
        </w:rPr>
        <w:t xml:space="preserve">broadband users also accounted for 95 per cent of the growth in the volume of data downloaded, downloading 108 times more data </w:t>
      </w:r>
      <w:r>
        <w:rPr>
          <w:rFonts w:cs="Arial"/>
          <w:color w:val="000000" w:themeColor="text1"/>
        </w:rPr>
        <w:t xml:space="preserve">per subscriber </w:t>
      </w:r>
      <w:r w:rsidRPr="00E141F1">
        <w:rPr>
          <w:rFonts w:cs="Arial"/>
          <w:color w:val="000000" w:themeColor="text1"/>
        </w:rPr>
        <w:t xml:space="preserve">than </w:t>
      </w:r>
      <w:r>
        <w:rPr>
          <w:rFonts w:cs="Arial"/>
          <w:color w:val="000000" w:themeColor="text1"/>
        </w:rPr>
        <w:t>a mobile handset internet user</w:t>
      </w:r>
      <w:r w:rsidRPr="00E141F1">
        <w:rPr>
          <w:rFonts w:cs="Arial"/>
          <w:color w:val="000000" w:themeColor="text1"/>
        </w:rPr>
        <w:t xml:space="preserve"> during the June quarter of 2013. </w:t>
      </w:r>
    </w:p>
    <w:p w:rsidR="001E6FB8" w:rsidRPr="00E141F1" w:rsidRDefault="001E6FB8" w:rsidP="001E6FB8">
      <w:pPr>
        <w:pStyle w:val="ListParagraph"/>
        <w:numPr>
          <w:ilvl w:val="0"/>
          <w:numId w:val="20"/>
        </w:numPr>
        <w:spacing w:after="80" w:line="240" w:lineRule="auto"/>
        <w:contextualSpacing w:val="0"/>
        <w:rPr>
          <w:rFonts w:ascii="Arial" w:hAnsi="Arial" w:cs="Arial"/>
        </w:rPr>
      </w:pPr>
      <w:r w:rsidRPr="00E141F1">
        <w:rPr>
          <w:rFonts w:ascii="Arial" w:hAnsi="Arial" w:cs="Arial"/>
        </w:rPr>
        <w:t>10.81 million people went online more than once a day at June 2013, an increase of seven per cent since June 2012 and 72 per cent since June 2008.</w:t>
      </w:r>
    </w:p>
    <w:p w:rsidR="001E6FB8" w:rsidRPr="00E141F1" w:rsidRDefault="001E6FB8" w:rsidP="001E6FB8">
      <w:pPr>
        <w:pStyle w:val="ListBullet"/>
        <w:tabs>
          <w:tab w:val="num" w:pos="1180"/>
          <w:tab w:val="num" w:pos="1475"/>
        </w:tabs>
        <w:spacing w:line="240" w:lineRule="auto"/>
        <w:rPr>
          <w:rFonts w:cs="Arial"/>
        </w:rPr>
      </w:pPr>
      <w:r w:rsidRPr="00E141F1">
        <w:rPr>
          <w:rFonts w:cs="Arial"/>
        </w:rPr>
        <w:t>43 per cent of internet users undertook five or more separate activities online during June 2013, a four percentage point increase since June 2012 and a 31 percentage point increase since June 2008.</w:t>
      </w:r>
    </w:p>
    <w:p w:rsidR="001E6FB8" w:rsidRPr="00E141F1" w:rsidRDefault="001E6FB8" w:rsidP="001E6FB8">
      <w:pPr>
        <w:pStyle w:val="ListBullet"/>
        <w:tabs>
          <w:tab w:val="num" w:pos="1180"/>
          <w:tab w:val="num" w:pos="1475"/>
        </w:tabs>
        <w:spacing w:line="240" w:lineRule="auto"/>
        <w:rPr>
          <w:rFonts w:cs="Arial"/>
        </w:rPr>
      </w:pPr>
      <w:r w:rsidRPr="00E141F1">
        <w:rPr>
          <w:rFonts w:cs="Arial"/>
        </w:rPr>
        <w:t>9.26 million people streamed video or audio content online during the six months to May 2013, a three percentage point increase over the six months to May 2012, contributing to the growth in the volume of data downloaded.</w:t>
      </w:r>
    </w:p>
    <w:p w:rsidR="001E6FB8" w:rsidRPr="00E141F1" w:rsidRDefault="001E6FB8" w:rsidP="001E6FB8">
      <w:pPr>
        <w:pStyle w:val="ListBullet"/>
        <w:tabs>
          <w:tab w:val="num" w:pos="1180"/>
          <w:tab w:val="num" w:pos="1475"/>
        </w:tabs>
        <w:spacing w:after="120" w:line="240" w:lineRule="auto"/>
        <w:rPr>
          <w:rFonts w:cs="Arial"/>
        </w:rPr>
      </w:pPr>
      <w:r w:rsidRPr="00E141F1">
        <w:rPr>
          <w:rFonts w:cs="Arial"/>
        </w:rPr>
        <w:t xml:space="preserve">14 million people used cloud services such as web email, online file, and video and photo storage in the six months to May 2013, an 11 per cent increase over the six months to May 2012—also a </w:t>
      </w:r>
      <w:r>
        <w:rPr>
          <w:rFonts w:cs="Arial"/>
        </w:rPr>
        <w:t>contributor to growth in volume</w:t>
      </w:r>
      <w:r w:rsidRPr="00E141F1">
        <w:rPr>
          <w:rFonts w:cs="Arial"/>
        </w:rPr>
        <w:t xml:space="preserve"> of data downloaded.</w:t>
      </w:r>
    </w:p>
    <w:p w:rsidR="001E6FB8" w:rsidRPr="00E141F1" w:rsidRDefault="001E6FB8" w:rsidP="001E6FB8">
      <w:pPr>
        <w:spacing w:before="120" w:after="80" w:line="240" w:lineRule="auto"/>
        <w:rPr>
          <w:rFonts w:cs="Arial"/>
        </w:rPr>
      </w:pPr>
      <w:r w:rsidRPr="00E141F1">
        <w:rPr>
          <w:rFonts w:cs="Arial"/>
        </w:rPr>
        <w:t>The economic value of transactions occurring over the internet continued to surge:</w:t>
      </w:r>
    </w:p>
    <w:p w:rsidR="001E6FB8" w:rsidRPr="00E141F1" w:rsidRDefault="001E6FB8" w:rsidP="001E6FB8">
      <w:pPr>
        <w:pStyle w:val="ListBullet"/>
        <w:tabs>
          <w:tab w:val="num" w:pos="1180"/>
          <w:tab w:val="num" w:pos="1475"/>
        </w:tabs>
        <w:spacing w:line="240" w:lineRule="auto"/>
        <w:rPr>
          <w:rFonts w:cs="Arial"/>
        </w:rPr>
      </w:pPr>
      <w:r w:rsidRPr="00E141F1">
        <w:rPr>
          <w:rFonts w:cs="Arial"/>
        </w:rPr>
        <w:t>The latest available data shows that revenue from the sale of goods or services online by businesses operating in Australia reached $237 billion during 2011–12, a 25 per cent increase over 2010–11. Expenditure on online advertising increased to $3.34 billion during 2012, an increase of 26 per cent over 2011.</w:t>
      </w:r>
    </w:p>
    <w:p w:rsidR="001E6FB8" w:rsidRPr="00E141F1" w:rsidRDefault="001E6FB8" w:rsidP="001E6FB8">
      <w:pPr>
        <w:pStyle w:val="ListBullet"/>
        <w:tabs>
          <w:tab w:val="num" w:pos="1180"/>
          <w:tab w:val="num" w:pos="1475"/>
        </w:tabs>
        <w:spacing w:after="240" w:line="240" w:lineRule="auto"/>
        <w:rPr>
          <w:rFonts w:cs="Arial"/>
        </w:rPr>
      </w:pPr>
      <w:r w:rsidRPr="00E141F1">
        <w:rPr>
          <w:rFonts w:cs="Arial"/>
        </w:rPr>
        <w:t xml:space="preserve">More Australians are transacting online with 12.86 million people using the internet for banking or paying bills and 10.44 million buying or selling goods or services online in the six months to May 2013, a 10 per cent and 9 per cent increase respectively over the six months to May 2012. </w:t>
      </w:r>
    </w:p>
    <w:p w:rsidR="001E6FB8" w:rsidRPr="00E141F1" w:rsidRDefault="001E6FB8" w:rsidP="001E6FB8">
      <w:pPr>
        <w:pStyle w:val="Heading3"/>
      </w:pPr>
      <w:bookmarkStart w:id="29" w:name="_Toc371588959"/>
      <w:bookmarkStart w:id="30" w:name="_Toc373149021"/>
      <w:r w:rsidRPr="00E141F1">
        <w:t>The communications and media market</w:t>
      </w:r>
      <w:bookmarkEnd w:id="22"/>
      <w:bookmarkEnd w:id="23"/>
      <w:bookmarkEnd w:id="24"/>
      <w:bookmarkEnd w:id="25"/>
      <w:bookmarkEnd w:id="26"/>
      <w:bookmarkEnd w:id="29"/>
      <w:bookmarkEnd w:id="30"/>
    </w:p>
    <w:p w:rsidR="001E6FB8" w:rsidRPr="00E141F1" w:rsidRDefault="001E6FB8" w:rsidP="001E6FB8">
      <w:pPr>
        <w:pStyle w:val="Bodysubheader"/>
        <w:spacing w:after="80"/>
        <w:rPr>
          <w:rFonts w:cs="Arial"/>
        </w:rPr>
      </w:pPr>
      <w:r w:rsidRPr="00E141F1">
        <w:rPr>
          <w:rFonts w:cs="Arial"/>
          <w:b w:val="0"/>
          <w:i w:val="0"/>
        </w:rPr>
        <w:t>Growing participation in the digital economy also saw a continuation of the shift in consumer communications preferences from fixed-line voice telephony to online and mobile communications during 2012–13.</w:t>
      </w:r>
    </w:p>
    <w:p w:rsidR="001E6FB8" w:rsidRPr="00E141F1" w:rsidRDefault="001E6FB8" w:rsidP="001E6FB8">
      <w:pPr>
        <w:pStyle w:val="ListBullet"/>
        <w:tabs>
          <w:tab w:val="clear" w:pos="295"/>
          <w:tab w:val="num" w:pos="885"/>
        </w:tabs>
        <w:spacing w:line="240" w:lineRule="auto"/>
        <w:rPr>
          <w:rFonts w:cs="Arial"/>
        </w:rPr>
      </w:pPr>
      <w:r w:rsidRPr="00E141F1">
        <w:rPr>
          <w:rFonts w:cs="Arial"/>
        </w:rPr>
        <w:t xml:space="preserve">Mobile services in operation (including voice and </w:t>
      </w:r>
      <w:r>
        <w:rPr>
          <w:rFonts w:cs="Arial"/>
        </w:rPr>
        <w:t>data</w:t>
      </w:r>
      <w:r w:rsidRPr="00E141F1">
        <w:rPr>
          <w:rFonts w:cs="Arial"/>
        </w:rPr>
        <w:t xml:space="preserve">) reached 31.09 million, a three per cent increase since June 2012, with the rate of increase comparable to 2011–12 but considerably lower than the 13 per cent increase for 2010–11. </w:t>
      </w:r>
    </w:p>
    <w:p w:rsidR="001E6FB8" w:rsidRPr="00E141F1" w:rsidRDefault="001E6FB8" w:rsidP="001E6FB8">
      <w:pPr>
        <w:pStyle w:val="ListBullet"/>
        <w:tabs>
          <w:tab w:val="clear" w:pos="295"/>
          <w:tab w:val="num" w:pos="590"/>
        </w:tabs>
        <w:spacing w:line="240" w:lineRule="auto"/>
        <w:rPr>
          <w:rFonts w:cs="Arial"/>
        </w:rPr>
      </w:pPr>
      <w:r w:rsidRPr="00E141F1">
        <w:rPr>
          <w:rFonts w:cs="Arial"/>
        </w:rPr>
        <w:t xml:space="preserve">Growth in the mobile services market was driven by replacement of existing mobile phone handsets with </w:t>
      </w:r>
      <w:proofErr w:type="spellStart"/>
      <w:r w:rsidRPr="00E141F1">
        <w:rPr>
          <w:rFonts w:cs="Arial"/>
        </w:rPr>
        <w:t>smartphones</w:t>
      </w:r>
      <w:proofErr w:type="spellEnd"/>
      <w:r w:rsidRPr="00E141F1">
        <w:rPr>
          <w:rFonts w:cs="Arial"/>
        </w:rPr>
        <w:t xml:space="preserve">, with 11.19 million people with a </w:t>
      </w:r>
      <w:proofErr w:type="spellStart"/>
      <w:r w:rsidRPr="00E141F1">
        <w:rPr>
          <w:rFonts w:cs="Arial"/>
        </w:rPr>
        <w:t>smartphone</w:t>
      </w:r>
      <w:proofErr w:type="spellEnd"/>
      <w:r w:rsidRPr="00E141F1">
        <w:rPr>
          <w:rFonts w:cs="Arial"/>
        </w:rPr>
        <w:t xml:space="preserve"> at May 2013, an increase of 29 per cent since May 2012.</w:t>
      </w:r>
    </w:p>
    <w:p w:rsidR="001E6FB8" w:rsidRPr="00E141F1" w:rsidRDefault="001E6FB8" w:rsidP="001E6FB8">
      <w:pPr>
        <w:pStyle w:val="ListBullet"/>
        <w:tabs>
          <w:tab w:val="clear" w:pos="295"/>
          <w:tab w:val="num" w:pos="885"/>
        </w:tabs>
        <w:spacing w:line="240" w:lineRule="auto"/>
        <w:rPr>
          <w:rFonts w:cs="Arial"/>
        </w:rPr>
      </w:pPr>
      <w:r w:rsidRPr="00E141F1">
        <w:rPr>
          <w:rFonts w:cs="Arial"/>
        </w:rPr>
        <w:t>The number of mobile phone users without a home fixed-line telephone service reached 3.68 million people, an increase of 18 per cent since June 2012.</w:t>
      </w:r>
    </w:p>
    <w:p w:rsidR="001E6FB8" w:rsidRPr="00E141F1" w:rsidRDefault="001E6FB8" w:rsidP="001E6FB8">
      <w:pPr>
        <w:pStyle w:val="ListBullet"/>
        <w:tabs>
          <w:tab w:val="clear" w:pos="295"/>
          <w:tab w:val="num" w:pos="885"/>
        </w:tabs>
        <w:spacing w:line="240" w:lineRule="auto"/>
        <w:rPr>
          <w:rFonts w:cs="Arial"/>
        </w:rPr>
      </w:pPr>
      <w:r w:rsidRPr="00E141F1">
        <w:rPr>
          <w:rFonts w:cs="Arial"/>
        </w:rPr>
        <w:t xml:space="preserve">53 per cent of people identified mobile phones as their most used communication service in the six months to May 2013, compared to 16 per cent for a home fixed-line telephone. </w:t>
      </w:r>
    </w:p>
    <w:p w:rsidR="001E6FB8" w:rsidRPr="00E141F1" w:rsidRDefault="001E6FB8" w:rsidP="001E6FB8">
      <w:pPr>
        <w:pStyle w:val="ListBullet"/>
        <w:tabs>
          <w:tab w:val="clear" w:pos="295"/>
          <w:tab w:val="num" w:pos="885"/>
        </w:tabs>
        <w:spacing w:line="240" w:lineRule="auto"/>
        <w:rPr>
          <w:rFonts w:cs="Arial"/>
        </w:rPr>
      </w:pPr>
      <w:r w:rsidRPr="00E141F1">
        <w:rPr>
          <w:rFonts w:cs="Arial"/>
        </w:rPr>
        <w:t xml:space="preserve">Fixed-line telephone services in operation declined by one per cent to 10.32 million in line with the trend over the last two financial years. </w:t>
      </w:r>
    </w:p>
    <w:p w:rsidR="001E6FB8" w:rsidRPr="00E141F1" w:rsidRDefault="001E6FB8" w:rsidP="001E6FB8">
      <w:pPr>
        <w:pStyle w:val="ListBullet"/>
        <w:rPr>
          <w:rFonts w:cs="Arial"/>
        </w:rPr>
      </w:pPr>
      <w:r w:rsidRPr="00E141F1">
        <w:rPr>
          <w:rFonts w:cs="Arial"/>
        </w:rPr>
        <w:t xml:space="preserve">Users of </w:t>
      </w:r>
      <w:r>
        <w:rPr>
          <w:rFonts w:cs="Arial"/>
        </w:rPr>
        <w:t>voice over internet protocol (</w:t>
      </w:r>
      <w:r w:rsidRPr="00E141F1">
        <w:rPr>
          <w:rFonts w:cs="Arial"/>
        </w:rPr>
        <w:t>VoIP</w:t>
      </w:r>
      <w:r>
        <w:rPr>
          <w:rFonts w:cs="Arial"/>
        </w:rPr>
        <w:t>)</w:t>
      </w:r>
      <w:r w:rsidRPr="00E141F1">
        <w:rPr>
          <w:rFonts w:cs="Arial"/>
        </w:rPr>
        <w:t xml:space="preserve"> services increased by six per cent to 4.59 million people with the majority of growth in VoIP usage related to the use of OTT services such as those offered by Skype. </w:t>
      </w:r>
    </w:p>
    <w:p w:rsidR="001E6FB8" w:rsidRPr="00E141F1" w:rsidRDefault="001E6FB8" w:rsidP="001E6FB8">
      <w:pPr>
        <w:pStyle w:val="ListBullet"/>
        <w:tabs>
          <w:tab w:val="clear" w:pos="295"/>
          <w:tab w:val="num" w:pos="0"/>
        </w:tabs>
        <w:rPr>
          <w:rFonts w:cs="Arial"/>
        </w:rPr>
      </w:pPr>
      <w:r w:rsidRPr="00E141F1">
        <w:rPr>
          <w:rFonts w:cs="Arial"/>
        </w:rPr>
        <w:t xml:space="preserve">Growth in the use of OTT communications continues to challenge traditional voice service revenues. The number of people using VoIP services via mobile phones increased by 73 per cent to reach 1.06 million while the number of people using VoIP services via tablets increased by 150 per cent to reach 966,000. </w:t>
      </w:r>
    </w:p>
    <w:p w:rsidR="001E6FB8" w:rsidRPr="00E141F1" w:rsidRDefault="001E6FB8" w:rsidP="001E6FB8">
      <w:pPr>
        <w:pStyle w:val="ListBullet"/>
        <w:spacing w:line="240" w:lineRule="auto"/>
        <w:rPr>
          <w:rFonts w:cs="Arial"/>
          <w:color w:val="000000" w:themeColor="text1"/>
        </w:rPr>
      </w:pPr>
      <w:r w:rsidRPr="00E141F1">
        <w:rPr>
          <w:rFonts w:cs="Arial"/>
          <w:color w:val="000000" w:themeColor="text1"/>
        </w:rPr>
        <w:t xml:space="preserve">A 13 per cent increase in the number of internet subscribers in Australia in the </w:t>
      </w:r>
      <w:r>
        <w:rPr>
          <w:rFonts w:cs="Arial"/>
          <w:color w:val="000000" w:themeColor="text1"/>
        </w:rPr>
        <w:t>12 </w:t>
      </w:r>
      <w:r w:rsidRPr="00E141F1">
        <w:rPr>
          <w:rFonts w:cs="Arial"/>
          <w:color w:val="000000" w:themeColor="text1"/>
        </w:rPr>
        <w:t xml:space="preserve">months to </w:t>
      </w:r>
      <w:r>
        <w:rPr>
          <w:rFonts w:cs="Arial"/>
          <w:color w:val="000000" w:themeColor="text1"/>
        </w:rPr>
        <w:t>June</w:t>
      </w:r>
      <w:r w:rsidRPr="00E141F1">
        <w:rPr>
          <w:rFonts w:cs="Arial"/>
          <w:color w:val="000000" w:themeColor="text1"/>
        </w:rPr>
        <w:t xml:space="preserve"> 2013 to reach 32.00 million with growth comprising a:</w:t>
      </w:r>
      <w:r>
        <w:rPr>
          <w:rFonts w:cs="Arial"/>
          <w:color w:val="000000" w:themeColor="text1"/>
        </w:rPr>
        <w:t xml:space="preserve"> </w:t>
      </w:r>
    </w:p>
    <w:p w:rsidR="001E6FB8" w:rsidRPr="00E141F1" w:rsidRDefault="001E6FB8" w:rsidP="001E6FB8">
      <w:pPr>
        <w:pStyle w:val="ListBullet"/>
        <w:spacing w:line="240" w:lineRule="auto"/>
        <w:ind w:left="590"/>
        <w:rPr>
          <w:rFonts w:cs="Arial"/>
          <w:color w:val="000000" w:themeColor="text1"/>
        </w:rPr>
      </w:pPr>
      <w:r w:rsidRPr="00E141F1">
        <w:rPr>
          <w:rFonts w:cs="Arial"/>
          <w:color w:val="000000" w:themeColor="text1"/>
        </w:rPr>
        <w:t>four per cent increase in fixed-</w:t>
      </w:r>
      <w:r>
        <w:rPr>
          <w:rFonts w:cs="Arial"/>
          <w:color w:val="000000" w:themeColor="text1"/>
        </w:rPr>
        <w:t xml:space="preserve">line </w:t>
      </w:r>
      <w:r w:rsidRPr="00E141F1">
        <w:rPr>
          <w:rFonts w:cs="Arial"/>
          <w:color w:val="000000" w:themeColor="text1"/>
        </w:rPr>
        <w:t xml:space="preserve">broadband internet subscribers (including </w:t>
      </w:r>
      <w:r>
        <w:rPr>
          <w:rFonts w:cs="Arial"/>
          <w:color w:val="000000" w:themeColor="text1"/>
        </w:rPr>
        <w:t>National Broadband Network (NBN)</w:t>
      </w:r>
      <w:r w:rsidRPr="00E141F1">
        <w:rPr>
          <w:rFonts w:cs="Arial"/>
          <w:color w:val="000000" w:themeColor="text1"/>
        </w:rPr>
        <w:t xml:space="preserve"> subscribers) to reach 5.84 million subscribers</w:t>
      </w:r>
      <w:r>
        <w:rPr>
          <w:rFonts w:cs="Arial"/>
          <w:color w:val="000000" w:themeColor="text1"/>
        </w:rPr>
        <w:t xml:space="preserve"> </w:t>
      </w:r>
      <w:r w:rsidRPr="00E141F1">
        <w:rPr>
          <w:rFonts w:cs="Arial"/>
          <w:color w:val="000000" w:themeColor="text1"/>
        </w:rPr>
        <w:t xml:space="preserve"> </w:t>
      </w:r>
    </w:p>
    <w:p w:rsidR="001E6FB8" w:rsidRPr="00E141F1" w:rsidRDefault="001E6FB8" w:rsidP="001E6FB8">
      <w:pPr>
        <w:pStyle w:val="ListBullet"/>
        <w:spacing w:line="240" w:lineRule="auto"/>
        <w:ind w:left="590"/>
        <w:rPr>
          <w:rFonts w:cs="Arial"/>
          <w:color w:val="000000" w:themeColor="text1"/>
        </w:rPr>
      </w:pPr>
      <w:r w:rsidRPr="00E141F1">
        <w:rPr>
          <w:rFonts w:cs="Arial"/>
          <w:color w:val="000000" w:themeColor="text1"/>
        </w:rPr>
        <w:t>17 per cent increase in mobile broadband internet subscribers (including handset subscribers) to reach 25.80 million subscribers</w:t>
      </w:r>
      <w:r>
        <w:rPr>
          <w:rFonts w:cs="Arial"/>
          <w:color w:val="000000" w:themeColor="text1"/>
        </w:rPr>
        <w:t>.</w:t>
      </w:r>
    </w:p>
    <w:p w:rsidR="001E6FB8" w:rsidRPr="00E141F1" w:rsidRDefault="001E6FB8" w:rsidP="001E6FB8">
      <w:pPr>
        <w:pStyle w:val="ListBullet"/>
        <w:tabs>
          <w:tab w:val="num" w:pos="1180"/>
          <w:tab w:val="num" w:pos="1475"/>
        </w:tabs>
        <w:spacing w:line="240" w:lineRule="auto"/>
        <w:rPr>
          <w:rFonts w:cs="Arial"/>
          <w:color w:val="000000" w:themeColor="text1"/>
        </w:rPr>
      </w:pPr>
      <w:r w:rsidRPr="00E141F1">
        <w:rPr>
          <w:rFonts w:cs="Arial"/>
          <w:color w:val="000000" w:themeColor="text1"/>
        </w:rPr>
        <w:t xml:space="preserve">The strong growth in take-up of mobile broadband internet services in Australia is also reflected in research undertaken by the </w:t>
      </w:r>
      <w:r>
        <w:rPr>
          <w:rFonts w:cs="Arial"/>
          <w:color w:val="000000" w:themeColor="text1"/>
        </w:rPr>
        <w:t>Broadband Commission for Digital Development</w:t>
      </w:r>
      <w:r w:rsidRPr="00E141F1">
        <w:rPr>
          <w:rFonts w:cs="Arial"/>
          <w:color w:val="000000" w:themeColor="text1"/>
        </w:rPr>
        <w:t xml:space="preserve"> which shows that in 2012</w:t>
      </w:r>
      <w:r>
        <w:rPr>
          <w:rFonts w:cs="Arial"/>
          <w:color w:val="000000" w:themeColor="text1"/>
        </w:rPr>
        <w:t>,</w:t>
      </w:r>
      <w:r w:rsidRPr="00E141F1">
        <w:rPr>
          <w:rFonts w:cs="Arial"/>
          <w:color w:val="000000" w:themeColor="text1"/>
        </w:rPr>
        <w:t xml:space="preserve"> out of 189 countries, Australia was ranked:</w:t>
      </w:r>
    </w:p>
    <w:p w:rsidR="001E6FB8" w:rsidRPr="00E141F1" w:rsidRDefault="001E6FB8" w:rsidP="001E6FB8">
      <w:pPr>
        <w:pStyle w:val="ListBullet"/>
        <w:tabs>
          <w:tab w:val="clear" w:pos="295"/>
          <w:tab w:val="num" w:pos="590"/>
          <w:tab w:val="num" w:pos="1180"/>
          <w:tab w:val="num" w:pos="1475"/>
        </w:tabs>
        <w:spacing w:line="240" w:lineRule="auto"/>
        <w:ind w:left="590"/>
        <w:rPr>
          <w:rFonts w:cs="Arial"/>
        </w:rPr>
      </w:pPr>
      <w:r w:rsidRPr="00E141F1">
        <w:rPr>
          <w:rFonts w:cs="Arial"/>
        </w:rPr>
        <w:t>sixth in terms of mobile broadband penetration per 100 inhabitants</w:t>
      </w:r>
    </w:p>
    <w:p w:rsidR="001E6FB8" w:rsidRPr="00E141F1" w:rsidRDefault="001E6FB8" w:rsidP="001E6FB8">
      <w:pPr>
        <w:pStyle w:val="ListBullet"/>
        <w:tabs>
          <w:tab w:val="clear" w:pos="295"/>
          <w:tab w:val="num" w:pos="590"/>
          <w:tab w:val="num" w:pos="1180"/>
          <w:tab w:val="num" w:pos="1475"/>
        </w:tabs>
        <w:spacing w:after="120" w:line="240" w:lineRule="auto"/>
        <w:ind w:left="590"/>
        <w:rPr>
          <w:rFonts w:cs="Arial"/>
        </w:rPr>
      </w:pPr>
      <w:r w:rsidRPr="00E141F1">
        <w:rPr>
          <w:rFonts w:cs="Arial"/>
        </w:rPr>
        <w:t>29</w:t>
      </w:r>
      <w:r w:rsidRPr="00E141F1">
        <w:rPr>
          <w:rFonts w:cs="Arial"/>
          <w:vertAlign w:val="superscript"/>
        </w:rPr>
        <w:t>th</w:t>
      </w:r>
      <w:r w:rsidRPr="00E141F1">
        <w:rPr>
          <w:rFonts w:cs="Arial"/>
        </w:rPr>
        <w:t xml:space="preserve"> in terms of fixed broadband penetration per 100 inhabitants.</w:t>
      </w:r>
    </w:p>
    <w:p w:rsidR="001E6FB8" w:rsidRPr="00E141F1" w:rsidRDefault="001E6FB8" w:rsidP="001E6FB8">
      <w:pPr>
        <w:pStyle w:val="ListBullet"/>
        <w:numPr>
          <w:ilvl w:val="0"/>
          <w:numId w:val="0"/>
        </w:numPr>
        <w:tabs>
          <w:tab w:val="num" w:pos="360"/>
        </w:tabs>
        <w:spacing w:line="240" w:lineRule="auto"/>
        <w:rPr>
          <w:rFonts w:cs="Arial"/>
        </w:rPr>
      </w:pPr>
      <w:r w:rsidRPr="00E141F1">
        <w:rPr>
          <w:rFonts w:cs="Arial"/>
        </w:rPr>
        <w:t xml:space="preserve">The growth in consumer participation in the digital economy </w:t>
      </w:r>
      <w:r>
        <w:rPr>
          <w:rFonts w:cs="Arial"/>
        </w:rPr>
        <w:t>included</w:t>
      </w:r>
      <w:r w:rsidRPr="00E141F1">
        <w:rPr>
          <w:rFonts w:cs="Arial"/>
        </w:rPr>
        <w:t xml:space="preserve"> a continuation of the shift to online service delivery models by traditional broadcasters and print media operators to meet rising demand for online content services.</w:t>
      </w:r>
    </w:p>
    <w:p w:rsidR="001E6FB8" w:rsidRPr="00E141F1" w:rsidRDefault="001E6FB8" w:rsidP="001E6FB8">
      <w:pPr>
        <w:pStyle w:val="ListBullet"/>
        <w:tabs>
          <w:tab w:val="clear" w:pos="295"/>
          <w:tab w:val="num" w:pos="590"/>
        </w:tabs>
        <w:spacing w:line="240" w:lineRule="auto"/>
        <w:rPr>
          <w:rFonts w:cs="Arial"/>
        </w:rPr>
      </w:pPr>
      <w:r w:rsidRPr="00E141F1">
        <w:rPr>
          <w:rFonts w:cs="Arial"/>
        </w:rPr>
        <w:t>7.86 million people used professional content services such as catch-up TV, video on demand and IPTV in the six months to May 2013, an increase of 52 per cent compared to the six months to May 2012.</w:t>
      </w:r>
    </w:p>
    <w:p w:rsidR="001E6FB8" w:rsidRPr="00E141F1" w:rsidRDefault="001E6FB8" w:rsidP="001E6FB8">
      <w:pPr>
        <w:pStyle w:val="ListBullet"/>
        <w:tabs>
          <w:tab w:val="clear" w:pos="295"/>
          <w:tab w:val="num" w:pos="590"/>
        </w:tabs>
        <w:spacing w:line="240" w:lineRule="auto"/>
        <w:rPr>
          <w:rFonts w:cs="Arial"/>
        </w:rPr>
      </w:pPr>
      <w:r w:rsidRPr="00E141F1">
        <w:rPr>
          <w:rFonts w:cs="Arial"/>
        </w:rPr>
        <w:t>5 million people accessed online radio stations in the six months to May 2013, a six per cent increase in comparison to the six months to May 2012.</w:t>
      </w:r>
    </w:p>
    <w:p w:rsidR="001E6FB8" w:rsidRPr="00E141F1" w:rsidRDefault="001E6FB8" w:rsidP="001E6FB8">
      <w:pPr>
        <w:pStyle w:val="ListBullet"/>
        <w:numPr>
          <w:ilvl w:val="0"/>
          <w:numId w:val="0"/>
        </w:numPr>
        <w:spacing w:after="120" w:line="240" w:lineRule="auto"/>
        <w:rPr>
          <w:rFonts w:cs="Arial"/>
        </w:rPr>
      </w:pPr>
      <w:bookmarkStart w:id="31" w:name="_Toc287540079"/>
      <w:bookmarkStart w:id="32" w:name="_Toc308517100"/>
      <w:bookmarkStart w:id="33" w:name="_Toc308523560"/>
      <w:r w:rsidRPr="00E141F1">
        <w:rPr>
          <w:rFonts w:cs="Arial"/>
        </w:rPr>
        <w:t>Growth in online participation and service delivery has also been enabled by the continued development of Australia’s digital economy infrastructure with key drivers being the rollout of 4G mobile networks and the NBN.</w:t>
      </w:r>
    </w:p>
    <w:p w:rsidR="001E6FB8" w:rsidRPr="00E141F1" w:rsidRDefault="001E6FB8" w:rsidP="001E6FB8">
      <w:pPr>
        <w:pStyle w:val="ListBullet"/>
        <w:numPr>
          <w:ilvl w:val="0"/>
          <w:numId w:val="0"/>
        </w:numPr>
        <w:rPr>
          <w:rFonts w:cs="Arial"/>
        </w:rPr>
      </w:pPr>
      <w:r w:rsidRPr="00E141F1">
        <w:rPr>
          <w:rFonts w:cs="Arial"/>
        </w:rPr>
        <w:t xml:space="preserve">4G mobile: </w:t>
      </w:r>
    </w:p>
    <w:p w:rsidR="001E6FB8" w:rsidRPr="00E141F1" w:rsidRDefault="001E6FB8" w:rsidP="001E6FB8">
      <w:pPr>
        <w:pStyle w:val="ListBullet"/>
        <w:tabs>
          <w:tab w:val="clear" w:pos="295"/>
          <w:tab w:val="num" w:pos="590"/>
        </w:tabs>
        <w:spacing w:line="240" w:lineRule="auto"/>
        <w:rPr>
          <w:rFonts w:cs="Arial"/>
        </w:rPr>
      </w:pPr>
      <w:r>
        <w:rPr>
          <w:rFonts w:cs="Arial"/>
        </w:rPr>
        <w:t>N</w:t>
      </w:r>
      <w:r w:rsidRPr="00E141F1">
        <w:rPr>
          <w:rFonts w:cs="Arial"/>
        </w:rPr>
        <w:t>etworks:</w:t>
      </w:r>
    </w:p>
    <w:p w:rsidR="001E6FB8" w:rsidRPr="00E141F1" w:rsidRDefault="001E6FB8" w:rsidP="001E6FB8">
      <w:pPr>
        <w:pStyle w:val="ListBullet"/>
        <w:tabs>
          <w:tab w:val="clear" w:pos="295"/>
          <w:tab w:val="num" w:pos="590"/>
        </w:tabs>
        <w:spacing w:line="240" w:lineRule="auto"/>
        <w:ind w:left="590"/>
        <w:rPr>
          <w:rFonts w:cs="Arial"/>
        </w:rPr>
      </w:pPr>
      <w:r w:rsidRPr="00E141F1">
        <w:rPr>
          <w:rFonts w:cs="Arial"/>
        </w:rPr>
        <w:t xml:space="preserve">Telstra reported that its 4G network covered 66 per cent of the total Australian population at June 2013, up from 40 per cent at June 2012. </w:t>
      </w:r>
    </w:p>
    <w:p w:rsidR="001E6FB8" w:rsidRPr="00E141F1" w:rsidRDefault="001E6FB8" w:rsidP="001E6FB8">
      <w:pPr>
        <w:pStyle w:val="ListBullet"/>
        <w:tabs>
          <w:tab w:val="clear" w:pos="295"/>
          <w:tab w:val="num" w:pos="590"/>
        </w:tabs>
        <w:spacing w:line="240" w:lineRule="auto"/>
        <w:ind w:left="590"/>
        <w:rPr>
          <w:rFonts w:cs="Arial"/>
        </w:rPr>
      </w:pPr>
      <w:r w:rsidRPr="00E141F1">
        <w:rPr>
          <w:rFonts w:cs="Arial"/>
        </w:rPr>
        <w:t xml:space="preserve">Optus reported that its 4G network covered the main capital cities with services commencing in Canberra in May 2013. </w:t>
      </w:r>
    </w:p>
    <w:p w:rsidR="001E6FB8" w:rsidRPr="00E141F1" w:rsidRDefault="001E6FB8" w:rsidP="001E6FB8">
      <w:pPr>
        <w:pStyle w:val="ListBullet"/>
        <w:tabs>
          <w:tab w:val="clear" w:pos="295"/>
          <w:tab w:val="num" w:pos="1180"/>
        </w:tabs>
        <w:spacing w:line="240" w:lineRule="auto"/>
        <w:ind w:left="590"/>
        <w:rPr>
          <w:rFonts w:cs="Arial"/>
        </w:rPr>
      </w:pPr>
      <w:r w:rsidRPr="00E141F1">
        <w:rPr>
          <w:rFonts w:cs="Arial"/>
        </w:rPr>
        <w:t>VHA’s 4G network became operational in June 2013 and opened to new customers in July 2013.</w:t>
      </w:r>
    </w:p>
    <w:p w:rsidR="001E6FB8" w:rsidRPr="00E141F1" w:rsidRDefault="001E6FB8" w:rsidP="001E6FB8">
      <w:pPr>
        <w:pStyle w:val="ListBullet"/>
        <w:tabs>
          <w:tab w:val="clear" w:pos="295"/>
          <w:tab w:val="num" w:pos="590"/>
        </w:tabs>
        <w:spacing w:line="240" w:lineRule="auto"/>
        <w:rPr>
          <w:rFonts w:cs="Arial"/>
        </w:rPr>
      </w:pPr>
      <w:r>
        <w:rPr>
          <w:rFonts w:cs="Arial"/>
        </w:rPr>
        <w:t>S</w:t>
      </w:r>
      <w:r w:rsidRPr="00E141F1">
        <w:rPr>
          <w:rFonts w:cs="Arial"/>
        </w:rPr>
        <w:t>ervices in operation:</w:t>
      </w:r>
    </w:p>
    <w:p w:rsidR="001E6FB8" w:rsidRPr="00E141F1" w:rsidRDefault="001E6FB8" w:rsidP="001E6FB8">
      <w:pPr>
        <w:pStyle w:val="ListBullet"/>
        <w:tabs>
          <w:tab w:val="clear" w:pos="295"/>
          <w:tab w:val="num" w:pos="885"/>
        </w:tabs>
        <w:spacing w:line="240" w:lineRule="auto"/>
        <w:ind w:left="590"/>
        <w:rPr>
          <w:rFonts w:cs="Arial"/>
        </w:rPr>
      </w:pPr>
      <w:r w:rsidRPr="00E141F1">
        <w:rPr>
          <w:rFonts w:cs="Arial"/>
        </w:rPr>
        <w:t>Telstra reported 2.80 million 4G mobile services in operation at June 2013, up from 375,000 at June 2012</w:t>
      </w:r>
      <w:r>
        <w:rPr>
          <w:rFonts w:cs="Arial"/>
        </w:rPr>
        <w:t>.</w:t>
      </w:r>
      <w:r w:rsidRPr="00E141F1">
        <w:rPr>
          <w:rFonts w:cs="Arial"/>
        </w:rPr>
        <w:t xml:space="preserve"> </w:t>
      </w:r>
    </w:p>
    <w:p w:rsidR="001E6FB8" w:rsidRPr="00E141F1" w:rsidRDefault="001E6FB8" w:rsidP="001E6FB8">
      <w:pPr>
        <w:pStyle w:val="ListBullet"/>
        <w:tabs>
          <w:tab w:val="clear" w:pos="295"/>
          <w:tab w:val="num" w:pos="885"/>
        </w:tabs>
        <w:spacing w:line="240" w:lineRule="auto"/>
        <w:ind w:left="590"/>
        <w:rPr>
          <w:rFonts w:cs="Arial"/>
        </w:rPr>
      </w:pPr>
      <w:r w:rsidRPr="00E141F1">
        <w:rPr>
          <w:rFonts w:cs="Arial"/>
        </w:rPr>
        <w:t>Optus reported 1.08 million 4G services in operation at June 2013</w:t>
      </w:r>
      <w:r>
        <w:rPr>
          <w:rFonts w:cs="Arial"/>
        </w:rPr>
        <w:t>.</w:t>
      </w:r>
    </w:p>
    <w:p w:rsidR="001E6FB8" w:rsidRPr="00E141F1" w:rsidRDefault="001E6FB8" w:rsidP="001E6FB8">
      <w:pPr>
        <w:pStyle w:val="ListBullet"/>
        <w:numPr>
          <w:ilvl w:val="0"/>
          <w:numId w:val="0"/>
        </w:numPr>
        <w:spacing w:line="240" w:lineRule="auto"/>
        <w:rPr>
          <w:rFonts w:cs="Arial"/>
        </w:rPr>
      </w:pPr>
      <w:r w:rsidRPr="00E141F1">
        <w:rPr>
          <w:rFonts w:cs="Arial"/>
        </w:rPr>
        <w:t>NBN:</w:t>
      </w:r>
    </w:p>
    <w:p w:rsidR="001E6FB8" w:rsidRPr="00E141F1" w:rsidRDefault="001E6FB8" w:rsidP="001E6FB8">
      <w:pPr>
        <w:pStyle w:val="ListBullet"/>
        <w:tabs>
          <w:tab w:val="clear" w:pos="295"/>
          <w:tab w:val="num" w:pos="885"/>
        </w:tabs>
        <w:spacing w:line="240" w:lineRule="auto"/>
        <w:rPr>
          <w:rFonts w:cs="Arial"/>
        </w:rPr>
      </w:pPr>
      <w:r w:rsidRPr="00E141F1">
        <w:rPr>
          <w:rFonts w:cs="Arial"/>
        </w:rPr>
        <w:t>207,543 premises were passed by the NBN fibre network at June 2013 (38,914 at June 2012) and 277,256 premises were covered by the NBN fixed-wireless and satellite network (173,885 at June 2012)</w:t>
      </w:r>
      <w:r>
        <w:rPr>
          <w:rFonts w:cs="Arial"/>
        </w:rPr>
        <w:t>.</w:t>
      </w:r>
    </w:p>
    <w:p w:rsidR="001E6FB8" w:rsidRPr="00E141F1" w:rsidRDefault="001E6FB8" w:rsidP="001E6FB8">
      <w:pPr>
        <w:pStyle w:val="ListBullet"/>
        <w:tabs>
          <w:tab w:val="clear" w:pos="295"/>
          <w:tab w:val="num" w:pos="885"/>
        </w:tabs>
        <w:spacing w:line="240" w:lineRule="auto"/>
        <w:rPr>
          <w:rFonts w:cs="Arial"/>
        </w:rPr>
      </w:pPr>
      <w:r w:rsidRPr="00E141F1">
        <w:rPr>
          <w:rFonts w:cs="Arial"/>
        </w:rPr>
        <w:t xml:space="preserve">33,586 premises had activated NBN fibre network services at June 2013 (3,867 at June 2012), </w:t>
      </w:r>
      <w:r>
        <w:rPr>
          <w:rFonts w:cs="Arial"/>
        </w:rPr>
        <w:t>and</w:t>
      </w:r>
      <w:r w:rsidRPr="00E141F1">
        <w:rPr>
          <w:rFonts w:cs="Arial"/>
        </w:rPr>
        <w:t xml:space="preserve"> 36,514 premises </w:t>
      </w:r>
      <w:r>
        <w:rPr>
          <w:rFonts w:cs="Arial"/>
        </w:rPr>
        <w:t xml:space="preserve">were </w:t>
      </w:r>
      <w:r w:rsidRPr="00E141F1">
        <w:rPr>
          <w:rFonts w:cs="Arial"/>
        </w:rPr>
        <w:t>activated with fixed-wireless or satellite NBN services (9,669 at June 2012)</w:t>
      </w:r>
      <w:r>
        <w:rPr>
          <w:rFonts w:cs="Arial"/>
        </w:rPr>
        <w:t>.</w:t>
      </w:r>
    </w:p>
    <w:p w:rsidR="001E6FB8" w:rsidRPr="00E141F1" w:rsidRDefault="001E6FB8" w:rsidP="001E6FB8">
      <w:pPr>
        <w:pStyle w:val="Heading3"/>
      </w:pPr>
      <w:bookmarkStart w:id="34" w:name="_Toc341428265"/>
      <w:bookmarkStart w:id="35" w:name="_Toc371588960"/>
      <w:bookmarkStart w:id="36" w:name="_Toc373149022"/>
      <w:r w:rsidRPr="00E141F1">
        <w:t xml:space="preserve">National interest </w:t>
      </w:r>
      <w:bookmarkEnd w:id="34"/>
      <w:r w:rsidRPr="00E141F1">
        <w:t>issues</w:t>
      </w:r>
      <w:bookmarkEnd w:id="35"/>
      <w:bookmarkEnd w:id="36"/>
    </w:p>
    <w:p w:rsidR="001E6FB8" w:rsidRPr="00E141F1" w:rsidRDefault="001E6FB8" w:rsidP="001E6FB8">
      <w:pPr>
        <w:spacing w:after="80"/>
        <w:rPr>
          <w:rFonts w:cs="Arial"/>
        </w:rPr>
      </w:pPr>
      <w:r w:rsidRPr="00E141F1">
        <w:rPr>
          <w:rFonts w:cs="Arial"/>
        </w:rPr>
        <w:t>During 2012–13, the performance of emergency call service met regulatory requirements.</w:t>
      </w:r>
    </w:p>
    <w:p w:rsidR="001E6FB8" w:rsidRPr="00E141F1" w:rsidRDefault="001E6FB8" w:rsidP="001E6FB8">
      <w:pPr>
        <w:pStyle w:val="ListBullet"/>
        <w:rPr>
          <w:rFonts w:cs="Arial"/>
        </w:rPr>
      </w:pPr>
      <w:r w:rsidRPr="00E141F1">
        <w:rPr>
          <w:rFonts w:cs="Arial"/>
        </w:rPr>
        <w:t xml:space="preserve">The number of calls to the emergency service numbers Triple Zero and 112 decreased by six per cent to 8.85 million. </w:t>
      </w:r>
    </w:p>
    <w:p w:rsidR="001E6FB8" w:rsidRPr="00E141F1" w:rsidRDefault="001E6FB8" w:rsidP="001E6FB8">
      <w:pPr>
        <w:pStyle w:val="ListBullet"/>
        <w:spacing w:after="120"/>
        <w:rPr>
          <w:rFonts w:cs="Arial"/>
        </w:rPr>
      </w:pPr>
      <w:r w:rsidRPr="00E141F1">
        <w:rPr>
          <w:rFonts w:cs="Arial"/>
        </w:rPr>
        <w:t xml:space="preserve">Telstra continued to perform above the regulatory requirement in relation to the emergency call service answering 95.8 per cent of calls to Triple Zero and 112 within </w:t>
      </w:r>
      <w:r>
        <w:rPr>
          <w:rFonts w:cs="Arial"/>
        </w:rPr>
        <w:t>five</w:t>
      </w:r>
      <w:r w:rsidRPr="00E141F1">
        <w:rPr>
          <w:rFonts w:cs="Arial"/>
        </w:rPr>
        <w:t xml:space="preserve"> seconds and 99.1 per cent of calls within 10 seconds.</w:t>
      </w:r>
    </w:p>
    <w:p w:rsidR="001E6FB8" w:rsidRPr="00E141F1" w:rsidRDefault="001E6FB8" w:rsidP="001E6FB8">
      <w:pPr>
        <w:keepNext/>
        <w:spacing w:after="80"/>
        <w:rPr>
          <w:rFonts w:cs="Arial"/>
        </w:rPr>
      </w:pPr>
      <w:r w:rsidRPr="00E141F1">
        <w:rPr>
          <w:rFonts w:cs="Arial"/>
        </w:rPr>
        <w:t>In relation to disclosures and interception during 2012–13:</w:t>
      </w:r>
    </w:p>
    <w:p w:rsidR="001E6FB8" w:rsidRPr="00E141F1" w:rsidRDefault="001E6FB8" w:rsidP="001E6FB8">
      <w:pPr>
        <w:pStyle w:val="ListBullet"/>
        <w:rPr>
          <w:rFonts w:cs="Arial"/>
        </w:rPr>
      </w:pPr>
      <w:r>
        <w:rPr>
          <w:rFonts w:cs="Arial"/>
        </w:rPr>
        <w:t>D</w:t>
      </w:r>
      <w:r w:rsidRPr="00E141F1">
        <w:rPr>
          <w:rFonts w:cs="Arial"/>
        </w:rPr>
        <w:t xml:space="preserve">isclosures of customer information made by carriers and CSPs under Part 13 of the Act and/or under the </w:t>
      </w:r>
      <w:r w:rsidRPr="00E141F1">
        <w:rPr>
          <w:rFonts w:cs="Arial"/>
          <w:i/>
        </w:rPr>
        <w:t>Telecommunications (Interception and Access) Act 1979</w:t>
      </w:r>
      <w:r w:rsidRPr="00E141F1">
        <w:rPr>
          <w:rFonts w:cs="Arial"/>
        </w:rPr>
        <w:t xml:space="preserve"> decreased by two per cent to 685,757</w:t>
      </w:r>
      <w:r>
        <w:rPr>
          <w:rFonts w:cs="Arial"/>
        </w:rPr>
        <w:t>.</w:t>
      </w:r>
    </w:p>
    <w:p w:rsidR="001E6FB8" w:rsidRPr="00E141F1" w:rsidRDefault="001E6FB8" w:rsidP="001E6FB8">
      <w:pPr>
        <w:pStyle w:val="ListBullet"/>
        <w:rPr>
          <w:rFonts w:cs="Arial"/>
        </w:rPr>
      </w:pPr>
      <w:r>
        <w:rPr>
          <w:rFonts w:cs="Arial"/>
        </w:rPr>
        <w:t>T</w:t>
      </w:r>
      <w:r w:rsidRPr="00E141F1">
        <w:rPr>
          <w:rFonts w:cs="Arial"/>
        </w:rPr>
        <w:t>he cost to industry of providing interception capability was $18.4 million</w:t>
      </w:r>
      <w:r>
        <w:rPr>
          <w:rFonts w:cs="Arial"/>
        </w:rPr>
        <w:t>,</w:t>
      </w:r>
      <w:r w:rsidRPr="00E141F1">
        <w:rPr>
          <w:rFonts w:cs="Arial"/>
        </w:rPr>
        <w:t xml:space="preserve"> an increase of nine per cent in comparison to 2011–12</w:t>
      </w:r>
      <w:r>
        <w:rPr>
          <w:rFonts w:cs="Arial"/>
        </w:rPr>
        <w:t>.</w:t>
      </w:r>
    </w:p>
    <w:p w:rsidR="001E6FB8" w:rsidRPr="00E141F1" w:rsidRDefault="001E6FB8" w:rsidP="001E6FB8">
      <w:pPr>
        <w:pStyle w:val="ListBullet"/>
        <w:spacing w:after="240"/>
        <w:rPr>
          <w:rFonts w:cs="Arial"/>
        </w:rPr>
      </w:pPr>
      <w:r>
        <w:rPr>
          <w:rFonts w:cs="Arial"/>
        </w:rPr>
        <w:t>T</w:t>
      </w:r>
      <w:r w:rsidRPr="00E141F1">
        <w:rPr>
          <w:rFonts w:cs="Arial"/>
        </w:rPr>
        <w:t>he number of connected records on the Integrated Public Number Database increased by three per cent to 64.1 million.</w:t>
      </w:r>
    </w:p>
    <w:p w:rsidR="001E6FB8" w:rsidRDefault="001E6FB8" w:rsidP="001E6FB8">
      <w:pPr>
        <w:spacing w:line="240" w:lineRule="auto"/>
        <w:rPr>
          <w:rFonts w:cs="Arial"/>
          <w:b/>
          <w:bCs/>
          <w:szCs w:val="26"/>
        </w:rPr>
      </w:pPr>
      <w:bookmarkStart w:id="37" w:name="_Toc341428266"/>
      <w:bookmarkStart w:id="38" w:name="_Toc371588961"/>
      <w:r>
        <w:br w:type="page"/>
      </w:r>
    </w:p>
    <w:p w:rsidR="001E6FB8" w:rsidRPr="00E141F1" w:rsidRDefault="001E6FB8" w:rsidP="001E6FB8">
      <w:pPr>
        <w:pStyle w:val="Heading3"/>
      </w:pPr>
      <w:bookmarkStart w:id="39" w:name="_Toc373149023"/>
      <w:r w:rsidRPr="00E141F1">
        <w:t>Telecommunications consumer safeguards and quality of service</w:t>
      </w:r>
      <w:bookmarkEnd w:id="37"/>
      <w:bookmarkEnd w:id="38"/>
      <w:bookmarkEnd w:id="39"/>
      <w:r>
        <w:t xml:space="preserve"> </w:t>
      </w:r>
    </w:p>
    <w:p w:rsidR="001E6FB8" w:rsidRPr="00E141F1" w:rsidRDefault="001E6FB8" w:rsidP="001E6FB8">
      <w:pPr>
        <w:spacing w:after="80"/>
        <w:rPr>
          <w:rFonts w:cs="Arial"/>
          <w:b/>
        </w:rPr>
      </w:pPr>
      <w:r w:rsidRPr="00E141F1">
        <w:rPr>
          <w:rFonts w:cs="Arial"/>
        </w:rPr>
        <w:t>During 2012–13:</w:t>
      </w:r>
    </w:p>
    <w:p w:rsidR="001E6FB8" w:rsidRPr="00E141F1" w:rsidRDefault="001E6FB8" w:rsidP="001E6FB8">
      <w:pPr>
        <w:pStyle w:val="ListBullet"/>
        <w:rPr>
          <w:rFonts w:cs="Arial"/>
        </w:rPr>
      </w:pPr>
      <w:r w:rsidRPr="00E141F1">
        <w:rPr>
          <w:rFonts w:cs="Arial"/>
        </w:rPr>
        <w:t xml:space="preserve">total payphone numbers declined by five per cent to </w:t>
      </w:r>
      <w:r>
        <w:rPr>
          <w:rFonts w:cs="Arial"/>
        </w:rPr>
        <w:t>29</w:t>
      </w:r>
      <w:r w:rsidRPr="00E141F1">
        <w:rPr>
          <w:rFonts w:cs="Arial"/>
        </w:rPr>
        <w:t>,</w:t>
      </w:r>
      <w:r>
        <w:rPr>
          <w:rFonts w:cs="Arial"/>
        </w:rPr>
        <w:t>523</w:t>
      </w:r>
      <w:r w:rsidRPr="00E141F1">
        <w:rPr>
          <w:rFonts w:cs="Arial"/>
        </w:rPr>
        <w:t xml:space="preserve"> </w:t>
      </w:r>
    </w:p>
    <w:p w:rsidR="001E6FB8" w:rsidRPr="00E141F1" w:rsidRDefault="001E6FB8" w:rsidP="001E6FB8">
      <w:pPr>
        <w:pStyle w:val="ListBullet"/>
        <w:rPr>
          <w:rFonts w:cs="Arial"/>
        </w:rPr>
      </w:pPr>
      <w:r>
        <w:rPr>
          <w:rFonts w:cs="Arial"/>
        </w:rPr>
        <w:t>in relation to the CSG S</w:t>
      </w:r>
      <w:r w:rsidRPr="00E141F1">
        <w:rPr>
          <w:rFonts w:cs="Arial"/>
        </w:rPr>
        <w:t>tandard:</w:t>
      </w:r>
    </w:p>
    <w:p w:rsidR="001E6FB8" w:rsidRPr="00E141F1" w:rsidRDefault="001E6FB8" w:rsidP="001E6FB8">
      <w:pPr>
        <w:pStyle w:val="ListBullet"/>
        <w:tabs>
          <w:tab w:val="clear" w:pos="295"/>
          <w:tab w:val="num" w:pos="590"/>
        </w:tabs>
        <w:ind w:left="590"/>
        <w:rPr>
          <w:rFonts w:cs="Arial"/>
        </w:rPr>
      </w:pPr>
      <w:r w:rsidRPr="00E141F1">
        <w:rPr>
          <w:rFonts w:cs="Arial"/>
        </w:rPr>
        <w:t>fixed-line telephone services in operation covered by the CSG Standard fell by six per cent to 6.68 million services</w:t>
      </w:r>
    </w:p>
    <w:p w:rsidR="001E6FB8" w:rsidRPr="00E141F1" w:rsidRDefault="001E6FB8" w:rsidP="001E6FB8">
      <w:pPr>
        <w:pStyle w:val="ListBullet"/>
        <w:tabs>
          <w:tab w:val="clear" w:pos="295"/>
          <w:tab w:val="num" w:pos="590"/>
        </w:tabs>
        <w:ind w:left="590"/>
        <w:rPr>
          <w:rFonts w:cs="Arial"/>
        </w:rPr>
      </w:pPr>
      <w:r w:rsidRPr="00E141F1">
        <w:rPr>
          <w:rFonts w:cs="Arial"/>
        </w:rPr>
        <w:t>the number of customers who waived their rights under the CSG Standard increased by nine per cent to 247,657</w:t>
      </w:r>
    </w:p>
    <w:p w:rsidR="001E6FB8" w:rsidRPr="00E141F1" w:rsidRDefault="001E6FB8" w:rsidP="001E6FB8">
      <w:pPr>
        <w:pStyle w:val="ListBullet"/>
        <w:tabs>
          <w:tab w:val="clear" w:pos="295"/>
          <w:tab w:val="num" w:pos="590"/>
        </w:tabs>
        <w:ind w:left="590"/>
        <w:rPr>
          <w:rFonts w:cs="Arial"/>
        </w:rPr>
      </w:pPr>
      <w:r w:rsidRPr="00E141F1">
        <w:rPr>
          <w:rFonts w:cs="Arial"/>
        </w:rPr>
        <w:t>the performance of the major CSPs in meeting CSG Standard time frames for new service connections ranged from 89 per cent (Telstra) to 100 per cent (Primus)</w:t>
      </w:r>
      <w:r>
        <w:rPr>
          <w:rFonts w:cs="Arial"/>
        </w:rPr>
        <w:t>, and fault repairs ranging from 91 per cent (Telstra) to 99 per cent (Primus)</w:t>
      </w:r>
    </w:p>
    <w:p w:rsidR="001E6FB8" w:rsidRPr="00E141F1" w:rsidRDefault="001E6FB8" w:rsidP="001E6FB8">
      <w:pPr>
        <w:pStyle w:val="ListBullet"/>
        <w:tabs>
          <w:tab w:val="clear" w:pos="295"/>
          <w:tab w:val="num" w:pos="590"/>
        </w:tabs>
        <w:ind w:left="590"/>
        <w:rPr>
          <w:rFonts w:cs="Arial"/>
        </w:rPr>
      </w:pPr>
      <w:r w:rsidRPr="00E141F1">
        <w:rPr>
          <w:rFonts w:cs="Arial"/>
        </w:rPr>
        <w:t>there were 26</w:t>
      </w:r>
      <w:r>
        <w:rPr>
          <w:rFonts w:cs="Arial"/>
        </w:rPr>
        <w:t>3</w:t>
      </w:r>
      <w:r w:rsidRPr="00E141F1">
        <w:rPr>
          <w:rFonts w:cs="Arial"/>
        </w:rPr>
        <w:t xml:space="preserve"> instances where CSPs </w:t>
      </w:r>
      <w:r>
        <w:rPr>
          <w:rFonts w:cs="Arial"/>
        </w:rPr>
        <w:t>claimed</w:t>
      </w:r>
      <w:r w:rsidRPr="00E141F1">
        <w:rPr>
          <w:rFonts w:cs="Arial"/>
        </w:rPr>
        <w:t xml:space="preserve"> exemptions from the CSG Standard</w:t>
      </w:r>
    </w:p>
    <w:p w:rsidR="001E6FB8" w:rsidRPr="00E141F1" w:rsidRDefault="001E6FB8" w:rsidP="001E6FB8">
      <w:pPr>
        <w:pStyle w:val="ListBullet"/>
        <w:tabs>
          <w:tab w:val="clear" w:pos="295"/>
          <w:tab w:val="num" w:pos="590"/>
        </w:tabs>
        <w:ind w:left="590"/>
        <w:rPr>
          <w:rFonts w:cs="Arial"/>
        </w:rPr>
      </w:pPr>
      <w:r w:rsidRPr="00E141F1">
        <w:rPr>
          <w:rFonts w:cs="Arial"/>
        </w:rPr>
        <w:t>CSP compensation payments to customers as a result of failing to meet CSG Standard time frames totalled $7.89 million, an</w:t>
      </w:r>
      <w:r>
        <w:rPr>
          <w:rFonts w:cs="Arial"/>
        </w:rPr>
        <w:t xml:space="preserve"> increase of nearly 37 per cent</w:t>
      </w:r>
    </w:p>
    <w:p w:rsidR="001E6FB8" w:rsidRPr="00E141F1" w:rsidRDefault="001E6FB8" w:rsidP="001E6FB8">
      <w:pPr>
        <w:pStyle w:val="ListBullet"/>
        <w:rPr>
          <w:rFonts w:cs="Arial"/>
        </w:rPr>
      </w:pPr>
      <w:r w:rsidRPr="00E141F1">
        <w:rPr>
          <w:rFonts w:cs="Arial"/>
        </w:rPr>
        <w:t>the number of priority assistance customers increased by 16 per cent to 257,137</w:t>
      </w:r>
    </w:p>
    <w:p w:rsidR="001E6FB8" w:rsidRPr="00E141F1" w:rsidRDefault="001E6FB8" w:rsidP="001E6FB8">
      <w:pPr>
        <w:pStyle w:val="ListBullet"/>
        <w:rPr>
          <w:rFonts w:cs="Arial"/>
        </w:rPr>
      </w:pPr>
      <w:r w:rsidRPr="00E141F1">
        <w:rPr>
          <w:rFonts w:cs="Arial"/>
        </w:rPr>
        <w:t>porting of local numbers increased by 22 per cent to 763,422 while mobile number ports decreased by 34 per cent to 1.74 million</w:t>
      </w:r>
    </w:p>
    <w:p w:rsidR="001E6FB8" w:rsidRPr="00E141F1" w:rsidRDefault="001E6FB8" w:rsidP="001E6FB8">
      <w:pPr>
        <w:pStyle w:val="ListBullet"/>
        <w:rPr>
          <w:rFonts w:cs="Arial"/>
        </w:rPr>
      </w:pPr>
      <w:r w:rsidRPr="00E141F1">
        <w:rPr>
          <w:rFonts w:cs="Arial"/>
        </w:rPr>
        <w:t>unwanted communications:</w:t>
      </w:r>
    </w:p>
    <w:p w:rsidR="001E6FB8" w:rsidRPr="00E141F1" w:rsidRDefault="001E6FB8" w:rsidP="001E6FB8">
      <w:pPr>
        <w:pStyle w:val="ListBullet"/>
        <w:tabs>
          <w:tab w:val="clear" w:pos="295"/>
          <w:tab w:val="num" w:pos="590"/>
        </w:tabs>
        <w:ind w:left="590"/>
        <w:rPr>
          <w:rFonts w:cs="Arial"/>
        </w:rPr>
      </w:pPr>
      <w:r w:rsidRPr="00E141F1">
        <w:rPr>
          <w:rFonts w:cs="Arial"/>
        </w:rPr>
        <w:t>the number of telephone numbers registered on the DNCR increased by 13 per cent to 8.74 million</w:t>
      </w:r>
    </w:p>
    <w:p w:rsidR="001E6FB8" w:rsidRPr="00E141F1" w:rsidRDefault="001E6FB8" w:rsidP="001E6FB8">
      <w:pPr>
        <w:pStyle w:val="ListBullet"/>
        <w:tabs>
          <w:tab w:val="clear" w:pos="295"/>
          <w:tab w:val="num" w:pos="590"/>
        </w:tabs>
        <w:ind w:left="590"/>
        <w:rPr>
          <w:rFonts w:cs="Arial"/>
        </w:rPr>
      </w:pPr>
      <w:r w:rsidRPr="00E141F1">
        <w:rPr>
          <w:rFonts w:cs="Arial"/>
        </w:rPr>
        <w:t xml:space="preserve">complaints to the ACMA concerning potential breaches of the </w:t>
      </w:r>
      <w:r w:rsidRPr="00E141F1">
        <w:rPr>
          <w:rFonts w:cs="Arial"/>
          <w:i/>
        </w:rPr>
        <w:t>Do Not Call Register Act 2006</w:t>
      </w:r>
      <w:r w:rsidRPr="00E141F1">
        <w:rPr>
          <w:rFonts w:cs="Arial"/>
        </w:rPr>
        <w:t xml:space="preserve"> (DNCR Act) dec</w:t>
      </w:r>
      <w:r>
        <w:rPr>
          <w:rFonts w:cs="Arial"/>
        </w:rPr>
        <w:t>reased by 10 per cent to 19,677</w:t>
      </w:r>
    </w:p>
    <w:p w:rsidR="001E6FB8" w:rsidRPr="00E141F1" w:rsidRDefault="001E6FB8" w:rsidP="001E6FB8">
      <w:pPr>
        <w:pStyle w:val="ListBullet"/>
        <w:rPr>
          <w:rFonts w:cs="Arial"/>
        </w:rPr>
      </w:pPr>
      <w:r>
        <w:rPr>
          <w:rFonts w:cs="Arial"/>
        </w:rPr>
        <w:t>c</w:t>
      </w:r>
      <w:r w:rsidRPr="00E141F1">
        <w:rPr>
          <w:rFonts w:cs="Arial"/>
        </w:rPr>
        <w:t>onsumer satisfaction with communications services:</w:t>
      </w:r>
    </w:p>
    <w:p w:rsidR="001E6FB8" w:rsidRPr="00E141F1" w:rsidRDefault="001E6FB8" w:rsidP="001E6FB8">
      <w:pPr>
        <w:pStyle w:val="ListBullet"/>
        <w:tabs>
          <w:tab w:val="clear" w:pos="295"/>
          <w:tab w:val="num" w:pos="590"/>
        </w:tabs>
        <w:ind w:left="590"/>
        <w:rPr>
          <w:rFonts w:cs="Arial"/>
        </w:rPr>
      </w:pPr>
      <w:r w:rsidRPr="00E141F1">
        <w:rPr>
          <w:rFonts w:cs="Arial"/>
        </w:rPr>
        <w:t>the number of new complaints to the TIO decreased by 18 per cent to 158,652</w:t>
      </w:r>
    </w:p>
    <w:p w:rsidR="001E6FB8" w:rsidRPr="00E141F1" w:rsidRDefault="001E6FB8" w:rsidP="001E6FB8">
      <w:pPr>
        <w:pStyle w:val="ListBullet"/>
        <w:tabs>
          <w:tab w:val="clear" w:pos="295"/>
          <w:tab w:val="num" w:pos="590"/>
        </w:tabs>
        <w:spacing w:after="240"/>
        <w:ind w:left="590"/>
        <w:rPr>
          <w:rFonts w:cs="Arial"/>
        </w:rPr>
      </w:pPr>
      <w:r w:rsidRPr="00E141F1">
        <w:rPr>
          <w:rFonts w:cs="Arial"/>
        </w:rPr>
        <w:t>consumers continued to be generally satisfied with their communications services although overall satisfaction levels were higher for fixed-line (7</w:t>
      </w:r>
      <w:r>
        <w:rPr>
          <w:rFonts w:cs="Arial"/>
        </w:rPr>
        <w:t>1</w:t>
      </w:r>
      <w:r w:rsidRPr="00E141F1">
        <w:rPr>
          <w:rFonts w:cs="Arial"/>
        </w:rPr>
        <w:t xml:space="preserve"> per cent) and internet (76 per cent) users than for mobile phone (69 per cent) and VoIP (55 per cent) users. Levels of overall dissatisfaction with communications services ranged from eight per cent (internet) to </w:t>
      </w:r>
      <w:r>
        <w:rPr>
          <w:rFonts w:cs="Arial"/>
        </w:rPr>
        <w:t>13</w:t>
      </w:r>
      <w:r w:rsidRPr="00E141F1">
        <w:rPr>
          <w:rFonts w:cs="Arial"/>
        </w:rPr>
        <w:t xml:space="preserve"> per cent (VoIP). </w:t>
      </w:r>
    </w:p>
    <w:p w:rsidR="001E6FB8" w:rsidRPr="00E141F1" w:rsidRDefault="001E6FB8" w:rsidP="001E6FB8">
      <w:pPr>
        <w:pStyle w:val="Heading3"/>
      </w:pPr>
      <w:bookmarkStart w:id="40" w:name="_Toc341428267"/>
      <w:bookmarkStart w:id="41" w:name="_Toc371588962"/>
      <w:bookmarkStart w:id="42" w:name="_Toc373149024"/>
      <w:bookmarkStart w:id="43" w:name="_Toc287540081"/>
      <w:bookmarkStart w:id="44" w:name="_Toc308517102"/>
      <w:bookmarkStart w:id="45" w:name="_Toc308523562"/>
      <w:bookmarkStart w:id="46" w:name="_Toc312157065"/>
      <w:bookmarkEnd w:id="31"/>
      <w:bookmarkEnd w:id="32"/>
      <w:bookmarkEnd w:id="33"/>
      <w:r w:rsidRPr="00E141F1">
        <w:t>Broadcasting industry performance</w:t>
      </w:r>
      <w:bookmarkEnd w:id="40"/>
      <w:bookmarkEnd w:id="41"/>
      <w:bookmarkEnd w:id="42"/>
      <w:r w:rsidRPr="00E141F1">
        <w:t xml:space="preserve"> </w:t>
      </w:r>
      <w:bookmarkEnd w:id="43"/>
      <w:bookmarkEnd w:id="44"/>
      <w:bookmarkEnd w:id="45"/>
      <w:bookmarkEnd w:id="46"/>
    </w:p>
    <w:p w:rsidR="001E6FB8" w:rsidRPr="00E141F1" w:rsidRDefault="001E6FB8" w:rsidP="001E6FB8">
      <w:pPr>
        <w:pStyle w:val="ListBullet"/>
        <w:keepNext/>
        <w:numPr>
          <w:ilvl w:val="0"/>
          <w:numId w:val="0"/>
        </w:numPr>
        <w:ind w:left="295" w:hanging="295"/>
        <w:rPr>
          <w:rFonts w:cs="Arial"/>
        </w:rPr>
      </w:pPr>
      <w:r w:rsidRPr="00E141F1">
        <w:rPr>
          <w:rFonts w:cs="Arial"/>
        </w:rPr>
        <w:t>During 2012:</w:t>
      </w:r>
    </w:p>
    <w:p w:rsidR="001E6FB8" w:rsidRPr="00E141F1" w:rsidRDefault="001E6FB8" w:rsidP="001E6FB8">
      <w:pPr>
        <w:pStyle w:val="ListBullet"/>
        <w:rPr>
          <w:rFonts w:cs="Arial"/>
        </w:rPr>
      </w:pPr>
      <w:r w:rsidRPr="00E141F1">
        <w:rPr>
          <w:rFonts w:cs="Arial"/>
        </w:rPr>
        <w:t>in addition to meeting their regulatory requirements for transmitting Australian content all free-to-air commercial television stations broadcasted more than the required 80 per cent of Australian advertising</w:t>
      </w:r>
    </w:p>
    <w:p w:rsidR="001E6FB8" w:rsidRPr="00E141F1" w:rsidRDefault="001E6FB8" w:rsidP="001E6FB8">
      <w:pPr>
        <w:pStyle w:val="ListBullet"/>
        <w:rPr>
          <w:rFonts w:cs="Arial"/>
        </w:rPr>
      </w:pPr>
      <w:r w:rsidRPr="00E141F1">
        <w:rPr>
          <w:rFonts w:cs="Arial"/>
        </w:rPr>
        <w:t>commercial and national television broadcasters required to transmit the high definition television (HDTV) quota complied with their quota requirements.</w:t>
      </w:r>
    </w:p>
    <w:p w:rsidR="001E6FB8" w:rsidRPr="00E141F1" w:rsidRDefault="001E6FB8" w:rsidP="001E6FB8">
      <w:pPr>
        <w:pStyle w:val="ListBullet"/>
        <w:rPr>
          <w:rFonts w:cs="Arial"/>
        </w:rPr>
      </w:pPr>
      <w:r w:rsidRPr="00E141F1">
        <w:rPr>
          <w:rFonts w:cs="Arial"/>
        </w:rPr>
        <w:t>all regional television licensees in Queensland, New South Wales, Victoria and Tasmania (with the exception of Tasmanian Digital Television) reported that they met the minimum quota requirements for providing local information</w:t>
      </w:r>
    </w:p>
    <w:p w:rsidR="001E6FB8" w:rsidRPr="00E141F1" w:rsidRDefault="001E6FB8" w:rsidP="001E6FB8">
      <w:pPr>
        <w:pStyle w:val="ListBullet"/>
        <w:rPr>
          <w:rFonts w:cs="Arial"/>
        </w:rPr>
      </w:pPr>
      <w:r w:rsidRPr="00E141F1">
        <w:rPr>
          <w:rFonts w:cs="Arial"/>
        </w:rPr>
        <w:t>all commercial radio broadcasting licensees broadcasted the required amount of material of local significance</w:t>
      </w:r>
      <w:r>
        <w:rPr>
          <w:rFonts w:cs="Arial"/>
        </w:rPr>
        <w:t>.</w:t>
      </w:r>
    </w:p>
    <w:p w:rsidR="001E6FB8" w:rsidRPr="00E141F1" w:rsidRDefault="001E6FB8" w:rsidP="001E6FB8">
      <w:pPr>
        <w:pStyle w:val="ListBullet"/>
        <w:numPr>
          <w:ilvl w:val="0"/>
          <w:numId w:val="0"/>
        </w:numPr>
        <w:rPr>
          <w:rFonts w:cs="Arial"/>
        </w:rPr>
      </w:pPr>
      <w:r w:rsidRPr="00E141F1">
        <w:rPr>
          <w:rFonts w:cs="Arial"/>
        </w:rPr>
        <w:t>During 2012–13:</w:t>
      </w:r>
    </w:p>
    <w:p w:rsidR="001E6FB8" w:rsidRPr="00E141F1" w:rsidRDefault="001E6FB8" w:rsidP="001E6FB8">
      <w:pPr>
        <w:pStyle w:val="ListBullet"/>
        <w:rPr>
          <w:rFonts w:cs="Arial"/>
        </w:rPr>
      </w:pPr>
      <w:r w:rsidRPr="00E141F1">
        <w:rPr>
          <w:rFonts w:cs="Arial"/>
        </w:rPr>
        <w:t xml:space="preserve">for national and commercial services, rollout of required digital television services </w:t>
      </w:r>
      <w:r>
        <w:rPr>
          <w:rFonts w:cs="Arial"/>
        </w:rPr>
        <w:t xml:space="preserve">was complete in metropolitan areas, reached </w:t>
      </w:r>
      <w:r w:rsidRPr="00E141F1">
        <w:rPr>
          <w:rFonts w:cs="Arial"/>
        </w:rPr>
        <w:t>100 per cent and 99 per</w:t>
      </w:r>
      <w:r>
        <w:rPr>
          <w:rFonts w:cs="Arial"/>
        </w:rPr>
        <w:t xml:space="preserve"> </w:t>
      </w:r>
      <w:r w:rsidRPr="00E141F1">
        <w:rPr>
          <w:rFonts w:cs="Arial"/>
        </w:rPr>
        <w:t>cent respectively</w:t>
      </w:r>
      <w:r>
        <w:rPr>
          <w:rFonts w:cs="Arial"/>
        </w:rPr>
        <w:t xml:space="preserve"> in regional areas</w:t>
      </w:r>
      <w:r w:rsidRPr="00E141F1">
        <w:rPr>
          <w:rFonts w:cs="Arial"/>
        </w:rPr>
        <w:t xml:space="preserve">, and 97 per cent for both in remote areas </w:t>
      </w:r>
    </w:p>
    <w:p w:rsidR="001E6FB8" w:rsidRPr="00E141F1" w:rsidRDefault="001E6FB8" w:rsidP="001E6FB8">
      <w:pPr>
        <w:pStyle w:val="ListBullet"/>
        <w:pageBreakBefore/>
        <w:rPr>
          <w:rFonts w:cs="Arial"/>
        </w:rPr>
      </w:pPr>
      <w:r w:rsidRPr="00E141F1">
        <w:rPr>
          <w:rFonts w:cs="Arial"/>
        </w:rPr>
        <w:t xml:space="preserve">the shift from </w:t>
      </w:r>
      <w:proofErr w:type="spellStart"/>
      <w:r w:rsidRPr="00E141F1">
        <w:rPr>
          <w:rFonts w:cs="Arial"/>
        </w:rPr>
        <w:t>analog</w:t>
      </w:r>
      <w:proofErr w:type="spellEnd"/>
      <w:r w:rsidRPr="00E141F1">
        <w:rPr>
          <w:rFonts w:cs="Arial"/>
        </w:rPr>
        <w:t xml:space="preserve"> services continued with services switched off in most areas around Australia, with the exception of Darwin (switched off on 30 July 2013),</w:t>
      </w:r>
      <w:r>
        <w:rPr>
          <w:rFonts w:cs="Arial"/>
        </w:rPr>
        <w:t xml:space="preserve"> </w:t>
      </w:r>
      <w:r w:rsidRPr="00E141F1">
        <w:rPr>
          <w:rFonts w:cs="Arial"/>
        </w:rPr>
        <w:t>Sydney (</w:t>
      </w:r>
      <w:r>
        <w:rPr>
          <w:rFonts w:cs="Arial"/>
        </w:rPr>
        <w:t>planned for</w:t>
      </w:r>
      <w:r w:rsidRPr="00E141F1">
        <w:rPr>
          <w:rFonts w:cs="Arial"/>
        </w:rPr>
        <w:t xml:space="preserve"> 3 December 2013) and Melbourne and Remote Central and Eastern Australia licence areas (</w:t>
      </w:r>
      <w:r>
        <w:rPr>
          <w:rFonts w:cs="Arial"/>
        </w:rPr>
        <w:t>planned for</w:t>
      </w:r>
      <w:r w:rsidRPr="00E141F1">
        <w:rPr>
          <w:rFonts w:cs="Arial"/>
        </w:rPr>
        <w:t xml:space="preserve"> 10 December 2013)</w:t>
      </w:r>
    </w:p>
    <w:p w:rsidR="001E6FB8" w:rsidRPr="00E141F1" w:rsidRDefault="001E6FB8" w:rsidP="001E6FB8">
      <w:pPr>
        <w:pStyle w:val="ListBullet"/>
        <w:rPr>
          <w:rFonts w:cs="Arial"/>
        </w:rPr>
      </w:pPr>
      <w:r w:rsidRPr="00E141F1">
        <w:rPr>
          <w:rFonts w:cs="Arial"/>
        </w:rPr>
        <w:t>community television broadcasters in metropolitan areas (Sydney, Melbourne</w:t>
      </w:r>
      <w:r>
        <w:rPr>
          <w:rFonts w:cs="Arial"/>
        </w:rPr>
        <w:t xml:space="preserve"> and</w:t>
      </w:r>
      <w:r w:rsidRPr="00E141F1">
        <w:rPr>
          <w:rFonts w:cs="Arial"/>
        </w:rPr>
        <w:t xml:space="preserve"> Brisbane) have completed the switchover and are all transmitting only digital services</w:t>
      </w:r>
    </w:p>
    <w:p w:rsidR="001E6FB8" w:rsidRDefault="001E6FB8" w:rsidP="001E6FB8">
      <w:pPr>
        <w:pStyle w:val="ListBullet"/>
        <w:rPr>
          <w:rFonts w:cs="Arial"/>
        </w:rPr>
      </w:pPr>
      <w:r w:rsidRPr="00E141F1">
        <w:rPr>
          <w:rFonts w:cs="Arial"/>
        </w:rPr>
        <w:t>written complaints and enquiries</w:t>
      </w:r>
      <w:r>
        <w:rPr>
          <w:rFonts w:cs="Arial"/>
        </w:rPr>
        <w:t xml:space="preserve"> to the ACMA</w:t>
      </w:r>
      <w:r w:rsidRPr="00E141F1">
        <w:rPr>
          <w:rFonts w:cs="Arial"/>
        </w:rPr>
        <w:t xml:space="preserve"> concerning broadcasting matters </w:t>
      </w:r>
      <w:r>
        <w:rPr>
          <w:rFonts w:cs="Arial"/>
        </w:rPr>
        <w:t>decreased</w:t>
      </w:r>
      <w:r w:rsidRPr="00E141F1">
        <w:rPr>
          <w:rFonts w:cs="Arial"/>
        </w:rPr>
        <w:t xml:space="preserve"> by four per cent</w:t>
      </w:r>
      <w:r>
        <w:rPr>
          <w:rFonts w:cs="Arial"/>
        </w:rPr>
        <w:t xml:space="preserve"> </w:t>
      </w:r>
      <w:r w:rsidRPr="00E141F1">
        <w:rPr>
          <w:rFonts w:cs="Arial"/>
        </w:rPr>
        <w:t>to 2,178</w:t>
      </w:r>
    </w:p>
    <w:p w:rsidR="001E6FB8" w:rsidRDefault="001E6FB8" w:rsidP="001E6FB8">
      <w:pPr>
        <w:pStyle w:val="ListBullet"/>
        <w:tabs>
          <w:tab w:val="clear" w:pos="295"/>
          <w:tab w:val="num" w:pos="0"/>
        </w:tabs>
        <w:spacing w:after="240"/>
        <w:rPr>
          <w:rFonts w:cs="Arial"/>
        </w:rPr>
      </w:pPr>
      <w:r w:rsidRPr="00200F18">
        <w:rPr>
          <w:rFonts w:cs="Arial"/>
        </w:rPr>
        <w:t xml:space="preserve">complaints concerning online content </w:t>
      </w:r>
      <w:r>
        <w:rPr>
          <w:rFonts w:cs="Arial"/>
        </w:rPr>
        <w:t>decreased</w:t>
      </w:r>
      <w:r w:rsidRPr="00200F18">
        <w:rPr>
          <w:rFonts w:cs="Arial"/>
        </w:rPr>
        <w:t xml:space="preserve"> by eight per cent to 4,633.</w:t>
      </w:r>
    </w:p>
    <w:p w:rsidR="001E6FB8" w:rsidRPr="00200F18" w:rsidRDefault="001E6FB8" w:rsidP="001E6FB8">
      <w:pPr>
        <w:pStyle w:val="Heading3"/>
      </w:pPr>
      <w:bookmarkStart w:id="47" w:name="_Toc341428261"/>
      <w:bookmarkStart w:id="48" w:name="_Toc371588963"/>
      <w:bookmarkStart w:id="49" w:name="_Toc373149025"/>
      <w:r w:rsidRPr="00200F18">
        <w:t>Complementary reporting program</w:t>
      </w:r>
      <w:bookmarkEnd w:id="47"/>
      <w:bookmarkEnd w:id="48"/>
      <w:bookmarkEnd w:id="49"/>
    </w:p>
    <w:p w:rsidR="001E6FB8" w:rsidRPr="00E141F1" w:rsidRDefault="001E6FB8" w:rsidP="001E6FB8">
      <w:pPr>
        <w:pStyle w:val="ListBullet"/>
        <w:numPr>
          <w:ilvl w:val="0"/>
          <w:numId w:val="0"/>
        </w:numPr>
        <w:rPr>
          <w:rFonts w:cs="Arial"/>
        </w:rPr>
      </w:pPr>
      <w:r>
        <w:rPr>
          <w:rFonts w:cs="Arial"/>
        </w:rPr>
        <w:t>The</w:t>
      </w:r>
      <w:r w:rsidRPr="00200F18">
        <w:rPr>
          <w:rFonts w:cs="Arial"/>
        </w:rPr>
        <w:t xml:space="preserve"> ACMA has continued with its practice of r</w:t>
      </w:r>
      <w:r w:rsidRPr="00E141F1">
        <w:rPr>
          <w:rFonts w:cs="Arial"/>
        </w:rPr>
        <w:t>eleasing a suite of targeted reports</w:t>
      </w:r>
      <w:r>
        <w:rPr>
          <w:rFonts w:cs="Arial"/>
        </w:rPr>
        <w:t xml:space="preserve"> that complement the statutory c</w:t>
      </w:r>
      <w:r w:rsidRPr="00E141F1">
        <w:rPr>
          <w:rFonts w:cs="Arial"/>
        </w:rPr>
        <w:t>ommunications report. These complementary reports focus in more detail on key aspects of the digital economy. The two reports released as part of the 20</w:t>
      </w:r>
      <w:r>
        <w:rPr>
          <w:rFonts w:cs="Arial"/>
        </w:rPr>
        <w:t>12–</w:t>
      </w:r>
      <w:r w:rsidRPr="00E141F1">
        <w:rPr>
          <w:rFonts w:cs="Arial"/>
        </w:rPr>
        <w:t>13 complementary series are:</w:t>
      </w:r>
      <w:r w:rsidRPr="00E141F1" w:rsidDel="005C3F84">
        <w:rPr>
          <w:rFonts w:cs="Arial"/>
        </w:rPr>
        <w:t xml:space="preserve"> </w:t>
      </w:r>
    </w:p>
    <w:p w:rsidR="001E6FB8" w:rsidRPr="00E141F1" w:rsidRDefault="001E6FB8" w:rsidP="001E6FB8">
      <w:pPr>
        <w:pStyle w:val="ListBullet"/>
        <w:rPr>
          <w:rFonts w:cs="Arial"/>
          <w:i/>
        </w:rPr>
      </w:pPr>
      <w:r w:rsidRPr="00E141F1">
        <w:rPr>
          <w:rFonts w:cs="Arial"/>
          <w:i/>
        </w:rPr>
        <w:t xml:space="preserve">Report 1—Australian SMEs in the digital economy </w:t>
      </w:r>
    </w:p>
    <w:p w:rsidR="001E6FB8" w:rsidRPr="00E141F1" w:rsidRDefault="001E6FB8" w:rsidP="001E6FB8">
      <w:pPr>
        <w:pStyle w:val="ListBullet"/>
        <w:spacing w:after="240"/>
        <w:rPr>
          <w:rFonts w:cs="Arial"/>
          <w:i/>
        </w:rPr>
      </w:pPr>
      <w:r w:rsidRPr="00E141F1">
        <w:rPr>
          <w:rFonts w:cs="Arial"/>
          <w:i/>
        </w:rPr>
        <w:t>Report 2—</w:t>
      </w:r>
      <w:r>
        <w:rPr>
          <w:rFonts w:cs="Arial"/>
          <w:i/>
        </w:rPr>
        <w:t>Cloud computing in Australia</w:t>
      </w:r>
      <w:r w:rsidRPr="00E141F1">
        <w:rPr>
          <w:rFonts w:cs="Arial"/>
          <w:i/>
        </w:rPr>
        <w:t xml:space="preserve">. </w:t>
      </w:r>
    </w:p>
    <w:p w:rsidR="001E6FB8" w:rsidRPr="00E141F1" w:rsidRDefault="001E6FB8" w:rsidP="001E6FB8">
      <w:pPr>
        <w:pStyle w:val="Heading3"/>
      </w:pPr>
      <w:bookmarkStart w:id="50" w:name="_Toc371588964"/>
      <w:bookmarkStart w:id="51" w:name="_Toc373149026"/>
      <w:r w:rsidRPr="00E141F1">
        <w:t>ACMA research snapshots series</w:t>
      </w:r>
      <w:bookmarkEnd w:id="50"/>
      <w:bookmarkEnd w:id="51"/>
    </w:p>
    <w:p w:rsidR="001E6FB8" w:rsidRPr="00E141F1" w:rsidRDefault="001E6FB8" w:rsidP="001E6FB8">
      <w:pPr>
        <w:pStyle w:val="ListBullet"/>
        <w:numPr>
          <w:ilvl w:val="0"/>
          <w:numId w:val="0"/>
        </w:numPr>
        <w:rPr>
          <w:rFonts w:cs="Arial"/>
        </w:rPr>
      </w:pPr>
      <w:r>
        <w:rPr>
          <w:rFonts w:cs="Arial"/>
        </w:rPr>
        <w:t>T</w:t>
      </w:r>
      <w:r w:rsidRPr="00E141F1">
        <w:rPr>
          <w:rFonts w:cs="Arial"/>
        </w:rPr>
        <w:t xml:space="preserve">he ACMA has also developed the </w:t>
      </w:r>
      <w:r w:rsidRPr="00E141F1">
        <w:rPr>
          <w:rFonts w:cs="Arial"/>
          <w:i/>
        </w:rPr>
        <w:t xml:space="preserve">ACMA research snapshots </w:t>
      </w:r>
      <w:r w:rsidRPr="00E141F1">
        <w:rPr>
          <w:rFonts w:cs="Arial"/>
        </w:rPr>
        <w:t xml:space="preserve">series—short, fit-for-purpose research updates on key issues of relevance to the ACMA and its stakeholders. Snapshots released </w:t>
      </w:r>
      <w:r>
        <w:rPr>
          <w:rFonts w:cs="Arial"/>
        </w:rPr>
        <w:t>this year</w:t>
      </w:r>
      <w:r w:rsidRPr="00E141F1">
        <w:rPr>
          <w:rFonts w:cs="Arial"/>
        </w:rPr>
        <w:t xml:space="preserve"> include:</w:t>
      </w:r>
    </w:p>
    <w:p w:rsidR="001E6FB8" w:rsidRPr="00E141F1" w:rsidRDefault="001E6FB8" w:rsidP="001E6FB8">
      <w:pPr>
        <w:pStyle w:val="ListBullet"/>
        <w:rPr>
          <w:rFonts w:cs="Arial"/>
        </w:rPr>
      </w:pPr>
      <w:r w:rsidRPr="00E141F1">
        <w:rPr>
          <w:rFonts w:cs="Arial"/>
          <w:i/>
        </w:rPr>
        <w:t>Australians cut the cord: becoming mobile only</w:t>
      </w:r>
    </w:p>
    <w:p w:rsidR="001E6FB8" w:rsidRPr="00E141F1" w:rsidRDefault="001E6FB8" w:rsidP="001E6FB8">
      <w:pPr>
        <w:pStyle w:val="ListBullet"/>
        <w:rPr>
          <w:rFonts w:cs="Arial"/>
        </w:rPr>
      </w:pPr>
      <w:r>
        <w:rPr>
          <w:rFonts w:cs="Arial"/>
          <w:i/>
        </w:rPr>
        <w:t>The c</w:t>
      </w:r>
      <w:r w:rsidRPr="00E141F1">
        <w:rPr>
          <w:rFonts w:cs="Arial"/>
          <w:i/>
        </w:rPr>
        <w:t>onnected business</w:t>
      </w:r>
    </w:p>
    <w:p w:rsidR="001E6FB8" w:rsidRPr="00E141F1" w:rsidRDefault="001E6FB8" w:rsidP="001E6FB8">
      <w:pPr>
        <w:pStyle w:val="ListBullet"/>
        <w:rPr>
          <w:rFonts w:cs="Arial"/>
          <w:i/>
        </w:rPr>
      </w:pPr>
      <w:r w:rsidRPr="00E141F1">
        <w:rPr>
          <w:rFonts w:cs="Arial"/>
          <w:i/>
        </w:rPr>
        <w:t>Home is where the work is: the digital worker</w:t>
      </w:r>
    </w:p>
    <w:p w:rsidR="001E6FB8" w:rsidRPr="00E141F1" w:rsidRDefault="001E6FB8" w:rsidP="001E6FB8">
      <w:pPr>
        <w:pStyle w:val="ListBullet"/>
        <w:rPr>
          <w:rFonts w:cs="Arial"/>
          <w:i/>
        </w:rPr>
      </w:pPr>
      <w:r w:rsidRPr="00E141F1">
        <w:rPr>
          <w:rFonts w:cs="Arial"/>
          <w:i/>
        </w:rPr>
        <w:t xml:space="preserve">Mobile </w:t>
      </w:r>
      <w:r w:rsidRPr="008804B5">
        <w:rPr>
          <w:rFonts w:cs="Arial"/>
          <w:i/>
        </w:rPr>
        <w:t>apps</w:t>
      </w:r>
      <w:r>
        <w:rPr>
          <w:rFonts w:cs="Arial"/>
          <w:i/>
        </w:rPr>
        <w:t xml:space="preserve">: </w:t>
      </w:r>
      <w:r w:rsidRPr="008804B5">
        <w:rPr>
          <w:rFonts w:cs="Arial"/>
          <w:i/>
        </w:rPr>
        <w:t xml:space="preserve">putting the ‘smart’ in </w:t>
      </w:r>
      <w:proofErr w:type="spellStart"/>
      <w:r w:rsidRPr="008804B5">
        <w:rPr>
          <w:rFonts w:cs="Arial"/>
          <w:i/>
        </w:rPr>
        <w:t>smartphones</w:t>
      </w:r>
      <w:proofErr w:type="spellEnd"/>
      <w:r>
        <w:rPr>
          <w:rFonts w:cs="Arial"/>
          <w:i/>
        </w:rPr>
        <w:t xml:space="preserve"> </w:t>
      </w:r>
    </w:p>
    <w:p w:rsidR="001E6FB8" w:rsidRPr="00E141F1" w:rsidRDefault="001E6FB8" w:rsidP="001E6FB8">
      <w:pPr>
        <w:pStyle w:val="ListBullet"/>
        <w:spacing w:after="240"/>
        <w:rPr>
          <w:rFonts w:cs="Arial"/>
          <w:i/>
        </w:rPr>
      </w:pPr>
      <w:r w:rsidRPr="00E141F1">
        <w:rPr>
          <w:rFonts w:cs="Arial"/>
          <w:i/>
        </w:rPr>
        <w:t>Regional Australia in the digital economy</w:t>
      </w:r>
      <w:r w:rsidRPr="00E141F1">
        <w:rPr>
          <w:rFonts w:cs="Arial"/>
        </w:rPr>
        <w:t>.</w:t>
      </w:r>
      <w:r w:rsidRPr="00E141F1">
        <w:rPr>
          <w:rFonts w:cs="Arial"/>
          <w:i/>
        </w:rPr>
        <w:t xml:space="preserve"> </w:t>
      </w:r>
    </w:p>
    <w:p w:rsidR="001E6FB8" w:rsidRDefault="001E6FB8" w:rsidP="001E6FB8">
      <w:r w:rsidRPr="00E141F1">
        <w:rPr>
          <w:rFonts w:cs="Arial"/>
        </w:rPr>
        <w:t>The</w:t>
      </w:r>
      <w:r w:rsidRPr="003F6892">
        <w:rPr>
          <w:rFonts w:cs="Arial"/>
        </w:rPr>
        <w:t xml:space="preserve"> </w:t>
      </w:r>
      <w:r w:rsidRPr="008804B5">
        <w:rPr>
          <w:rFonts w:cs="Arial"/>
        </w:rPr>
        <w:t>ACMA</w:t>
      </w:r>
      <w:r>
        <w:rPr>
          <w:rFonts w:cs="Arial"/>
        </w:rPr>
        <w:t xml:space="preserve"> </w:t>
      </w:r>
      <w:r w:rsidRPr="003F6892">
        <w:rPr>
          <w:rFonts w:cs="Arial"/>
          <w:i/>
        </w:rPr>
        <w:t>Communications report 2012–13</w:t>
      </w:r>
      <w:r w:rsidRPr="003F6892">
        <w:rPr>
          <w:rFonts w:cs="Arial"/>
        </w:rPr>
        <w:t xml:space="preserve"> </w:t>
      </w:r>
      <w:r w:rsidRPr="00E141F1">
        <w:rPr>
          <w:rFonts w:cs="Arial"/>
        </w:rPr>
        <w:t xml:space="preserve">and related reports can be accessed at </w:t>
      </w:r>
      <w:r w:rsidRPr="00AB6BF6">
        <w:rPr>
          <w:rFonts w:cs="Arial"/>
        </w:rPr>
        <w:t>www.acma.gov.au/commsreport</w:t>
      </w:r>
      <w:r>
        <w:rPr>
          <w:rFonts w:cs="Arial"/>
        </w:rPr>
        <w:t>.</w:t>
      </w:r>
      <w:r w:rsidRPr="00E141F1">
        <w:rPr>
          <w:rFonts w:cs="Arial"/>
        </w:rPr>
        <w:t xml:space="preserve"> </w:t>
      </w:r>
      <w:bookmarkStart w:id="52" w:name="_Toc341428269"/>
    </w:p>
    <w:p w:rsidR="001E6FB8" w:rsidRPr="00E141F1" w:rsidRDefault="001E6FB8" w:rsidP="001E6FB8">
      <w:pPr>
        <w:pStyle w:val="Heading1"/>
      </w:pPr>
      <w:bookmarkStart w:id="53" w:name="_Toc371588965"/>
      <w:bookmarkStart w:id="54" w:name="_Toc373149027"/>
      <w:r w:rsidRPr="00E141F1">
        <w:t>Key indicators—at a glance</w:t>
      </w:r>
      <w:bookmarkEnd w:id="52"/>
      <w:bookmarkEnd w:id="53"/>
      <w:bookmarkEnd w:id="54"/>
    </w:p>
    <w:p w:rsidR="001E6FB8" w:rsidRPr="001D133B" w:rsidRDefault="001E6FB8" w:rsidP="001E6FB8">
      <w:pPr>
        <w:pStyle w:val="Heading2"/>
      </w:pPr>
      <w:bookmarkStart w:id="55" w:name="_Toc287540086"/>
      <w:bookmarkStart w:id="56" w:name="_Toc308517084"/>
      <w:bookmarkStart w:id="57" w:name="_Toc308523544"/>
      <w:bookmarkStart w:id="58" w:name="_Toc310326771"/>
      <w:bookmarkStart w:id="59" w:name="_Toc370381852"/>
      <w:bookmarkStart w:id="60" w:name="_Toc371588966"/>
      <w:bookmarkStart w:id="61" w:name="_Toc373149028"/>
      <w:r w:rsidRPr="001D133B">
        <w:t>Telecommunications services</w:t>
      </w:r>
      <w:bookmarkEnd w:id="55"/>
      <w:bookmarkEnd w:id="56"/>
      <w:bookmarkEnd w:id="57"/>
      <w:bookmarkEnd w:id="58"/>
      <w:bookmarkEnd w:id="59"/>
      <w:bookmarkEnd w:id="60"/>
      <w:bookmarkEnd w:id="61"/>
    </w:p>
    <w:tbl>
      <w:tblPr>
        <w:tblW w:w="9645" w:type="dxa"/>
        <w:tblLayout w:type="fixed"/>
        <w:tblCellMar>
          <w:left w:w="0" w:type="dxa"/>
          <w:right w:w="0" w:type="dxa"/>
        </w:tblCellMar>
        <w:tblLook w:val="01E0"/>
      </w:tblPr>
      <w:tblGrid>
        <w:gridCol w:w="9645"/>
      </w:tblGrid>
      <w:tr w:rsidR="001E6FB8" w:rsidRPr="00CA48DE"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rPr>
                <w:color w:val="00709E"/>
              </w:rPr>
            </w:pPr>
            <w:r w:rsidRPr="00CA48DE">
              <w:rPr>
                <w:rFonts w:cs="Arial"/>
                <w:color w:val="00709E"/>
              </w:rPr>
              <w:t xml:space="preserve">Number of </w:t>
            </w:r>
            <w:r w:rsidRPr="00627EC6">
              <w:rPr>
                <w:rFonts w:cs="Arial"/>
                <w:color w:val="00709E"/>
              </w:rPr>
              <w:t>services</w:t>
            </w:r>
          </w:p>
        </w:tc>
      </w:tr>
      <w:tr w:rsidR="001E6FB8" w:rsidTr="001E6FB8">
        <w:trPr>
          <w:trHeight w:val="3086"/>
        </w:trPr>
        <w:tc>
          <w:tcPr>
            <w:tcW w:w="9645" w:type="dxa"/>
            <w:shd w:val="clear" w:color="auto" w:fill="auto"/>
            <w:tcMar>
              <w:left w:w="28" w:type="dxa"/>
            </w:tcMar>
          </w:tcPr>
          <w:tbl>
            <w:tblPr>
              <w:tblW w:w="0" w:type="auto"/>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496"/>
              <w:gridCol w:w="1371"/>
              <w:gridCol w:w="1372"/>
              <w:gridCol w:w="1372"/>
            </w:tblGrid>
            <w:tr w:rsidR="001E6FB8" w:rsidRPr="00CB3A2C" w:rsidTr="001E6FB8">
              <w:trPr>
                <w:trHeight w:val="381"/>
              </w:trPr>
              <w:tc>
                <w:tcPr>
                  <w:tcW w:w="5496" w:type="dxa"/>
                  <w:shd w:val="clear" w:color="auto" w:fill="00709E"/>
                  <w:tcMar>
                    <w:top w:w="34" w:type="dxa"/>
                    <w:left w:w="113" w:type="dxa"/>
                  </w:tcMar>
                  <w:vAlign w:val="center"/>
                </w:tcPr>
                <w:p w:rsidR="001E6FB8" w:rsidRPr="00C44F94" w:rsidRDefault="001E6FB8" w:rsidP="001E6FB8">
                  <w:pPr>
                    <w:pStyle w:val="TableHeading"/>
                    <w:jc w:val="right"/>
                    <w:rPr>
                      <w:rFonts w:cs="Arial"/>
                      <w:color w:val="FFFFFF" w:themeColor="background1"/>
                      <w:sz w:val="18"/>
                    </w:rPr>
                  </w:pPr>
                </w:p>
              </w:tc>
              <w:tc>
                <w:tcPr>
                  <w:tcW w:w="1371" w:type="dxa"/>
                  <w:shd w:val="clear" w:color="auto" w:fill="00709E"/>
                  <w:vAlign w:val="center"/>
                </w:tcPr>
                <w:p w:rsidR="001E6FB8" w:rsidRPr="00CB3A2C" w:rsidRDefault="001E6FB8" w:rsidP="001E6FB8">
                  <w:pPr>
                    <w:pStyle w:val="TableHeading"/>
                    <w:ind w:right="141"/>
                    <w:jc w:val="right"/>
                    <w:rPr>
                      <w:rFonts w:cs="Arial"/>
                      <w:color w:val="FFFFFF" w:themeColor="background1"/>
                      <w:sz w:val="18"/>
                    </w:rPr>
                  </w:pPr>
                  <w:r w:rsidRPr="00CB3A2C">
                    <w:rPr>
                      <w:rFonts w:cs="Arial"/>
                      <w:color w:val="FFFFFF" w:themeColor="background1"/>
                      <w:sz w:val="18"/>
                    </w:rPr>
                    <w:t>Jun-12</w:t>
                  </w:r>
                </w:p>
              </w:tc>
              <w:tc>
                <w:tcPr>
                  <w:tcW w:w="1372" w:type="dxa"/>
                  <w:shd w:val="clear" w:color="auto" w:fill="00709E"/>
                  <w:vAlign w:val="center"/>
                </w:tcPr>
                <w:p w:rsidR="001E6FB8" w:rsidRPr="00CB3A2C" w:rsidRDefault="001E6FB8" w:rsidP="001E6FB8">
                  <w:pPr>
                    <w:pStyle w:val="TableHeading"/>
                    <w:ind w:right="171"/>
                    <w:jc w:val="right"/>
                    <w:rPr>
                      <w:rFonts w:cs="Arial"/>
                      <w:color w:val="FFFFFF" w:themeColor="background1"/>
                      <w:sz w:val="18"/>
                    </w:rPr>
                  </w:pPr>
                  <w:r w:rsidRPr="00CB3A2C">
                    <w:rPr>
                      <w:rFonts w:cs="Arial"/>
                      <w:color w:val="FFFFFF" w:themeColor="background1"/>
                      <w:sz w:val="18"/>
                    </w:rPr>
                    <w:t>Jun-13</w:t>
                  </w:r>
                </w:p>
              </w:tc>
              <w:tc>
                <w:tcPr>
                  <w:tcW w:w="1372" w:type="dxa"/>
                  <w:shd w:val="clear" w:color="auto" w:fill="00709E"/>
                  <w:tcMar>
                    <w:left w:w="113" w:type="dxa"/>
                  </w:tcMar>
                  <w:vAlign w:val="center"/>
                </w:tcPr>
                <w:p w:rsidR="001E6FB8" w:rsidRPr="00CB3A2C" w:rsidRDefault="001E6FB8" w:rsidP="001E6FB8">
                  <w:pPr>
                    <w:pStyle w:val="TableHeading"/>
                    <w:ind w:right="91"/>
                    <w:jc w:val="right"/>
                    <w:rPr>
                      <w:rFonts w:cs="Arial"/>
                      <w:color w:val="FFFFFF" w:themeColor="background1"/>
                      <w:sz w:val="18"/>
                    </w:rPr>
                  </w:pPr>
                  <w:r w:rsidRPr="00CB3A2C">
                    <w:rPr>
                      <w:rFonts w:cs="Arial"/>
                      <w:color w:val="FFFFFF" w:themeColor="background1"/>
                      <w:sz w:val="18"/>
                    </w:rPr>
                    <w:t xml:space="preserve">% change </w:t>
                  </w:r>
                </w:p>
              </w:tc>
            </w:tr>
            <w:tr w:rsidR="001E6FB8" w:rsidRPr="00CB3A2C" w:rsidTr="001E6FB8">
              <w:trPr>
                <w:trHeight w:val="291"/>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 xml:space="preserve">Mobile services (voice and data) </w:t>
                  </w:r>
                </w:p>
              </w:tc>
              <w:tc>
                <w:tcPr>
                  <w:tcW w:w="1371" w:type="dxa"/>
                  <w:vAlign w:val="center"/>
                </w:tcPr>
                <w:p w:rsidR="001E6FB8" w:rsidRPr="00CB3A2C" w:rsidRDefault="001E6FB8" w:rsidP="001E6FB8">
                  <w:pPr>
                    <w:ind w:right="171"/>
                    <w:jc w:val="right"/>
                    <w:rPr>
                      <w:rFonts w:cs="Arial"/>
                      <w:sz w:val="18"/>
                    </w:rPr>
                  </w:pPr>
                  <w:r w:rsidRPr="00CB3A2C">
                    <w:rPr>
                      <w:rFonts w:cs="Arial"/>
                      <w:sz w:val="18"/>
                    </w:rPr>
                    <w:t>30.20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31.09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+3%</w:t>
                  </w:r>
                </w:p>
              </w:tc>
            </w:tr>
            <w:tr w:rsidR="001E6FB8" w:rsidRPr="00CB3A2C" w:rsidTr="001E6FB8">
              <w:trPr>
                <w:trHeight w:val="291"/>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Mobile internet services*</w:t>
                  </w:r>
                </w:p>
              </w:tc>
              <w:tc>
                <w:tcPr>
                  <w:tcW w:w="1371" w:type="dxa"/>
                  <w:vAlign w:val="center"/>
                </w:tcPr>
                <w:p w:rsidR="001E6FB8" w:rsidRPr="00CB3A2C" w:rsidRDefault="001E6FB8" w:rsidP="001E6FB8">
                  <w:pPr>
                    <w:ind w:right="171"/>
                    <w:jc w:val="right"/>
                    <w:rPr>
                      <w:rFonts w:cs="Arial"/>
                      <w:sz w:val="18"/>
                    </w:rPr>
                  </w:pPr>
                  <w:r w:rsidRPr="00CB3A2C">
                    <w:rPr>
                      <w:rFonts w:cs="Arial"/>
                      <w:sz w:val="18"/>
                    </w:rPr>
                    <w:t>22.05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25.80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+17%</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Fixed-line telephone services</w:t>
                  </w:r>
                  <w:r w:rsidRPr="00CB3A2C">
                    <w:rPr>
                      <w:rFonts w:cs="Arial"/>
                      <w:bCs/>
                      <w:sz w:val="18"/>
                      <w:szCs w:val="16"/>
                      <w:vertAlign w:val="superscript"/>
                    </w:rPr>
                    <w:t>†</w:t>
                  </w:r>
                </w:p>
              </w:tc>
              <w:tc>
                <w:tcPr>
                  <w:tcW w:w="1371" w:type="dxa"/>
                  <w:vAlign w:val="center"/>
                </w:tcPr>
                <w:p w:rsidR="001E6FB8" w:rsidRPr="00CB3A2C" w:rsidRDefault="001E6FB8" w:rsidP="001E6FB8">
                  <w:pPr>
                    <w:ind w:right="171"/>
                    <w:jc w:val="right"/>
                    <w:rPr>
                      <w:rFonts w:cs="Arial"/>
                      <w:sz w:val="18"/>
                    </w:rPr>
                  </w:pPr>
                  <w:r w:rsidRPr="00CB3A2C">
                    <w:rPr>
                      <w:rFonts w:cs="Arial"/>
                      <w:sz w:val="18"/>
                    </w:rPr>
                    <w:t>10.44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10.32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w:t>
                  </w:r>
                  <w:r w:rsidRPr="00CB3A2C">
                    <w:rPr>
                      <w:rFonts w:cs="Arial"/>
                      <w:sz w:val="18"/>
                    </w:rPr>
                    <w:t>1%</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Mobile phone users without a home fixed-line telephone</w:t>
                  </w:r>
                  <w:r w:rsidRPr="0036793D">
                    <w:rPr>
                      <w:rFonts w:cs="Arial"/>
                      <w:iCs/>
                      <w:sz w:val="16"/>
                      <w:szCs w:val="16"/>
                      <w:vertAlign w:val="superscript"/>
                    </w:rPr>
                    <w:t>§</w:t>
                  </w:r>
                  <w:r w:rsidRPr="00CB3A2C">
                    <w:rPr>
                      <w:rFonts w:cs="Arial"/>
                      <w:sz w:val="18"/>
                    </w:rPr>
                    <w:t xml:space="preserve"> </w:t>
                  </w:r>
                </w:p>
              </w:tc>
              <w:tc>
                <w:tcPr>
                  <w:tcW w:w="1371" w:type="dxa"/>
                  <w:vAlign w:val="center"/>
                </w:tcPr>
                <w:p w:rsidR="001E6FB8" w:rsidRPr="00CB3A2C" w:rsidRDefault="001E6FB8" w:rsidP="001E6FB8">
                  <w:pPr>
                    <w:ind w:right="171"/>
                    <w:jc w:val="right"/>
                    <w:rPr>
                      <w:rFonts w:cs="Arial"/>
                      <w:sz w:val="18"/>
                    </w:rPr>
                  </w:pPr>
                  <w:r w:rsidRPr="00CB3A2C">
                    <w:rPr>
                      <w:rFonts w:cs="Arial"/>
                      <w:sz w:val="18"/>
                    </w:rPr>
                    <w:t>3.13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3.68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+18%</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Home VoIP users</w:t>
                  </w:r>
                  <w:r w:rsidRPr="0036793D">
                    <w:rPr>
                      <w:rFonts w:cs="Arial"/>
                      <w:iCs/>
                      <w:sz w:val="16"/>
                      <w:szCs w:val="16"/>
                      <w:vertAlign w:val="superscript"/>
                    </w:rPr>
                    <w:t>§</w:t>
                  </w:r>
                </w:p>
              </w:tc>
              <w:tc>
                <w:tcPr>
                  <w:tcW w:w="1371" w:type="dxa"/>
                  <w:vAlign w:val="center"/>
                </w:tcPr>
                <w:p w:rsidR="001E6FB8" w:rsidRPr="00CB3A2C" w:rsidRDefault="001E6FB8" w:rsidP="001E6FB8">
                  <w:pPr>
                    <w:ind w:right="171"/>
                    <w:jc w:val="right"/>
                    <w:rPr>
                      <w:rFonts w:cs="Arial"/>
                      <w:sz w:val="18"/>
                    </w:rPr>
                  </w:pPr>
                  <w:r w:rsidRPr="00CB3A2C">
                    <w:rPr>
                      <w:rFonts w:cs="Arial"/>
                      <w:sz w:val="18"/>
                    </w:rPr>
                    <w:t>4.34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4.59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+6%</w:t>
                  </w:r>
                </w:p>
              </w:tc>
            </w:tr>
            <w:tr w:rsidR="001E6FB8" w:rsidRPr="00CB3A2C" w:rsidTr="001E6FB8">
              <w:trPr>
                <w:trHeight w:val="347"/>
              </w:trPr>
              <w:tc>
                <w:tcPr>
                  <w:tcW w:w="5496" w:type="dxa"/>
                  <w:tcBorders>
                    <w:bottom w:val="single" w:sz="4" w:space="0" w:color="C8C8C8"/>
                  </w:tcBorders>
                  <w:shd w:val="clear" w:color="auto" w:fill="auto"/>
                  <w:tcMar>
                    <w:left w:w="113" w:type="dxa"/>
                  </w:tcMar>
                  <w:vAlign w:val="center"/>
                </w:tcPr>
                <w:p w:rsidR="001E6FB8" w:rsidRPr="00CB3A2C" w:rsidRDefault="001E6FB8" w:rsidP="001E6FB8">
                  <w:pPr>
                    <w:rPr>
                      <w:rFonts w:cs="Arial"/>
                      <w:sz w:val="18"/>
                    </w:rPr>
                  </w:pPr>
                  <w:r w:rsidRPr="00CB3A2C">
                    <w:rPr>
                      <w:rFonts w:cs="Arial"/>
                      <w:sz w:val="18"/>
                    </w:rPr>
                    <w:t>Mobile phone VoIP users</w:t>
                  </w:r>
                  <w:r w:rsidRPr="0036793D">
                    <w:rPr>
                      <w:rFonts w:cs="Arial"/>
                      <w:iCs/>
                      <w:sz w:val="16"/>
                      <w:szCs w:val="16"/>
                      <w:vertAlign w:val="superscript"/>
                    </w:rPr>
                    <w:t>§</w:t>
                  </w:r>
                </w:p>
              </w:tc>
              <w:tc>
                <w:tcPr>
                  <w:tcW w:w="1371"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0.616 m</w:t>
                  </w:r>
                </w:p>
              </w:tc>
              <w:tc>
                <w:tcPr>
                  <w:tcW w:w="1372"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1.06</w:t>
                  </w:r>
                  <w:r>
                    <w:rPr>
                      <w:rFonts w:cs="Arial"/>
                      <w:sz w:val="18"/>
                    </w:rPr>
                    <w:t>3</w:t>
                  </w:r>
                  <w:r w:rsidRPr="00CB3A2C">
                    <w:rPr>
                      <w:rFonts w:cs="Arial"/>
                      <w:sz w:val="18"/>
                    </w:rPr>
                    <w:t xml:space="preserve"> m</w:t>
                  </w:r>
                </w:p>
              </w:tc>
              <w:tc>
                <w:tcPr>
                  <w:tcW w:w="1372" w:type="dxa"/>
                  <w:tcBorders>
                    <w:bottom w:val="single" w:sz="4" w:space="0" w:color="C8C8C8"/>
                  </w:tcBorders>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+73%</w:t>
                  </w:r>
                </w:p>
              </w:tc>
            </w:tr>
            <w:tr w:rsidR="001E6FB8" w:rsidRPr="00CB3A2C" w:rsidTr="001E6FB8">
              <w:trPr>
                <w:trHeight w:val="347"/>
              </w:trPr>
              <w:tc>
                <w:tcPr>
                  <w:tcW w:w="5496" w:type="dxa"/>
                  <w:tcBorders>
                    <w:bottom w:val="single" w:sz="4" w:space="0" w:color="C8C8C8"/>
                  </w:tcBorders>
                  <w:shd w:val="clear" w:color="auto" w:fill="A6A6A6" w:themeFill="background1" w:themeFillShade="A6"/>
                  <w:tcMar>
                    <w:left w:w="113" w:type="dxa"/>
                  </w:tcMar>
                  <w:vAlign w:val="center"/>
                </w:tcPr>
                <w:p w:rsidR="001E6FB8" w:rsidRPr="00CB3A2C" w:rsidRDefault="001E6FB8" w:rsidP="001E6FB8">
                  <w:pPr>
                    <w:pStyle w:val="TableHeading"/>
                    <w:jc w:val="right"/>
                    <w:rPr>
                      <w:rFonts w:cs="Arial"/>
                      <w:color w:val="FFFFFF" w:themeColor="background1"/>
                      <w:sz w:val="18"/>
                    </w:rPr>
                  </w:pPr>
                </w:p>
              </w:tc>
              <w:tc>
                <w:tcPr>
                  <w:tcW w:w="1371" w:type="dxa"/>
                  <w:tcBorders>
                    <w:bottom w:val="single" w:sz="4" w:space="0" w:color="C8C8C8"/>
                  </w:tcBorders>
                  <w:shd w:val="clear" w:color="auto" w:fill="A6A6A6" w:themeFill="background1" w:themeFillShade="A6"/>
                  <w:vAlign w:val="center"/>
                </w:tcPr>
                <w:p w:rsidR="001E6FB8" w:rsidRPr="00CB3A2C" w:rsidRDefault="001E6FB8" w:rsidP="001E6FB8">
                  <w:pPr>
                    <w:pStyle w:val="TableHeading"/>
                    <w:ind w:right="141"/>
                    <w:jc w:val="right"/>
                    <w:rPr>
                      <w:rFonts w:cs="Arial"/>
                      <w:color w:val="FFFFFF" w:themeColor="background1"/>
                      <w:sz w:val="18"/>
                    </w:rPr>
                  </w:pPr>
                  <w:r w:rsidRPr="00CB3A2C">
                    <w:rPr>
                      <w:rFonts w:cs="Arial"/>
                      <w:color w:val="FFFFFF" w:themeColor="background1"/>
                      <w:sz w:val="18"/>
                    </w:rPr>
                    <w:t>May-12</w:t>
                  </w:r>
                </w:p>
              </w:tc>
              <w:tc>
                <w:tcPr>
                  <w:tcW w:w="1372" w:type="dxa"/>
                  <w:tcBorders>
                    <w:bottom w:val="single" w:sz="4" w:space="0" w:color="C8C8C8"/>
                  </w:tcBorders>
                  <w:shd w:val="clear" w:color="auto" w:fill="A6A6A6" w:themeFill="background1" w:themeFillShade="A6"/>
                  <w:vAlign w:val="center"/>
                </w:tcPr>
                <w:p w:rsidR="001E6FB8" w:rsidRPr="00CB3A2C" w:rsidRDefault="001E6FB8" w:rsidP="001E6FB8">
                  <w:pPr>
                    <w:pStyle w:val="TableHeading"/>
                    <w:ind w:right="171"/>
                    <w:jc w:val="right"/>
                    <w:rPr>
                      <w:rFonts w:cs="Arial"/>
                      <w:color w:val="FFFFFF" w:themeColor="background1"/>
                      <w:sz w:val="18"/>
                    </w:rPr>
                  </w:pPr>
                  <w:r w:rsidRPr="00CB3A2C">
                    <w:rPr>
                      <w:rFonts w:cs="Arial"/>
                      <w:color w:val="FFFFFF" w:themeColor="background1"/>
                      <w:sz w:val="18"/>
                    </w:rPr>
                    <w:t>May-13</w:t>
                  </w:r>
                </w:p>
              </w:tc>
              <w:tc>
                <w:tcPr>
                  <w:tcW w:w="1372" w:type="dxa"/>
                  <w:tcBorders>
                    <w:bottom w:val="single" w:sz="4" w:space="0" w:color="C8C8C8"/>
                  </w:tcBorders>
                  <w:shd w:val="clear" w:color="auto" w:fill="A6A6A6" w:themeFill="background1" w:themeFillShade="A6"/>
                  <w:tcMar>
                    <w:left w:w="113" w:type="dxa"/>
                  </w:tcMar>
                  <w:vAlign w:val="center"/>
                </w:tcPr>
                <w:p w:rsidR="001E6FB8" w:rsidRPr="00CB3A2C" w:rsidRDefault="001E6FB8" w:rsidP="001E6FB8">
                  <w:pPr>
                    <w:pStyle w:val="TableHeading"/>
                    <w:ind w:right="91"/>
                    <w:jc w:val="right"/>
                    <w:rPr>
                      <w:rFonts w:cs="Arial"/>
                      <w:color w:val="FFFFFF" w:themeColor="background1"/>
                      <w:sz w:val="18"/>
                    </w:rPr>
                  </w:pPr>
                  <w:r w:rsidRPr="00CB3A2C">
                    <w:rPr>
                      <w:rFonts w:cs="Arial"/>
                      <w:color w:val="FFFFFF" w:themeColor="background1"/>
                      <w:sz w:val="18"/>
                    </w:rPr>
                    <w:t>% change</w:t>
                  </w:r>
                </w:p>
              </w:tc>
            </w:tr>
            <w:tr w:rsidR="001E6FB8" w:rsidRPr="00CB3A2C" w:rsidTr="001E6FB8">
              <w:trPr>
                <w:trHeight w:val="347"/>
              </w:trPr>
              <w:tc>
                <w:tcPr>
                  <w:tcW w:w="5496" w:type="dxa"/>
                  <w:tcBorders>
                    <w:bottom w:val="single" w:sz="4" w:space="0" w:color="C8C8C8"/>
                  </w:tcBorders>
                  <w:shd w:val="clear" w:color="auto" w:fill="auto"/>
                  <w:tcMar>
                    <w:left w:w="113" w:type="dxa"/>
                  </w:tcMar>
                  <w:vAlign w:val="center"/>
                </w:tcPr>
                <w:p w:rsidR="001E6FB8" w:rsidRPr="00CB3A2C" w:rsidRDefault="001E6FB8" w:rsidP="001E6FB8">
                  <w:pPr>
                    <w:rPr>
                      <w:rFonts w:cs="Arial"/>
                      <w:sz w:val="18"/>
                    </w:rPr>
                  </w:pPr>
                  <w:r>
                    <w:rPr>
                      <w:rFonts w:cs="Arial"/>
                      <w:sz w:val="18"/>
                    </w:rPr>
                    <w:t>People</w:t>
                  </w:r>
                  <w:r w:rsidRPr="00CB3A2C">
                    <w:rPr>
                      <w:rFonts w:cs="Arial"/>
                      <w:sz w:val="18"/>
                    </w:rPr>
                    <w:t xml:space="preserve"> aged 18 years and over with a </w:t>
                  </w:r>
                  <w:proofErr w:type="spellStart"/>
                  <w:r w:rsidRPr="00CB3A2C">
                    <w:rPr>
                      <w:rFonts w:cs="Arial"/>
                      <w:sz w:val="18"/>
                    </w:rPr>
                    <w:t>smartphone</w:t>
                  </w:r>
                  <w:proofErr w:type="spellEnd"/>
                </w:p>
              </w:tc>
              <w:tc>
                <w:tcPr>
                  <w:tcW w:w="1371"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8.67 m</w:t>
                  </w:r>
                </w:p>
              </w:tc>
              <w:tc>
                <w:tcPr>
                  <w:tcW w:w="1372"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11.19 m</w:t>
                  </w:r>
                </w:p>
              </w:tc>
              <w:tc>
                <w:tcPr>
                  <w:tcW w:w="1372" w:type="dxa"/>
                  <w:tcBorders>
                    <w:bottom w:val="single" w:sz="4" w:space="0" w:color="C8C8C8"/>
                  </w:tcBorders>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+29%</w:t>
                  </w:r>
                </w:p>
              </w:tc>
            </w:tr>
            <w:tr w:rsidR="001E6FB8" w:rsidRPr="00CB3A2C" w:rsidTr="001E6FB8">
              <w:trPr>
                <w:trHeight w:val="347"/>
              </w:trPr>
              <w:tc>
                <w:tcPr>
                  <w:tcW w:w="5496" w:type="dxa"/>
                  <w:tcBorders>
                    <w:bottom w:val="single" w:sz="4" w:space="0" w:color="C8C8C8"/>
                  </w:tcBorders>
                  <w:shd w:val="clear" w:color="auto" w:fill="A6A6A6" w:themeFill="background1" w:themeFillShade="A6"/>
                  <w:tcMar>
                    <w:left w:w="113" w:type="dxa"/>
                  </w:tcMar>
                  <w:vAlign w:val="center"/>
                </w:tcPr>
                <w:p w:rsidR="001E6FB8" w:rsidRPr="00CB3A2C" w:rsidRDefault="001E6FB8" w:rsidP="001E6FB8">
                  <w:pPr>
                    <w:pStyle w:val="TableHeading"/>
                    <w:jc w:val="right"/>
                    <w:rPr>
                      <w:rFonts w:cs="Arial"/>
                      <w:color w:val="FFFFFF" w:themeColor="background1"/>
                      <w:sz w:val="18"/>
                    </w:rPr>
                  </w:pPr>
                </w:p>
              </w:tc>
              <w:tc>
                <w:tcPr>
                  <w:tcW w:w="1371" w:type="dxa"/>
                  <w:tcBorders>
                    <w:bottom w:val="single" w:sz="4" w:space="0" w:color="C8C8C8"/>
                  </w:tcBorders>
                  <w:shd w:val="clear" w:color="auto" w:fill="A6A6A6" w:themeFill="background1" w:themeFillShade="A6"/>
                  <w:vAlign w:val="center"/>
                </w:tcPr>
                <w:p w:rsidR="001E6FB8" w:rsidRPr="00CB3A2C" w:rsidRDefault="001E6FB8" w:rsidP="001E6FB8">
                  <w:pPr>
                    <w:pStyle w:val="TableHeading"/>
                    <w:ind w:right="141"/>
                    <w:jc w:val="right"/>
                    <w:rPr>
                      <w:rFonts w:cs="Arial"/>
                      <w:color w:val="FFFFFF" w:themeColor="background1"/>
                      <w:sz w:val="18"/>
                    </w:rPr>
                  </w:pPr>
                  <w:r w:rsidRPr="00CB3A2C">
                    <w:rPr>
                      <w:rFonts w:cs="Arial"/>
                      <w:color w:val="FFFFFF" w:themeColor="background1"/>
                      <w:sz w:val="18"/>
                    </w:rPr>
                    <w:t>May-12</w:t>
                  </w:r>
                </w:p>
              </w:tc>
              <w:tc>
                <w:tcPr>
                  <w:tcW w:w="1372" w:type="dxa"/>
                  <w:tcBorders>
                    <w:bottom w:val="single" w:sz="4" w:space="0" w:color="C8C8C8"/>
                  </w:tcBorders>
                  <w:shd w:val="clear" w:color="auto" w:fill="A6A6A6" w:themeFill="background1" w:themeFillShade="A6"/>
                  <w:vAlign w:val="center"/>
                </w:tcPr>
                <w:p w:rsidR="001E6FB8" w:rsidRPr="00CB3A2C" w:rsidRDefault="001E6FB8" w:rsidP="001E6FB8">
                  <w:pPr>
                    <w:pStyle w:val="TableHeading"/>
                    <w:ind w:right="171"/>
                    <w:jc w:val="right"/>
                    <w:rPr>
                      <w:rFonts w:cs="Arial"/>
                      <w:color w:val="FFFFFF" w:themeColor="background1"/>
                      <w:sz w:val="18"/>
                    </w:rPr>
                  </w:pPr>
                  <w:r w:rsidRPr="00CB3A2C">
                    <w:rPr>
                      <w:rFonts w:cs="Arial"/>
                      <w:color w:val="FFFFFF" w:themeColor="background1"/>
                      <w:sz w:val="18"/>
                    </w:rPr>
                    <w:t>May-13</w:t>
                  </w:r>
                </w:p>
              </w:tc>
              <w:tc>
                <w:tcPr>
                  <w:tcW w:w="1372" w:type="dxa"/>
                  <w:tcBorders>
                    <w:bottom w:val="single" w:sz="4" w:space="0" w:color="C8C8C8"/>
                  </w:tcBorders>
                  <w:shd w:val="clear" w:color="auto" w:fill="A6A6A6" w:themeFill="background1" w:themeFillShade="A6"/>
                  <w:tcMar>
                    <w:left w:w="113" w:type="dxa"/>
                  </w:tcMar>
                  <w:vAlign w:val="center"/>
                </w:tcPr>
                <w:p w:rsidR="001E6FB8" w:rsidRPr="00CB3A2C" w:rsidRDefault="001E6FB8" w:rsidP="001E6FB8">
                  <w:pPr>
                    <w:pStyle w:val="TableHeading"/>
                    <w:ind w:right="91"/>
                    <w:jc w:val="right"/>
                    <w:rPr>
                      <w:rFonts w:cs="Arial"/>
                      <w:color w:val="FFFFFF" w:themeColor="background1"/>
                      <w:sz w:val="18"/>
                    </w:rPr>
                  </w:pPr>
                  <w:r w:rsidRPr="00CB3A2C">
                    <w:rPr>
                      <w:rFonts w:cs="Arial"/>
                      <w:color w:val="FFFFFF" w:themeColor="background1"/>
                      <w:sz w:val="18"/>
                    </w:rPr>
                    <w:t>% point change</w:t>
                  </w:r>
                </w:p>
              </w:tc>
            </w:tr>
            <w:tr w:rsidR="001E6FB8" w:rsidRPr="00CB3A2C" w:rsidTr="001E6FB8">
              <w:trPr>
                <w:trHeight w:val="347"/>
              </w:trPr>
              <w:tc>
                <w:tcPr>
                  <w:tcW w:w="5496" w:type="dxa"/>
                  <w:tcBorders>
                    <w:bottom w:val="single" w:sz="4" w:space="0" w:color="C8C8C8"/>
                  </w:tcBorders>
                  <w:shd w:val="clear" w:color="auto" w:fill="auto"/>
                  <w:tcMar>
                    <w:left w:w="113" w:type="dxa"/>
                  </w:tcMar>
                  <w:vAlign w:val="center"/>
                </w:tcPr>
                <w:p w:rsidR="001E6FB8" w:rsidRPr="00CB3A2C" w:rsidRDefault="001E6FB8" w:rsidP="001E6FB8">
                  <w:pPr>
                    <w:rPr>
                      <w:rFonts w:cs="Arial"/>
                      <w:sz w:val="18"/>
                    </w:rPr>
                  </w:pPr>
                  <w:r w:rsidRPr="00CB3A2C">
                    <w:rPr>
                      <w:rFonts w:cs="Arial"/>
                      <w:sz w:val="18"/>
                    </w:rPr>
                    <w:t>Most used communication service (% of total population)</w:t>
                  </w:r>
                </w:p>
              </w:tc>
              <w:tc>
                <w:tcPr>
                  <w:tcW w:w="1371" w:type="dxa"/>
                  <w:tcBorders>
                    <w:bottom w:val="single" w:sz="4" w:space="0" w:color="C8C8C8"/>
                  </w:tcBorders>
                  <w:vAlign w:val="center"/>
                </w:tcPr>
                <w:p w:rsidR="001E6FB8" w:rsidRPr="00CB3A2C" w:rsidRDefault="001E6FB8" w:rsidP="001E6FB8">
                  <w:pPr>
                    <w:ind w:right="171"/>
                    <w:jc w:val="right"/>
                    <w:rPr>
                      <w:rFonts w:cs="Arial"/>
                      <w:sz w:val="18"/>
                    </w:rPr>
                  </w:pPr>
                </w:p>
              </w:tc>
              <w:tc>
                <w:tcPr>
                  <w:tcW w:w="1372" w:type="dxa"/>
                  <w:tcBorders>
                    <w:bottom w:val="single" w:sz="4" w:space="0" w:color="C8C8C8"/>
                  </w:tcBorders>
                  <w:vAlign w:val="center"/>
                </w:tcPr>
                <w:p w:rsidR="001E6FB8" w:rsidRPr="00CB3A2C" w:rsidRDefault="001E6FB8" w:rsidP="001E6FB8">
                  <w:pPr>
                    <w:ind w:right="171"/>
                    <w:jc w:val="right"/>
                    <w:rPr>
                      <w:rFonts w:cs="Arial"/>
                      <w:sz w:val="18"/>
                    </w:rPr>
                  </w:pPr>
                </w:p>
              </w:tc>
              <w:tc>
                <w:tcPr>
                  <w:tcW w:w="1372" w:type="dxa"/>
                  <w:tcBorders>
                    <w:bottom w:val="single" w:sz="4" w:space="0" w:color="C8C8C8"/>
                  </w:tcBorders>
                  <w:shd w:val="clear" w:color="auto" w:fill="auto"/>
                  <w:tcMar>
                    <w:left w:w="113" w:type="dxa"/>
                  </w:tcMar>
                  <w:vAlign w:val="center"/>
                </w:tcPr>
                <w:p w:rsidR="001E6FB8" w:rsidRPr="00CB3A2C" w:rsidRDefault="001E6FB8" w:rsidP="001E6FB8">
                  <w:pPr>
                    <w:ind w:right="91"/>
                    <w:jc w:val="right"/>
                    <w:rPr>
                      <w:rFonts w:cs="Arial"/>
                      <w:sz w:val="18"/>
                    </w:rPr>
                  </w:pPr>
                </w:p>
              </w:tc>
            </w:tr>
            <w:tr w:rsidR="001E6FB8" w:rsidRPr="00CB3A2C" w:rsidTr="001E6FB8">
              <w:trPr>
                <w:trHeight w:val="347"/>
              </w:trPr>
              <w:tc>
                <w:tcPr>
                  <w:tcW w:w="5496" w:type="dxa"/>
                  <w:tcBorders>
                    <w:bottom w:val="single" w:sz="4" w:space="0" w:color="C8C8C8"/>
                  </w:tcBorders>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Mobile phone voice calls</w:t>
                  </w:r>
                </w:p>
              </w:tc>
              <w:tc>
                <w:tcPr>
                  <w:tcW w:w="1371"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26%</w:t>
                  </w:r>
                </w:p>
              </w:tc>
              <w:tc>
                <w:tcPr>
                  <w:tcW w:w="1372"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29%</w:t>
                  </w:r>
                </w:p>
              </w:tc>
              <w:tc>
                <w:tcPr>
                  <w:tcW w:w="1372" w:type="dxa"/>
                  <w:tcBorders>
                    <w:bottom w:val="single" w:sz="4" w:space="0" w:color="C8C8C8"/>
                  </w:tcBorders>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+3</w:t>
                  </w:r>
                </w:p>
              </w:tc>
            </w:tr>
            <w:tr w:rsidR="001E6FB8" w:rsidRPr="00CB3A2C" w:rsidTr="001E6FB8">
              <w:trPr>
                <w:trHeight w:val="347"/>
              </w:trPr>
              <w:tc>
                <w:tcPr>
                  <w:tcW w:w="5496" w:type="dxa"/>
                  <w:tcBorders>
                    <w:bottom w:val="single" w:sz="4" w:space="0" w:color="C8C8C8"/>
                  </w:tcBorders>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Texting from a mobile phone</w:t>
                  </w:r>
                </w:p>
              </w:tc>
              <w:tc>
                <w:tcPr>
                  <w:tcW w:w="1371"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22%</w:t>
                  </w:r>
                </w:p>
              </w:tc>
              <w:tc>
                <w:tcPr>
                  <w:tcW w:w="1372"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24%</w:t>
                  </w:r>
                </w:p>
              </w:tc>
              <w:tc>
                <w:tcPr>
                  <w:tcW w:w="1372" w:type="dxa"/>
                  <w:tcBorders>
                    <w:bottom w:val="single" w:sz="4" w:space="0" w:color="C8C8C8"/>
                  </w:tcBorders>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+2</w:t>
                  </w:r>
                </w:p>
              </w:tc>
            </w:tr>
            <w:tr w:rsidR="001E6FB8" w:rsidRPr="00CB3A2C" w:rsidTr="001E6FB8">
              <w:trPr>
                <w:trHeight w:val="347"/>
              </w:trPr>
              <w:tc>
                <w:tcPr>
                  <w:tcW w:w="5496" w:type="dxa"/>
                  <w:tcBorders>
                    <w:bottom w:val="single" w:sz="4" w:space="0" w:color="C8C8C8"/>
                  </w:tcBorders>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Home fixed-line telephone</w:t>
                  </w:r>
                </w:p>
              </w:tc>
              <w:tc>
                <w:tcPr>
                  <w:tcW w:w="1371"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22%</w:t>
                  </w:r>
                </w:p>
              </w:tc>
              <w:tc>
                <w:tcPr>
                  <w:tcW w:w="1372" w:type="dxa"/>
                  <w:tcBorders>
                    <w:bottom w:val="single" w:sz="4" w:space="0" w:color="C8C8C8"/>
                  </w:tcBorders>
                  <w:vAlign w:val="center"/>
                </w:tcPr>
                <w:p w:rsidR="001E6FB8" w:rsidRPr="00CB3A2C" w:rsidRDefault="001E6FB8" w:rsidP="001E6FB8">
                  <w:pPr>
                    <w:ind w:right="171"/>
                    <w:jc w:val="right"/>
                    <w:rPr>
                      <w:rFonts w:cs="Arial"/>
                      <w:sz w:val="18"/>
                    </w:rPr>
                  </w:pPr>
                  <w:r w:rsidRPr="00CB3A2C">
                    <w:rPr>
                      <w:rFonts w:cs="Arial"/>
                      <w:sz w:val="18"/>
                    </w:rPr>
                    <w:t>16%</w:t>
                  </w:r>
                </w:p>
              </w:tc>
              <w:tc>
                <w:tcPr>
                  <w:tcW w:w="1372" w:type="dxa"/>
                  <w:tcBorders>
                    <w:bottom w:val="single" w:sz="4" w:space="0" w:color="C8C8C8"/>
                  </w:tcBorders>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w:t>
                  </w:r>
                  <w:r w:rsidRPr="00CB3A2C">
                    <w:rPr>
                      <w:rFonts w:cs="Arial"/>
                      <w:sz w:val="18"/>
                    </w:rPr>
                    <w:t>6</w:t>
                  </w:r>
                </w:p>
              </w:tc>
            </w:tr>
            <w:tr w:rsidR="001E6FB8" w:rsidRPr="00CB3A2C" w:rsidTr="001E6FB8">
              <w:trPr>
                <w:trHeight w:val="347"/>
              </w:trPr>
              <w:tc>
                <w:tcPr>
                  <w:tcW w:w="5496" w:type="dxa"/>
                  <w:shd w:val="clear" w:color="auto" w:fill="A6A6A6" w:themeFill="background1" w:themeFillShade="A6"/>
                  <w:tcMar>
                    <w:left w:w="113" w:type="dxa"/>
                  </w:tcMar>
                  <w:vAlign w:val="center"/>
                </w:tcPr>
                <w:p w:rsidR="001E6FB8" w:rsidRPr="00CB3A2C" w:rsidRDefault="001E6FB8" w:rsidP="001E6FB8">
                  <w:pPr>
                    <w:pStyle w:val="TableHeading"/>
                    <w:jc w:val="right"/>
                    <w:rPr>
                      <w:rFonts w:cs="Arial"/>
                      <w:color w:val="FFFFFF" w:themeColor="background1"/>
                      <w:sz w:val="18"/>
                    </w:rPr>
                  </w:pPr>
                </w:p>
              </w:tc>
              <w:tc>
                <w:tcPr>
                  <w:tcW w:w="1371" w:type="dxa"/>
                  <w:shd w:val="clear" w:color="auto" w:fill="A6A6A6" w:themeFill="background1" w:themeFillShade="A6"/>
                  <w:vAlign w:val="center"/>
                </w:tcPr>
                <w:p w:rsidR="001E6FB8" w:rsidRPr="00CB3A2C" w:rsidRDefault="001E6FB8" w:rsidP="001E6FB8">
                  <w:pPr>
                    <w:pStyle w:val="TableHeading"/>
                    <w:ind w:right="141"/>
                    <w:jc w:val="right"/>
                    <w:rPr>
                      <w:rFonts w:cs="Arial"/>
                      <w:color w:val="FFFFFF" w:themeColor="background1"/>
                      <w:sz w:val="18"/>
                    </w:rPr>
                  </w:pPr>
                  <w:r w:rsidRPr="00CB3A2C">
                    <w:rPr>
                      <w:rFonts w:cs="Arial"/>
                      <w:color w:val="FFFFFF" w:themeColor="background1"/>
                      <w:sz w:val="18"/>
                    </w:rPr>
                    <w:t>Jun-12</w:t>
                  </w:r>
                </w:p>
              </w:tc>
              <w:tc>
                <w:tcPr>
                  <w:tcW w:w="1372" w:type="dxa"/>
                  <w:shd w:val="clear" w:color="auto" w:fill="A6A6A6" w:themeFill="background1" w:themeFillShade="A6"/>
                  <w:vAlign w:val="center"/>
                </w:tcPr>
                <w:p w:rsidR="001E6FB8" w:rsidRPr="00CB3A2C" w:rsidRDefault="001E6FB8" w:rsidP="001E6FB8">
                  <w:pPr>
                    <w:pStyle w:val="TableHeading"/>
                    <w:ind w:right="171"/>
                    <w:jc w:val="right"/>
                    <w:rPr>
                      <w:rFonts w:cs="Arial"/>
                      <w:color w:val="FFFFFF" w:themeColor="background1"/>
                      <w:sz w:val="18"/>
                    </w:rPr>
                  </w:pPr>
                  <w:r>
                    <w:rPr>
                      <w:rFonts w:cs="Arial"/>
                      <w:color w:val="FFFFFF" w:themeColor="background1"/>
                      <w:sz w:val="18"/>
                    </w:rPr>
                    <w:t>Jun</w:t>
                  </w:r>
                  <w:r w:rsidRPr="00CB3A2C">
                    <w:rPr>
                      <w:rFonts w:cs="Arial"/>
                      <w:color w:val="FFFFFF" w:themeColor="background1"/>
                      <w:sz w:val="18"/>
                    </w:rPr>
                    <w:t>-1</w:t>
                  </w:r>
                  <w:r>
                    <w:rPr>
                      <w:rFonts w:cs="Arial"/>
                      <w:color w:val="FFFFFF" w:themeColor="background1"/>
                      <w:sz w:val="18"/>
                    </w:rPr>
                    <w:t>3</w:t>
                  </w:r>
                </w:p>
              </w:tc>
              <w:tc>
                <w:tcPr>
                  <w:tcW w:w="1372" w:type="dxa"/>
                  <w:shd w:val="clear" w:color="auto" w:fill="A6A6A6" w:themeFill="background1" w:themeFillShade="A6"/>
                  <w:tcMar>
                    <w:left w:w="113" w:type="dxa"/>
                  </w:tcMar>
                  <w:vAlign w:val="center"/>
                </w:tcPr>
                <w:p w:rsidR="001E6FB8" w:rsidRPr="00CB3A2C" w:rsidRDefault="001E6FB8" w:rsidP="001E6FB8">
                  <w:pPr>
                    <w:pStyle w:val="TableHeading"/>
                    <w:ind w:right="91"/>
                    <w:jc w:val="right"/>
                    <w:rPr>
                      <w:rFonts w:cs="Arial"/>
                      <w:color w:val="FFFFFF" w:themeColor="background1"/>
                      <w:sz w:val="18"/>
                    </w:rPr>
                  </w:pPr>
                  <w:r w:rsidRPr="00CB3A2C">
                    <w:rPr>
                      <w:rFonts w:cs="Arial"/>
                      <w:color w:val="FFFFFF" w:themeColor="background1"/>
                      <w:sz w:val="18"/>
                    </w:rPr>
                    <w:t>% change</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Total internet service subscribers</w:t>
                  </w:r>
                  <w:r w:rsidRPr="00CB3A2C">
                    <w:rPr>
                      <w:rFonts w:cs="Arial"/>
                      <w:sz w:val="18"/>
                      <w:vertAlign w:val="superscript"/>
                    </w:rPr>
                    <w:t>‡</w:t>
                  </w:r>
                </w:p>
              </w:tc>
              <w:tc>
                <w:tcPr>
                  <w:tcW w:w="1371" w:type="dxa"/>
                  <w:vAlign w:val="center"/>
                </w:tcPr>
                <w:p w:rsidR="001E6FB8" w:rsidRPr="00CB3A2C" w:rsidRDefault="001E6FB8" w:rsidP="001E6FB8">
                  <w:pPr>
                    <w:ind w:right="171"/>
                    <w:jc w:val="right"/>
                    <w:rPr>
                      <w:rFonts w:cs="Arial"/>
                      <w:sz w:val="18"/>
                    </w:rPr>
                  </w:pPr>
                  <w:r w:rsidRPr="00CB3A2C">
                    <w:rPr>
                      <w:rFonts w:cs="Arial"/>
                      <w:sz w:val="18"/>
                    </w:rPr>
                    <w:t>28.23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32.00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+13%</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Internet subscribers by technology type</w:t>
                  </w:r>
                </w:p>
              </w:tc>
              <w:tc>
                <w:tcPr>
                  <w:tcW w:w="1371" w:type="dxa"/>
                  <w:vAlign w:val="center"/>
                </w:tcPr>
                <w:p w:rsidR="001E6FB8" w:rsidRPr="00CB3A2C" w:rsidRDefault="001E6FB8" w:rsidP="001E6FB8">
                  <w:pPr>
                    <w:ind w:right="171"/>
                    <w:jc w:val="right"/>
                    <w:rPr>
                      <w:rFonts w:cs="Arial"/>
                      <w:sz w:val="18"/>
                    </w:rPr>
                  </w:pPr>
                </w:p>
              </w:tc>
              <w:tc>
                <w:tcPr>
                  <w:tcW w:w="1372" w:type="dxa"/>
                  <w:vAlign w:val="center"/>
                </w:tcPr>
                <w:p w:rsidR="001E6FB8" w:rsidRPr="00CB3A2C" w:rsidRDefault="001E6FB8" w:rsidP="001E6FB8">
                  <w:pPr>
                    <w:ind w:right="171"/>
                    <w:jc w:val="right"/>
                    <w:rPr>
                      <w:rFonts w:cs="Arial"/>
                      <w:sz w:val="18"/>
                    </w:rPr>
                  </w:pP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 xml:space="preserve">Mobile phone handset internet </w:t>
                  </w:r>
                </w:p>
              </w:tc>
              <w:tc>
                <w:tcPr>
                  <w:tcW w:w="1371" w:type="dxa"/>
                  <w:vAlign w:val="center"/>
                </w:tcPr>
                <w:p w:rsidR="001E6FB8" w:rsidRPr="00CB3A2C" w:rsidRDefault="001E6FB8" w:rsidP="001E6FB8">
                  <w:pPr>
                    <w:ind w:right="171"/>
                    <w:jc w:val="right"/>
                    <w:rPr>
                      <w:rFonts w:cs="Arial"/>
                      <w:sz w:val="18"/>
                    </w:rPr>
                  </w:pPr>
                  <w:r>
                    <w:rPr>
                      <w:rFonts w:cs="Arial"/>
                      <w:sz w:val="18"/>
                    </w:rPr>
                    <w:t>16.19</w:t>
                  </w:r>
                  <w:r w:rsidRPr="00CB3A2C">
                    <w:rPr>
                      <w:rFonts w:cs="Arial"/>
                      <w:sz w:val="18"/>
                    </w:rPr>
                    <w:t xml:space="preserve">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19.65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+21%</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Mobile wireless broadband</w:t>
                  </w:r>
                  <w:r>
                    <w:rPr>
                      <w:rFonts w:cs="Arial"/>
                      <w:sz w:val="18"/>
                    </w:rPr>
                    <w:t xml:space="preserve"> </w:t>
                  </w:r>
                  <w:r>
                    <w:rPr>
                      <w:rFonts w:cs="Arial"/>
                      <w:sz w:val="18"/>
                    </w:rPr>
                    <w:br/>
                  </w:r>
                  <w:r w:rsidRPr="00CB3A2C">
                    <w:rPr>
                      <w:rFonts w:cs="Arial"/>
                      <w:sz w:val="18"/>
                    </w:rPr>
                    <w:t>(</w:t>
                  </w:r>
                  <w:r>
                    <w:rPr>
                      <w:rFonts w:cs="Arial"/>
                      <w:sz w:val="18"/>
                    </w:rPr>
                    <w:t xml:space="preserve">e.g., </w:t>
                  </w:r>
                  <w:r w:rsidRPr="00CB3A2C">
                    <w:rPr>
                      <w:rFonts w:cs="Arial"/>
                      <w:sz w:val="18"/>
                    </w:rPr>
                    <w:t>dongle/</w:t>
                  </w:r>
                  <w:proofErr w:type="spellStart"/>
                  <w:r w:rsidRPr="00CB3A2C">
                    <w:rPr>
                      <w:rFonts w:cs="Arial"/>
                      <w:sz w:val="18"/>
                    </w:rPr>
                    <w:t>datacard</w:t>
                  </w:r>
                  <w:proofErr w:type="spellEnd"/>
                  <w:r w:rsidRPr="00CB3A2C">
                    <w:rPr>
                      <w:rFonts w:cs="Arial"/>
                      <w:sz w:val="18"/>
                    </w:rPr>
                    <w:t xml:space="preserve"> services)</w:t>
                  </w:r>
                </w:p>
              </w:tc>
              <w:tc>
                <w:tcPr>
                  <w:tcW w:w="1371" w:type="dxa"/>
                  <w:vAlign w:val="center"/>
                </w:tcPr>
                <w:p w:rsidR="001E6FB8" w:rsidRPr="00CB3A2C" w:rsidRDefault="001E6FB8" w:rsidP="001E6FB8">
                  <w:pPr>
                    <w:ind w:right="171"/>
                    <w:jc w:val="right"/>
                    <w:rPr>
                      <w:rFonts w:cs="Arial"/>
                      <w:sz w:val="18"/>
                    </w:rPr>
                  </w:pPr>
                  <w:r w:rsidRPr="00CB3A2C">
                    <w:rPr>
                      <w:rFonts w:cs="Arial"/>
                      <w:sz w:val="18"/>
                    </w:rPr>
                    <w:t>5.</w:t>
                  </w:r>
                  <w:r>
                    <w:rPr>
                      <w:rFonts w:cs="Arial"/>
                      <w:sz w:val="18"/>
                    </w:rPr>
                    <w:t>86</w:t>
                  </w:r>
                  <w:r w:rsidRPr="00CB3A2C">
                    <w:rPr>
                      <w:rFonts w:cs="Arial"/>
                      <w:sz w:val="18"/>
                    </w:rPr>
                    <w:t xml:space="preserve">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6.15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+5%</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ADSL</w:t>
                  </w:r>
                </w:p>
              </w:tc>
              <w:tc>
                <w:tcPr>
                  <w:tcW w:w="1371" w:type="dxa"/>
                  <w:vAlign w:val="center"/>
                </w:tcPr>
                <w:p w:rsidR="001E6FB8" w:rsidRPr="00CB3A2C" w:rsidRDefault="001E6FB8" w:rsidP="001E6FB8">
                  <w:pPr>
                    <w:ind w:right="171"/>
                    <w:jc w:val="right"/>
                    <w:rPr>
                      <w:rFonts w:cs="Arial"/>
                      <w:sz w:val="18"/>
                    </w:rPr>
                  </w:pPr>
                  <w:r w:rsidRPr="00CB3A2C">
                    <w:rPr>
                      <w:rFonts w:cs="Arial"/>
                      <w:sz w:val="18"/>
                    </w:rPr>
                    <w:t>4.63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4.79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+3%</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Cable</w:t>
                  </w:r>
                </w:p>
              </w:tc>
              <w:tc>
                <w:tcPr>
                  <w:tcW w:w="1371" w:type="dxa"/>
                  <w:vAlign w:val="center"/>
                </w:tcPr>
                <w:p w:rsidR="001E6FB8" w:rsidRPr="00CB3A2C" w:rsidRDefault="001E6FB8" w:rsidP="001E6FB8">
                  <w:pPr>
                    <w:ind w:right="171"/>
                    <w:jc w:val="right"/>
                    <w:rPr>
                      <w:rFonts w:cs="Arial"/>
                      <w:color w:val="808285"/>
                      <w:spacing w:val="-28"/>
                      <w:sz w:val="18"/>
                    </w:rPr>
                  </w:pPr>
                  <w:r w:rsidRPr="00CB3A2C">
                    <w:rPr>
                      <w:rFonts w:cs="Arial"/>
                      <w:sz w:val="18"/>
                    </w:rPr>
                    <w:t>0.917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0.934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+2%</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Dial-up</w:t>
                  </w:r>
                </w:p>
              </w:tc>
              <w:tc>
                <w:tcPr>
                  <w:tcW w:w="1371" w:type="dxa"/>
                  <w:vAlign w:val="center"/>
                </w:tcPr>
                <w:p w:rsidR="001E6FB8" w:rsidRPr="00CB3A2C" w:rsidRDefault="001E6FB8" w:rsidP="001E6FB8">
                  <w:pPr>
                    <w:ind w:right="171"/>
                    <w:jc w:val="right"/>
                    <w:rPr>
                      <w:rFonts w:cs="Arial"/>
                      <w:sz w:val="18"/>
                    </w:rPr>
                  </w:pPr>
                  <w:r w:rsidRPr="00CB3A2C">
                    <w:rPr>
                      <w:rFonts w:cs="Arial"/>
                      <w:sz w:val="18"/>
                    </w:rPr>
                    <w:t>0.439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0.227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w:t>
                  </w:r>
                  <w:r w:rsidRPr="00CB3A2C">
                    <w:rPr>
                      <w:rFonts w:cs="Arial"/>
                      <w:sz w:val="18"/>
                    </w:rPr>
                    <w:t>48%</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Satellite</w:t>
                  </w:r>
                </w:p>
              </w:tc>
              <w:tc>
                <w:tcPr>
                  <w:tcW w:w="1371" w:type="dxa"/>
                  <w:vAlign w:val="center"/>
                </w:tcPr>
                <w:p w:rsidR="001E6FB8" w:rsidRPr="00CB3A2C" w:rsidRDefault="001E6FB8" w:rsidP="001E6FB8">
                  <w:pPr>
                    <w:ind w:right="171"/>
                    <w:jc w:val="right"/>
                    <w:rPr>
                      <w:rFonts w:cs="Arial"/>
                      <w:sz w:val="18"/>
                    </w:rPr>
                  </w:pPr>
                  <w:r w:rsidRPr="00CB3A2C">
                    <w:rPr>
                      <w:rFonts w:cs="Arial"/>
                      <w:sz w:val="18"/>
                    </w:rPr>
                    <w:t>0.094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0.093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w:t>
                  </w:r>
                  <w:r w:rsidRPr="00CB3A2C">
                    <w:rPr>
                      <w:rFonts w:cs="Arial"/>
                      <w:sz w:val="18"/>
                    </w:rPr>
                    <w:t>1%</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Fibre</w:t>
                  </w:r>
                </w:p>
              </w:tc>
              <w:tc>
                <w:tcPr>
                  <w:tcW w:w="1371" w:type="dxa"/>
                  <w:vAlign w:val="center"/>
                </w:tcPr>
                <w:p w:rsidR="001E6FB8" w:rsidRPr="00CB3A2C" w:rsidRDefault="001E6FB8" w:rsidP="001E6FB8">
                  <w:pPr>
                    <w:ind w:right="171"/>
                    <w:jc w:val="right"/>
                    <w:rPr>
                      <w:rFonts w:cs="Arial"/>
                      <w:color w:val="808285"/>
                      <w:spacing w:val="-28"/>
                      <w:sz w:val="18"/>
                    </w:rPr>
                  </w:pPr>
                  <w:r w:rsidRPr="00CB3A2C">
                    <w:rPr>
                      <w:rFonts w:cs="Arial"/>
                      <w:sz w:val="18"/>
                    </w:rPr>
                    <w:t>0.052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0.115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+121%</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Fixed wireless</w:t>
                  </w:r>
                  <w:r w:rsidRPr="00CB3A2C">
                    <w:rPr>
                      <w:rFonts w:cs="Arial"/>
                      <w:sz w:val="18"/>
                      <w:vertAlign w:val="superscript"/>
                    </w:rPr>
                    <w:t>#</w:t>
                  </w:r>
                </w:p>
              </w:tc>
              <w:tc>
                <w:tcPr>
                  <w:tcW w:w="1371" w:type="dxa"/>
                  <w:vAlign w:val="center"/>
                </w:tcPr>
                <w:p w:rsidR="001E6FB8" w:rsidRPr="00CB3A2C" w:rsidRDefault="001E6FB8" w:rsidP="001E6FB8">
                  <w:pPr>
                    <w:ind w:right="171"/>
                    <w:jc w:val="right"/>
                    <w:rPr>
                      <w:rFonts w:cs="Arial"/>
                      <w:sz w:val="18"/>
                    </w:rPr>
                  </w:pPr>
                  <w:r w:rsidRPr="00CB3A2C">
                    <w:rPr>
                      <w:rFonts w:cs="Arial"/>
                      <w:sz w:val="18"/>
                    </w:rPr>
                    <w:t>0.030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0.049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+63%</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sidRPr="00CB3A2C">
                    <w:rPr>
                      <w:rFonts w:cs="Arial"/>
                      <w:sz w:val="18"/>
                    </w:rPr>
                    <w:t>Other</w:t>
                  </w:r>
                </w:p>
              </w:tc>
              <w:tc>
                <w:tcPr>
                  <w:tcW w:w="1371" w:type="dxa"/>
                  <w:vAlign w:val="center"/>
                </w:tcPr>
                <w:p w:rsidR="001E6FB8" w:rsidRPr="00CB3A2C" w:rsidRDefault="001E6FB8" w:rsidP="001E6FB8">
                  <w:pPr>
                    <w:ind w:right="171"/>
                    <w:jc w:val="right"/>
                    <w:rPr>
                      <w:rFonts w:cs="Arial"/>
                      <w:sz w:val="18"/>
                    </w:rPr>
                  </w:pPr>
                  <w:r w:rsidRPr="00CB3A2C">
                    <w:rPr>
                      <w:rFonts w:cs="Arial"/>
                      <w:sz w:val="18"/>
                    </w:rPr>
                    <w:t>0.010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0.003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w:t>
                  </w:r>
                  <w:r w:rsidRPr="00CB3A2C">
                    <w:rPr>
                      <w:rFonts w:cs="Arial"/>
                      <w:sz w:val="18"/>
                    </w:rPr>
                    <w:t>70%</w:t>
                  </w:r>
                </w:p>
              </w:tc>
            </w:tr>
          </w:tbl>
          <w:p w:rsidR="001E6FB8" w:rsidRPr="00CB3A2C" w:rsidRDefault="001E6FB8" w:rsidP="001E6FB8">
            <w:pPr>
              <w:rPr>
                <w:rFonts w:cs="Arial"/>
              </w:rPr>
            </w:pPr>
          </w:p>
        </w:tc>
      </w:tr>
      <w:tr w:rsidR="001E6FB8" w:rsidTr="001E6FB8">
        <w:trPr>
          <w:trHeight w:val="291"/>
        </w:trPr>
        <w:tc>
          <w:tcPr>
            <w:tcW w:w="9645" w:type="dxa"/>
            <w:tcBorders>
              <w:bottom w:val="single" w:sz="2" w:space="0" w:color="505050"/>
            </w:tcBorders>
            <w:shd w:val="clear" w:color="auto" w:fill="auto"/>
          </w:tcPr>
          <w:p w:rsidR="001E6FB8" w:rsidRPr="00CB3A2C" w:rsidRDefault="001E6FB8" w:rsidP="001E6FB8">
            <w:pPr>
              <w:spacing w:before="60" w:line="240" w:lineRule="auto"/>
              <w:rPr>
                <w:rFonts w:cs="Arial"/>
                <w:i/>
                <w:iCs/>
                <w:sz w:val="16"/>
                <w:szCs w:val="14"/>
              </w:rPr>
            </w:pPr>
            <w:r w:rsidRPr="00CB3A2C">
              <w:rPr>
                <w:rFonts w:cs="Arial"/>
                <w:i/>
                <w:iCs/>
                <w:sz w:val="16"/>
                <w:szCs w:val="14"/>
              </w:rPr>
              <w:t>m=million.</w:t>
            </w:r>
          </w:p>
          <w:p w:rsidR="001E6FB8" w:rsidRPr="00CB3A2C" w:rsidRDefault="001E6FB8" w:rsidP="001E6FB8">
            <w:pPr>
              <w:spacing w:line="240" w:lineRule="auto"/>
              <w:rPr>
                <w:rFonts w:cs="Arial"/>
                <w:i/>
                <w:iCs/>
                <w:sz w:val="16"/>
                <w:szCs w:val="16"/>
              </w:rPr>
            </w:pPr>
            <w:r>
              <w:rPr>
                <w:rFonts w:cs="Arial"/>
                <w:i/>
                <w:iCs/>
                <w:sz w:val="16"/>
                <w:szCs w:val="16"/>
              </w:rPr>
              <w:t xml:space="preserve">*Sum of </w:t>
            </w:r>
            <w:r w:rsidRPr="00CB3A2C">
              <w:rPr>
                <w:rFonts w:cs="Arial"/>
                <w:i/>
                <w:iCs/>
                <w:sz w:val="16"/>
                <w:szCs w:val="16"/>
              </w:rPr>
              <w:t>mobile phone handset and mobile wireless broadband subscribers.</w:t>
            </w:r>
          </w:p>
          <w:p w:rsidR="001E6FB8" w:rsidRPr="00CB3A2C" w:rsidRDefault="001E6FB8" w:rsidP="001E6FB8">
            <w:pPr>
              <w:spacing w:line="240" w:lineRule="auto"/>
              <w:rPr>
                <w:rFonts w:cs="Arial"/>
                <w:i/>
                <w:iCs/>
                <w:sz w:val="16"/>
                <w:szCs w:val="16"/>
              </w:rPr>
            </w:pPr>
            <w:r w:rsidRPr="00845280">
              <w:rPr>
                <w:rFonts w:cs="Arial"/>
                <w:i/>
                <w:iCs/>
                <w:sz w:val="16"/>
                <w:szCs w:val="16"/>
                <w:vertAlign w:val="superscript"/>
              </w:rPr>
              <w:t>†</w:t>
            </w:r>
            <w:r w:rsidRPr="00CB3A2C">
              <w:rPr>
                <w:rFonts w:cs="Arial"/>
                <w:i/>
                <w:iCs/>
                <w:sz w:val="16"/>
                <w:szCs w:val="16"/>
              </w:rPr>
              <w:t>Includes PSTN and other fixed-line telephone services.</w:t>
            </w:r>
          </w:p>
          <w:p w:rsidR="001E6FB8" w:rsidRPr="00CB3A2C" w:rsidRDefault="001E6FB8" w:rsidP="001E6FB8">
            <w:pPr>
              <w:spacing w:line="240" w:lineRule="auto"/>
              <w:rPr>
                <w:rFonts w:cs="Arial"/>
                <w:i/>
                <w:iCs/>
                <w:sz w:val="16"/>
                <w:szCs w:val="16"/>
              </w:rPr>
            </w:pPr>
            <w:r w:rsidRPr="0036793D">
              <w:rPr>
                <w:rFonts w:cs="Arial"/>
                <w:i/>
                <w:iCs/>
                <w:sz w:val="16"/>
                <w:szCs w:val="16"/>
                <w:vertAlign w:val="superscript"/>
              </w:rPr>
              <w:t>§</w:t>
            </w:r>
            <w:r w:rsidRPr="00CB3A2C">
              <w:rPr>
                <w:rFonts w:cs="Arial"/>
                <w:i/>
                <w:iCs/>
                <w:sz w:val="16"/>
                <w:szCs w:val="16"/>
              </w:rPr>
              <w:t xml:space="preserve">Estimates relates to </w:t>
            </w:r>
            <w:r>
              <w:rPr>
                <w:rFonts w:cs="Arial"/>
                <w:i/>
                <w:iCs/>
                <w:sz w:val="16"/>
                <w:szCs w:val="16"/>
              </w:rPr>
              <w:t>people</w:t>
            </w:r>
            <w:r w:rsidRPr="00CB3A2C">
              <w:rPr>
                <w:rFonts w:cs="Arial"/>
                <w:i/>
                <w:iCs/>
                <w:sz w:val="16"/>
                <w:szCs w:val="16"/>
              </w:rPr>
              <w:t xml:space="preserve"> aged 18 years and over.</w:t>
            </w:r>
          </w:p>
          <w:p w:rsidR="001E6FB8" w:rsidRPr="00CB3A2C" w:rsidRDefault="001E6FB8" w:rsidP="001E6FB8">
            <w:pPr>
              <w:spacing w:line="240" w:lineRule="auto"/>
              <w:rPr>
                <w:rFonts w:cs="Arial"/>
                <w:i/>
                <w:sz w:val="16"/>
                <w:szCs w:val="16"/>
              </w:rPr>
            </w:pPr>
            <w:r w:rsidRPr="00845280">
              <w:rPr>
                <w:rFonts w:cs="Arial"/>
                <w:i/>
                <w:iCs/>
                <w:sz w:val="16"/>
                <w:szCs w:val="16"/>
                <w:vertAlign w:val="superscript"/>
              </w:rPr>
              <w:t>#</w:t>
            </w:r>
            <w:r w:rsidRPr="00CB3A2C">
              <w:rPr>
                <w:rFonts w:cs="Arial"/>
                <w:i/>
                <w:sz w:val="16"/>
                <w:szCs w:val="16"/>
              </w:rPr>
              <w:t xml:space="preserve">Fixed wireless, for example </w:t>
            </w:r>
            <w:proofErr w:type="spellStart"/>
            <w:r w:rsidRPr="00CB3A2C">
              <w:rPr>
                <w:rFonts w:cs="Arial"/>
                <w:i/>
                <w:sz w:val="16"/>
                <w:szCs w:val="16"/>
              </w:rPr>
              <w:t>WiMAX</w:t>
            </w:r>
            <w:proofErr w:type="spellEnd"/>
            <w:r w:rsidRPr="00CB3A2C">
              <w:rPr>
                <w:rFonts w:cs="Arial"/>
                <w:i/>
                <w:sz w:val="16"/>
                <w:szCs w:val="16"/>
              </w:rPr>
              <w:t>, uses an air interface to connect an internet service. An antenna installed at the customer’s premises receives signals from the service provider’s base station.</w:t>
            </w:r>
          </w:p>
          <w:p w:rsidR="001E6FB8" w:rsidRPr="00CB3A2C" w:rsidRDefault="001E6FB8" w:rsidP="001E6FB8">
            <w:pPr>
              <w:spacing w:line="240" w:lineRule="auto"/>
              <w:rPr>
                <w:rFonts w:cs="Arial"/>
                <w:i/>
                <w:iCs/>
                <w:sz w:val="16"/>
                <w:szCs w:val="16"/>
              </w:rPr>
            </w:pPr>
            <w:r w:rsidRPr="00CB3A2C">
              <w:rPr>
                <w:rFonts w:cs="Arial"/>
                <w:sz w:val="18"/>
                <w:vertAlign w:val="superscript"/>
              </w:rPr>
              <w:t>‡</w:t>
            </w:r>
            <w:r w:rsidRPr="00CB3A2C">
              <w:rPr>
                <w:rFonts w:cs="Arial"/>
                <w:i/>
                <w:iCs/>
                <w:sz w:val="16"/>
                <w:szCs w:val="16"/>
              </w:rPr>
              <w:t>Including mobile phone handset and mobile wireless broadband subscribers.</w:t>
            </w:r>
          </w:p>
          <w:p w:rsidR="001E6FB8" w:rsidRPr="00CB3A2C" w:rsidRDefault="001E6FB8" w:rsidP="001E6FB8">
            <w:pPr>
              <w:spacing w:after="60" w:line="240" w:lineRule="auto"/>
              <w:rPr>
                <w:rFonts w:cs="Arial"/>
              </w:rPr>
            </w:pPr>
            <w:r w:rsidRPr="00CB3A2C">
              <w:rPr>
                <w:rFonts w:cs="Arial"/>
                <w:i/>
                <w:sz w:val="16"/>
                <w:szCs w:val="16"/>
              </w:rPr>
              <w:t>Note: Counts of subscribers published prior in previous communications reports may vary due to ABS revisions.</w:t>
            </w:r>
          </w:p>
        </w:tc>
      </w:tr>
    </w:tbl>
    <w:p w:rsidR="001E6FB8" w:rsidRDefault="001E6FB8" w:rsidP="001E6FB8"/>
    <w:tbl>
      <w:tblPr>
        <w:tblW w:w="9645" w:type="dxa"/>
        <w:tblLayout w:type="fixed"/>
        <w:tblCellMar>
          <w:left w:w="0" w:type="dxa"/>
          <w:right w:w="0" w:type="dxa"/>
        </w:tblCellMar>
        <w:tblLook w:val="01E0"/>
      </w:tblPr>
      <w:tblGrid>
        <w:gridCol w:w="9645"/>
      </w:tblGrid>
      <w:tr w:rsidR="001E6FB8" w:rsidRPr="00CA48DE"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pageBreakBefore/>
              <w:rPr>
                <w:color w:val="00709E"/>
              </w:rPr>
            </w:pPr>
            <w:r w:rsidRPr="00CA48DE">
              <w:rPr>
                <w:rFonts w:cs="Arial"/>
                <w:color w:val="00709E"/>
              </w:rPr>
              <w:t>Regulated or contracted services</w:t>
            </w:r>
          </w:p>
        </w:tc>
      </w:tr>
      <w:tr w:rsidR="001E6FB8" w:rsidTr="001E6FB8">
        <w:trPr>
          <w:trHeight w:val="3086"/>
        </w:trPr>
        <w:tc>
          <w:tcPr>
            <w:tcW w:w="9645" w:type="dxa"/>
            <w:shd w:val="clear" w:color="auto" w:fill="auto"/>
            <w:tcMar>
              <w:left w:w="28" w:type="dxa"/>
            </w:tcMar>
          </w:tcPr>
          <w:tbl>
            <w:tblPr>
              <w:tblW w:w="961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496"/>
              <w:gridCol w:w="1371"/>
              <w:gridCol w:w="1372"/>
              <w:gridCol w:w="1372"/>
            </w:tblGrid>
            <w:tr w:rsidR="001E6FB8" w:rsidRPr="00CB3A2C" w:rsidTr="001E6FB8">
              <w:trPr>
                <w:trHeight w:val="381"/>
              </w:trPr>
              <w:tc>
                <w:tcPr>
                  <w:tcW w:w="5496" w:type="dxa"/>
                  <w:shd w:val="clear" w:color="auto" w:fill="00709E"/>
                  <w:tcMar>
                    <w:top w:w="34" w:type="dxa"/>
                    <w:left w:w="113" w:type="dxa"/>
                  </w:tcMar>
                  <w:vAlign w:val="center"/>
                </w:tcPr>
                <w:p w:rsidR="001E6FB8" w:rsidRPr="00CB3A2C" w:rsidRDefault="001E6FB8" w:rsidP="001E6FB8">
                  <w:pPr>
                    <w:pStyle w:val="TableHeading"/>
                    <w:jc w:val="right"/>
                    <w:rPr>
                      <w:rFonts w:cs="Arial"/>
                      <w:color w:val="FFFFFF" w:themeColor="background1"/>
                      <w:sz w:val="18"/>
                    </w:rPr>
                  </w:pPr>
                </w:p>
              </w:tc>
              <w:tc>
                <w:tcPr>
                  <w:tcW w:w="1371" w:type="dxa"/>
                  <w:shd w:val="clear" w:color="auto" w:fill="00709E"/>
                  <w:vAlign w:val="center"/>
                </w:tcPr>
                <w:p w:rsidR="001E6FB8" w:rsidRPr="00CB3A2C" w:rsidRDefault="001E6FB8" w:rsidP="001E6FB8">
                  <w:pPr>
                    <w:pStyle w:val="TableHeading"/>
                    <w:ind w:right="141"/>
                    <w:jc w:val="right"/>
                    <w:rPr>
                      <w:rFonts w:cs="Arial"/>
                      <w:color w:val="FFFFFF" w:themeColor="background1"/>
                      <w:sz w:val="18"/>
                    </w:rPr>
                  </w:pPr>
                  <w:r w:rsidRPr="00CB3A2C">
                    <w:rPr>
                      <w:rFonts w:cs="Arial"/>
                      <w:color w:val="FFFFFF" w:themeColor="background1"/>
                      <w:sz w:val="18"/>
                    </w:rPr>
                    <w:t>Jun-12</w:t>
                  </w:r>
                </w:p>
              </w:tc>
              <w:tc>
                <w:tcPr>
                  <w:tcW w:w="1372" w:type="dxa"/>
                  <w:shd w:val="clear" w:color="auto" w:fill="00709E"/>
                  <w:vAlign w:val="center"/>
                </w:tcPr>
                <w:p w:rsidR="001E6FB8" w:rsidRPr="00CB3A2C" w:rsidRDefault="001E6FB8" w:rsidP="001E6FB8">
                  <w:pPr>
                    <w:pStyle w:val="TableHeading"/>
                    <w:ind w:right="171"/>
                    <w:jc w:val="right"/>
                    <w:rPr>
                      <w:rFonts w:cs="Arial"/>
                      <w:color w:val="FFFFFF" w:themeColor="background1"/>
                      <w:sz w:val="18"/>
                    </w:rPr>
                  </w:pPr>
                  <w:r w:rsidRPr="00CB3A2C">
                    <w:rPr>
                      <w:rFonts w:cs="Arial"/>
                      <w:color w:val="FFFFFF" w:themeColor="background1"/>
                      <w:sz w:val="18"/>
                    </w:rPr>
                    <w:t>Jun-13</w:t>
                  </w:r>
                </w:p>
              </w:tc>
              <w:tc>
                <w:tcPr>
                  <w:tcW w:w="1372" w:type="dxa"/>
                  <w:shd w:val="clear" w:color="auto" w:fill="00709E"/>
                  <w:tcMar>
                    <w:left w:w="113" w:type="dxa"/>
                  </w:tcMar>
                  <w:vAlign w:val="center"/>
                </w:tcPr>
                <w:p w:rsidR="001E6FB8" w:rsidRPr="00CB3A2C" w:rsidRDefault="001E6FB8" w:rsidP="001E6FB8">
                  <w:pPr>
                    <w:pStyle w:val="TableHeading"/>
                    <w:ind w:right="91"/>
                    <w:jc w:val="right"/>
                    <w:rPr>
                      <w:rFonts w:cs="Arial"/>
                      <w:color w:val="FFFFFF" w:themeColor="background1"/>
                      <w:sz w:val="18"/>
                    </w:rPr>
                  </w:pPr>
                  <w:r w:rsidRPr="00CB3A2C">
                    <w:rPr>
                      <w:rFonts w:cs="Arial"/>
                      <w:color w:val="FFFFFF" w:themeColor="background1"/>
                      <w:sz w:val="18"/>
                    </w:rPr>
                    <w:t xml:space="preserve">% change </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 xml:space="preserve">Payphones (Telstra-operated and privately owned) </w:t>
                  </w:r>
                </w:p>
              </w:tc>
              <w:tc>
                <w:tcPr>
                  <w:tcW w:w="1371" w:type="dxa"/>
                  <w:vAlign w:val="center"/>
                </w:tcPr>
                <w:p w:rsidR="001E6FB8" w:rsidRPr="00CB3A2C" w:rsidRDefault="001E6FB8" w:rsidP="001E6FB8">
                  <w:pPr>
                    <w:ind w:right="171"/>
                    <w:jc w:val="right"/>
                    <w:rPr>
                      <w:rFonts w:cs="Arial"/>
                      <w:sz w:val="18"/>
                    </w:rPr>
                  </w:pPr>
                  <w:r w:rsidRPr="00CB3A2C">
                    <w:rPr>
                      <w:rFonts w:cs="Arial"/>
                      <w:sz w:val="18"/>
                    </w:rPr>
                    <w:t>31,032</w:t>
                  </w:r>
                </w:p>
              </w:tc>
              <w:tc>
                <w:tcPr>
                  <w:tcW w:w="1372" w:type="dxa"/>
                  <w:vAlign w:val="center"/>
                </w:tcPr>
                <w:p w:rsidR="001E6FB8" w:rsidRPr="00CB3A2C" w:rsidRDefault="001E6FB8" w:rsidP="001E6FB8">
                  <w:pPr>
                    <w:ind w:right="171"/>
                    <w:jc w:val="right"/>
                    <w:rPr>
                      <w:rFonts w:cs="Arial"/>
                      <w:sz w:val="18"/>
                    </w:rPr>
                  </w:pPr>
                  <w:r w:rsidRPr="00CB3A2C">
                    <w:rPr>
                      <w:rFonts w:cs="Arial"/>
                      <w:sz w:val="18"/>
                    </w:rPr>
                    <w:t>29,523</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w:t>
                  </w:r>
                  <w:r w:rsidRPr="00CB3A2C">
                    <w:rPr>
                      <w:rFonts w:cs="Arial"/>
                      <w:sz w:val="18"/>
                    </w:rPr>
                    <w:t>5%</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Number of telephone services covered by the CSG Standard</w:t>
                  </w:r>
                </w:p>
              </w:tc>
              <w:tc>
                <w:tcPr>
                  <w:tcW w:w="1371" w:type="dxa"/>
                  <w:vAlign w:val="center"/>
                </w:tcPr>
                <w:p w:rsidR="001E6FB8" w:rsidRPr="00CB3A2C" w:rsidRDefault="001E6FB8" w:rsidP="001E6FB8">
                  <w:pPr>
                    <w:ind w:right="171"/>
                    <w:jc w:val="right"/>
                    <w:rPr>
                      <w:rFonts w:cs="Arial"/>
                      <w:sz w:val="18"/>
                    </w:rPr>
                  </w:pPr>
                  <w:r w:rsidRPr="00CB3A2C">
                    <w:rPr>
                      <w:rFonts w:cs="Arial"/>
                      <w:sz w:val="18"/>
                    </w:rPr>
                    <w:t>7.12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6.68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w:t>
                  </w:r>
                  <w:r w:rsidRPr="00CB3A2C">
                    <w:rPr>
                      <w:rFonts w:cs="Arial"/>
                      <w:sz w:val="18"/>
                    </w:rPr>
                    <w:t>6%</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CSP customers who have waived their rights under the CSG</w:t>
                  </w:r>
                </w:p>
              </w:tc>
              <w:tc>
                <w:tcPr>
                  <w:tcW w:w="1371" w:type="dxa"/>
                  <w:vAlign w:val="center"/>
                </w:tcPr>
                <w:p w:rsidR="001E6FB8" w:rsidRPr="00CB3A2C" w:rsidRDefault="001E6FB8" w:rsidP="001E6FB8">
                  <w:pPr>
                    <w:ind w:right="171"/>
                    <w:jc w:val="right"/>
                    <w:rPr>
                      <w:rFonts w:cs="Arial"/>
                      <w:sz w:val="18"/>
                    </w:rPr>
                  </w:pPr>
                  <w:r w:rsidRPr="00CB3A2C">
                    <w:rPr>
                      <w:rFonts w:cs="Arial"/>
                      <w:sz w:val="18"/>
                    </w:rPr>
                    <w:t>0.228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0.248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+9%</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 xml:space="preserve">Number of CSG compensation payments made* </w:t>
                  </w:r>
                </w:p>
              </w:tc>
              <w:tc>
                <w:tcPr>
                  <w:tcW w:w="1371" w:type="dxa"/>
                  <w:vAlign w:val="center"/>
                </w:tcPr>
                <w:p w:rsidR="001E6FB8" w:rsidRPr="00CB3A2C" w:rsidRDefault="001E6FB8" w:rsidP="001E6FB8">
                  <w:pPr>
                    <w:ind w:right="171"/>
                    <w:jc w:val="right"/>
                    <w:rPr>
                      <w:rFonts w:cs="Arial"/>
                      <w:sz w:val="18"/>
                    </w:rPr>
                  </w:pPr>
                  <w:r w:rsidRPr="00CB3A2C">
                    <w:rPr>
                      <w:rFonts w:cs="Arial"/>
                      <w:sz w:val="18"/>
                    </w:rPr>
                    <w:t>0.166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0.175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+5%</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 xml:space="preserve">Value of CSG compensation payments made* </w:t>
                  </w:r>
                </w:p>
              </w:tc>
              <w:tc>
                <w:tcPr>
                  <w:tcW w:w="1371" w:type="dxa"/>
                  <w:vAlign w:val="center"/>
                </w:tcPr>
                <w:p w:rsidR="001E6FB8" w:rsidRPr="00CB3A2C" w:rsidRDefault="001E6FB8" w:rsidP="001E6FB8">
                  <w:pPr>
                    <w:ind w:right="171"/>
                    <w:jc w:val="right"/>
                    <w:rPr>
                      <w:rFonts w:cs="Arial"/>
                      <w:sz w:val="18"/>
                    </w:rPr>
                  </w:pPr>
                  <w:r w:rsidRPr="00CB3A2C">
                    <w:rPr>
                      <w:rFonts w:cs="Arial"/>
                      <w:sz w:val="18"/>
                    </w:rPr>
                    <w:t>$5.77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$7.89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+37%</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Number of priority assistance customers</w:t>
                  </w:r>
                </w:p>
              </w:tc>
              <w:tc>
                <w:tcPr>
                  <w:tcW w:w="1371" w:type="dxa"/>
                  <w:vAlign w:val="center"/>
                </w:tcPr>
                <w:p w:rsidR="001E6FB8" w:rsidRPr="00CB3A2C" w:rsidRDefault="001E6FB8" w:rsidP="001E6FB8">
                  <w:pPr>
                    <w:ind w:right="171"/>
                    <w:jc w:val="right"/>
                    <w:rPr>
                      <w:rFonts w:cs="Arial"/>
                      <w:sz w:val="18"/>
                    </w:rPr>
                  </w:pPr>
                  <w:r w:rsidRPr="00CB3A2C">
                    <w:rPr>
                      <w:rFonts w:cs="Arial"/>
                      <w:sz w:val="18"/>
                    </w:rPr>
                    <w:t>0.222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0.257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+16%</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NRS call minutes relayed (financial year ending)</w:t>
                  </w:r>
                </w:p>
              </w:tc>
              <w:tc>
                <w:tcPr>
                  <w:tcW w:w="1371" w:type="dxa"/>
                  <w:vAlign w:val="center"/>
                </w:tcPr>
                <w:p w:rsidR="001E6FB8" w:rsidRPr="00CB3A2C" w:rsidRDefault="001E6FB8" w:rsidP="001E6FB8">
                  <w:pPr>
                    <w:ind w:right="171"/>
                    <w:jc w:val="right"/>
                    <w:rPr>
                      <w:rFonts w:cs="Arial"/>
                      <w:sz w:val="18"/>
                    </w:rPr>
                  </w:pPr>
                  <w:r w:rsidRPr="00CB3A2C">
                    <w:rPr>
                      <w:rFonts w:cs="Arial"/>
                      <w:sz w:val="18"/>
                    </w:rPr>
                    <w:t>2.97 m</w:t>
                  </w:r>
                </w:p>
              </w:tc>
              <w:tc>
                <w:tcPr>
                  <w:tcW w:w="1372" w:type="dxa"/>
                  <w:vAlign w:val="center"/>
                </w:tcPr>
                <w:p w:rsidR="001E6FB8" w:rsidRPr="00CB3A2C" w:rsidRDefault="001E6FB8" w:rsidP="001E6FB8">
                  <w:pPr>
                    <w:ind w:right="171"/>
                    <w:jc w:val="right"/>
                    <w:rPr>
                      <w:rFonts w:cs="Arial"/>
                      <w:sz w:val="18"/>
                    </w:rPr>
                  </w:pPr>
                  <w:r w:rsidRPr="00CB3A2C">
                    <w:rPr>
                      <w:rFonts w:cs="Arial"/>
                      <w:sz w:val="18"/>
                    </w:rPr>
                    <w:t>3.06 m</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sidRPr="00CB3A2C">
                    <w:rPr>
                      <w:rFonts w:cs="Arial"/>
                      <w:sz w:val="18"/>
                    </w:rPr>
                    <w:t>+3%</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CB3A2C" w:rsidRDefault="001E6FB8" w:rsidP="001E6FB8">
            <w:pPr>
              <w:spacing w:line="240" w:lineRule="auto"/>
              <w:rPr>
                <w:rFonts w:cs="Arial"/>
              </w:rPr>
            </w:pPr>
            <w:r w:rsidRPr="00CB3A2C">
              <w:rPr>
                <w:rFonts w:cs="Arial"/>
                <w:i/>
                <w:iCs/>
                <w:sz w:val="16"/>
                <w:szCs w:val="14"/>
              </w:rPr>
              <w:t>m=million.</w:t>
            </w:r>
          </w:p>
          <w:p w:rsidR="001E6FB8" w:rsidRDefault="001E6FB8" w:rsidP="001E6FB8">
            <w:pPr>
              <w:spacing w:after="60" w:line="240" w:lineRule="auto"/>
            </w:pPr>
            <w:r w:rsidRPr="00CB3A2C">
              <w:rPr>
                <w:rFonts w:cs="Arial"/>
                <w:i/>
                <w:iCs/>
                <w:sz w:val="16"/>
                <w:szCs w:val="16"/>
              </w:rPr>
              <w:t>*Relates to the number and value of compensation payments made by CSPs to customers occurring durin</w:t>
            </w:r>
            <w:r>
              <w:rPr>
                <w:rFonts w:cs="Arial"/>
                <w:i/>
                <w:iCs/>
                <w:sz w:val="16"/>
                <w:szCs w:val="16"/>
              </w:rPr>
              <w:t>g the financial year</w:t>
            </w:r>
            <w:r w:rsidRPr="00CB3A2C">
              <w:rPr>
                <w:rFonts w:cs="Arial"/>
                <w:i/>
                <w:iCs/>
                <w:sz w:val="16"/>
                <w:szCs w:val="16"/>
              </w:rPr>
              <w:t>.</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rPr>
                <w:color w:val="00709E"/>
              </w:rPr>
            </w:pPr>
            <w:r w:rsidRPr="00CA48DE">
              <w:rPr>
                <w:rFonts w:cs="Arial"/>
                <w:color w:val="00709E"/>
              </w:rPr>
              <w:t>Communication network and service providers</w:t>
            </w:r>
          </w:p>
        </w:tc>
      </w:tr>
      <w:tr w:rsidR="001E6FB8" w:rsidTr="001E6FB8">
        <w:trPr>
          <w:trHeight w:val="2249"/>
        </w:trPr>
        <w:tc>
          <w:tcPr>
            <w:tcW w:w="9645" w:type="dxa"/>
            <w:shd w:val="clear" w:color="auto" w:fill="auto"/>
            <w:tcMar>
              <w:left w:w="28" w:type="dxa"/>
            </w:tcMar>
          </w:tcPr>
          <w:tbl>
            <w:tblPr>
              <w:tblW w:w="961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496"/>
              <w:gridCol w:w="1371"/>
              <w:gridCol w:w="1372"/>
              <w:gridCol w:w="1372"/>
            </w:tblGrid>
            <w:tr w:rsidR="001E6FB8" w:rsidRPr="00CB3A2C" w:rsidTr="001E6FB8">
              <w:trPr>
                <w:trHeight w:val="381"/>
              </w:trPr>
              <w:tc>
                <w:tcPr>
                  <w:tcW w:w="5496" w:type="dxa"/>
                  <w:shd w:val="clear" w:color="auto" w:fill="00709E"/>
                  <w:tcMar>
                    <w:top w:w="34" w:type="dxa"/>
                    <w:left w:w="113" w:type="dxa"/>
                  </w:tcMar>
                  <w:vAlign w:val="center"/>
                </w:tcPr>
                <w:p w:rsidR="001E6FB8" w:rsidRPr="00CB3A2C" w:rsidRDefault="001E6FB8" w:rsidP="001E6FB8">
                  <w:pPr>
                    <w:pStyle w:val="TableHeading"/>
                    <w:jc w:val="right"/>
                    <w:rPr>
                      <w:rFonts w:cs="Arial"/>
                      <w:color w:val="FFFFFF" w:themeColor="background1"/>
                      <w:sz w:val="18"/>
                    </w:rPr>
                  </w:pPr>
                </w:p>
              </w:tc>
              <w:tc>
                <w:tcPr>
                  <w:tcW w:w="1371" w:type="dxa"/>
                  <w:shd w:val="clear" w:color="auto" w:fill="00709E"/>
                  <w:vAlign w:val="center"/>
                </w:tcPr>
                <w:p w:rsidR="001E6FB8" w:rsidRPr="00CB3A2C" w:rsidRDefault="001E6FB8" w:rsidP="001E6FB8">
                  <w:pPr>
                    <w:pStyle w:val="TableHeading"/>
                    <w:ind w:right="141"/>
                    <w:jc w:val="right"/>
                    <w:rPr>
                      <w:rFonts w:cs="Arial"/>
                      <w:color w:val="FFFFFF" w:themeColor="background1"/>
                      <w:sz w:val="18"/>
                    </w:rPr>
                  </w:pPr>
                  <w:r w:rsidRPr="00CB3A2C">
                    <w:rPr>
                      <w:rFonts w:cs="Arial"/>
                      <w:color w:val="FFFFFF" w:themeColor="background1"/>
                      <w:sz w:val="18"/>
                    </w:rPr>
                    <w:t>Jun-12</w:t>
                  </w:r>
                </w:p>
              </w:tc>
              <w:tc>
                <w:tcPr>
                  <w:tcW w:w="1372" w:type="dxa"/>
                  <w:shd w:val="clear" w:color="auto" w:fill="00709E"/>
                  <w:vAlign w:val="center"/>
                </w:tcPr>
                <w:p w:rsidR="001E6FB8" w:rsidRPr="00CB3A2C" w:rsidRDefault="001E6FB8" w:rsidP="001E6FB8">
                  <w:pPr>
                    <w:pStyle w:val="TableHeading"/>
                    <w:ind w:right="171"/>
                    <w:jc w:val="right"/>
                    <w:rPr>
                      <w:rFonts w:cs="Arial"/>
                      <w:color w:val="FFFFFF" w:themeColor="background1"/>
                      <w:sz w:val="18"/>
                    </w:rPr>
                  </w:pPr>
                  <w:r w:rsidRPr="00CB3A2C">
                    <w:rPr>
                      <w:rFonts w:cs="Arial"/>
                      <w:color w:val="FFFFFF" w:themeColor="background1"/>
                      <w:sz w:val="18"/>
                    </w:rPr>
                    <w:t>Jun-13</w:t>
                  </w:r>
                </w:p>
              </w:tc>
              <w:tc>
                <w:tcPr>
                  <w:tcW w:w="1372" w:type="dxa"/>
                  <w:shd w:val="clear" w:color="auto" w:fill="00709E"/>
                  <w:tcMar>
                    <w:left w:w="113" w:type="dxa"/>
                  </w:tcMar>
                  <w:vAlign w:val="center"/>
                </w:tcPr>
                <w:p w:rsidR="001E6FB8" w:rsidRPr="00CB3A2C" w:rsidRDefault="001E6FB8" w:rsidP="001E6FB8">
                  <w:pPr>
                    <w:pStyle w:val="TableHeading"/>
                    <w:ind w:right="91"/>
                    <w:jc w:val="right"/>
                    <w:rPr>
                      <w:rFonts w:cs="Arial"/>
                      <w:color w:val="FFFFFF" w:themeColor="background1"/>
                      <w:sz w:val="18"/>
                    </w:rPr>
                  </w:pPr>
                  <w:r w:rsidRPr="00CB3A2C">
                    <w:rPr>
                      <w:rFonts w:cs="Arial"/>
                      <w:color w:val="FFFFFF" w:themeColor="background1"/>
                      <w:sz w:val="18"/>
                    </w:rPr>
                    <w:t xml:space="preserve">% change </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Pr>
                      <w:rFonts w:cs="Arial"/>
                      <w:sz w:val="18"/>
                    </w:rPr>
                    <w:t>Members of the TIO scheme</w:t>
                  </w:r>
                </w:p>
              </w:tc>
              <w:tc>
                <w:tcPr>
                  <w:tcW w:w="1371" w:type="dxa"/>
                  <w:vAlign w:val="center"/>
                </w:tcPr>
                <w:p w:rsidR="001E6FB8" w:rsidRPr="00CB3A2C" w:rsidRDefault="001E6FB8" w:rsidP="001E6FB8">
                  <w:pPr>
                    <w:ind w:right="171"/>
                    <w:jc w:val="right"/>
                    <w:rPr>
                      <w:rFonts w:cs="Arial"/>
                      <w:sz w:val="18"/>
                    </w:rPr>
                  </w:pPr>
                  <w:r>
                    <w:rPr>
                      <w:rFonts w:cs="Arial"/>
                      <w:sz w:val="18"/>
                    </w:rPr>
                    <w:t>1,221</w:t>
                  </w:r>
                </w:p>
              </w:tc>
              <w:tc>
                <w:tcPr>
                  <w:tcW w:w="1372" w:type="dxa"/>
                  <w:vAlign w:val="center"/>
                </w:tcPr>
                <w:p w:rsidR="001E6FB8" w:rsidRPr="00CB3A2C" w:rsidRDefault="001E6FB8" w:rsidP="001E6FB8">
                  <w:pPr>
                    <w:ind w:right="171"/>
                    <w:jc w:val="right"/>
                    <w:rPr>
                      <w:rFonts w:cs="Arial"/>
                      <w:sz w:val="18"/>
                    </w:rPr>
                  </w:pPr>
                  <w:r>
                    <w:rPr>
                      <w:rFonts w:cs="Arial"/>
                      <w:sz w:val="18"/>
                    </w:rPr>
                    <w:t>1,360</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+11%</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rPr>
                      <w:rFonts w:cs="Arial"/>
                      <w:sz w:val="18"/>
                    </w:rPr>
                  </w:pPr>
                  <w:r>
                    <w:rPr>
                      <w:rFonts w:cs="Arial"/>
                      <w:sz w:val="18"/>
                    </w:rPr>
                    <w:t xml:space="preserve">Total number of ISPs </w:t>
                  </w:r>
                </w:p>
              </w:tc>
              <w:tc>
                <w:tcPr>
                  <w:tcW w:w="1371" w:type="dxa"/>
                  <w:vAlign w:val="center"/>
                </w:tcPr>
                <w:p w:rsidR="001E6FB8" w:rsidRPr="00CB3A2C" w:rsidRDefault="001E6FB8" w:rsidP="001E6FB8">
                  <w:pPr>
                    <w:ind w:right="171"/>
                    <w:jc w:val="right"/>
                    <w:rPr>
                      <w:rFonts w:cs="Arial"/>
                      <w:sz w:val="18"/>
                    </w:rPr>
                  </w:pPr>
                  <w:r>
                    <w:rPr>
                      <w:rFonts w:cs="Arial"/>
                      <w:sz w:val="18"/>
                    </w:rPr>
                    <w:t>81</w:t>
                  </w:r>
                </w:p>
              </w:tc>
              <w:tc>
                <w:tcPr>
                  <w:tcW w:w="1372" w:type="dxa"/>
                  <w:vAlign w:val="center"/>
                </w:tcPr>
                <w:p w:rsidR="001E6FB8" w:rsidRPr="00CB3A2C" w:rsidRDefault="001E6FB8" w:rsidP="001E6FB8">
                  <w:pPr>
                    <w:ind w:right="171"/>
                    <w:jc w:val="right"/>
                    <w:rPr>
                      <w:rFonts w:cs="Arial"/>
                      <w:sz w:val="18"/>
                    </w:rPr>
                  </w:pPr>
                  <w:r>
                    <w:rPr>
                      <w:rFonts w:cs="Arial"/>
                      <w:sz w:val="18"/>
                    </w:rPr>
                    <w:t>77</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–5%</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Pr>
                      <w:rFonts w:cs="Arial"/>
                      <w:sz w:val="18"/>
                    </w:rPr>
                    <w:t>Medium ISPs (1,001–10,000 subscribers)</w:t>
                  </w:r>
                </w:p>
              </w:tc>
              <w:tc>
                <w:tcPr>
                  <w:tcW w:w="1371" w:type="dxa"/>
                  <w:vAlign w:val="center"/>
                </w:tcPr>
                <w:p w:rsidR="001E6FB8" w:rsidRPr="00CB3A2C" w:rsidRDefault="001E6FB8" w:rsidP="001E6FB8">
                  <w:pPr>
                    <w:ind w:right="171"/>
                    <w:jc w:val="right"/>
                    <w:rPr>
                      <w:rFonts w:cs="Arial"/>
                      <w:sz w:val="18"/>
                    </w:rPr>
                  </w:pPr>
                  <w:r>
                    <w:rPr>
                      <w:rFonts w:cs="Arial"/>
                      <w:sz w:val="18"/>
                    </w:rPr>
                    <w:t>49</w:t>
                  </w:r>
                </w:p>
              </w:tc>
              <w:tc>
                <w:tcPr>
                  <w:tcW w:w="1372" w:type="dxa"/>
                  <w:vAlign w:val="center"/>
                </w:tcPr>
                <w:p w:rsidR="001E6FB8" w:rsidRPr="00CB3A2C" w:rsidRDefault="001E6FB8" w:rsidP="001E6FB8">
                  <w:pPr>
                    <w:ind w:right="171"/>
                    <w:jc w:val="right"/>
                    <w:rPr>
                      <w:rFonts w:cs="Arial"/>
                      <w:sz w:val="18"/>
                    </w:rPr>
                  </w:pPr>
                  <w:r>
                    <w:rPr>
                      <w:rFonts w:cs="Arial"/>
                      <w:sz w:val="18"/>
                    </w:rPr>
                    <w:t>51</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+4%</w:t>
                  </w:r>
                </w:p>
              </w:tc>
            </w:tr>
            <w:tr w:rsidR="001E6FB8" w:rsidRPr="00CB3A2C" w:rsidTr="001E6FB8">
              <w:trPr>
                <w:trHeight w:val="347"/>
              </w:trPr>
              <w:tc>
                <w:tcPr>
                  <w:tcW w:w="5496" w:type="dxa"/>
                  <w:shd w:val="clear" w:color="auto" w:fill="auto"/>
                  <w:tcMar>
                    <w:left w:w="113" w:type="dxa"/>
                  </w:tcMar>
                  <w:vAlign w:val="center"/>
                </w:tcPr>
                <w:p w:rsidR="001E6FB8" w:rsidRPr="00CB3A2C" w:rsidRDefault="001E6FB8" w:rsidP="001E6FB8">
                  <w:pPr>
                    <w:ind w:left="720"/>
                    <w:rPr>
                      <w:rFonts w:cs="Arial"/>
                      <w:sz w:val="18"/>
                    </w:rPr>
                  </w:pPr>
                  <w:r>
                    <w:rPr>
                      <w:rFonts w:cs="Arial"/>
                      <w:sz w:val="18"/>
                    </w:rPr>
                    <w:t>Large ISPs (10,001–100,000 subscribers)</w:t>
                  </w:r>
                </w:p>
              </w:tc>
              <w:tc>
                <w:tcPr>
                  <w:tcW w:w="1371" w:type="dxa"/>
                  <w:vAlign w:val="center"/>
                </w:tcPr>
                <w:p w:rsidR="001E6FB8" w:rsidRPr="00CB3A2C" w:rsidRDefault="001E6FB8" w:rsidP="001E6FB8">
                  <w:pPr>
                    <w:ind w:right="171"/>
                    <w:jc w:val="right"/>
                    <w:rPr>
                      <w:rFonts w:cs="Arial"/>
                      <w:sz w:val="18"/>
                    </w:rPr>
                  </w:pPr>
                  <w:r>
                    <w:rPr>
                      <w:rFonts w:cs="Arial"/>
                      <w:sz w:val="18"/>
                    </w:rPr>
                    <w:t>24</w:t>
                  </w:r>
                </w:p>
              </w:tc>
              <w:tc>
                <w:tcPr>
                  <w:tcW w:w="1372" w:type="dxa"/>
                  <w:vAlign w:val="center"/>
                </w:tcPr>
                <w:p w:rsidR="001E6FB8" w:rsidRPr="00CB3A2C" w:rsidRDefault="001E6FB8" w:rsidP="001E6FB8">
                  <w:pPr>
                    <w:ind w:right="171"/>
                    <w:jc w:val="right"/>
                    <w:rPr>
                      <w:rFonts w:cs="Arial"/>
                      <w:sz w:val="18"/>
                    </w:rPr>
                  </w:pPr>
                  <w:r>
                    <w:rPr>
                      <w:rFonts w:cs="Arial"/>
                      <w:sz w:val="18"/>
                    </w:rPr>
                    <w:t>17</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–29%</w:t>
                  </w:r>
                </w:p>
              </w:tc>
            </w:tr>
            <w:tr w:rsidR="001E6FB8" w:rsidRPr="00CB3A2C" w:rsidTr="001E6FB8">
              <w:trPr>
                <w:trHeight w:val="347"/>
              </w:trPr>
              <w:tc>
                <w:tcPr>
                  <w:tcW w:w="5496" w:type="dxa"/>
                  <w:shd w:val="clear" w:color="auto" w:fill="auto"/>
                  <w:tcMar>
                    <w:left w:w="113" w:type="dxa"/>
                  </w:tcMar>
                  <w:vAlign w:val="center"/>
                </w:tcPr>
                <w:p w:rsidR="001E6FB8" w:rsidRDefault="001E6FB8" w:rsidP="001E6FB8">
                  <w:pPr>
                    <w:ind w:left="720"/>
                    <w:rPr>
                      <w:rFonts w:cs="Arial"/>
                      <w:sz w:val="18"/>
                    </w:rPr>
                  </w:pPr>
                  <w:r>
                    <w:rPr>
                      <w:rFonts w:cs="Arial"/>
                      <w:sz w:val="18"/>
                    </w:rPr>
                    <w:t>Very large ISPs (100,001 or more subscribers)</w:t>
                  </w:r>
                </w:p>
              </w:tc>
              <w:tc>
                <w:tcPr>
                  <w:tcW w:w="1371" w:type="dxa"/>
                  <w:vAlign w:val="center"/>
                </w:tcPr>
                <w:p w:rsidR="001E6FB8" w:rsidRPr="00CB3A2C" w:rsidRDefault="001E6FB8" w:rsidP="001E6FB8">
                  <w:pPr>
                    <w:ind w:right="171"/>
                    <w:jc w:val="right"/>
                    <w:rPr>
                      <w:rFonts w:cs="Arial"/>
                      <w:sz w:val="18"/>
                    </w:rPr>
                  </w:pPr>
                  <w:r>
                    <w:rPr>
                      <w:rFonts w:cs="Arial"/>
                      <w:sz w:val="18"/>
                    </w:rPr>
                    <w:t>8</w:t>
                  </w:r>
                </w:p>
              </w:tc>
              <w:tc>
                <w:tcPr>
                  <w:tcW w:w="1372" w:type="dxa"/>
                  <w:vAlign w:val="center"/>
                </w:tcPr>
                <w:p w:rsidR="001E6FB8" w:rsidRPr="00CB3A2C" w:rsidRDefault="001E6FB8" w:rsidP="001E6FB8">
                  <w:pPr>
                    <w:ind w:right="171"/>
                    <w:jc w:val="right"/>
                    <w:rPr>
                      <w:rFonts w:cs="Arial"/>
                      <w:sz w:val="18"/>
                    </w:rPr>
                  </w:pPr>
                  <w:r>
                    <w:rPr>
                      <w:rFonts w:cs="Arial"/>
                      <w:sz w:val="18"/>
                    </w:rPr>
                    <w:t>9</w:t>
                  </w:r>
                </w:p>
              </w:tc>
              <w:tc>
                <w:tcPr>
                  <w:tcW w:w="1372" w:type="dxa"/>
                  <w:shd w:val="clear" w:color="auto" w:fill="auto"/>
                  <w:tcMar>
                    <w:left w:w="113" w:type="dxa"/>
                  </w:tcMar>
                  <w:vAlign w:val="center"/>
                </w:tcPr>
                <w:p w:rsidR="001E6FB8" w:rsidRPr="00CB3A2C" w:rsidRDefault="001E6FB8" w:rsidP="001E6FB8">
                  <w:pPr>
                    <w:ind w:right="91"/>
                    <w:jc w:val="right"/>
                    <w:rPr>
                      <w:rFonts w:cs="Arial"/>
                      <w:sz w:val="18"/>
                    </w:rPr>
                  </w:pPr>
                  <w:r>
                    <w:rPr>
                      <w:rFonts w:cs="Arial"/>
                      <w:sz w:val="18"/>
                    </w:rPr>
                    <w:t>+13%</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tc>
      </w:tr>
    </w:tbl>
    <w:p w:rsidR="001E6FB8" w:rsidRDefault="001E6FB8" w:rsidP="001E6FB8"/>
    <w:p w:rsidR="001E6FB8" w:rsidRDefault="001E6FB8" w:rsidP="001E6FB8">
      <w:pPr>
        <w:pStyle w:val="Heading2"/>
        <w:pageBreakBefore/>
      </w:pPr>
      <w:bookmarkStart w:id="62" w:name="_Toc370381853"/>
      <w:bookmarkStart w:id="63" w:name="_Toc371588967"/>
      <w:bookmarkStart w:id="64" w:name="_Toc373149029"/>
      <w:r w:rsidRPr="00CB3A2C">
        <w:t>Digital economy</w:t>
      </w:r>
      <w:bookmarkEnd w:id="62"/>
      <w:bookmarkEnd w:id="63"/>
      <w:bookmarkEnd w:id="64"/>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rPr>
                <w:color w:val="00709E"/>
              </w:rPr>
            </w:pPr>
            <w:r w:rsidRPr="00CA48DE">
              <w:rPr>
                <w:rFonts w:cs="Arial"/>
                <w:color w:val="00709E"/>
              </w:rPr>
              <w:t>Digital economy infrastructure</w:t>
            </w:r>
          </w:p>
        </w:tc>
      </w:tr>
      <w:tr w:rsidR="001E6FB8" w:rsidTr="001E6FB8">
        <w:trPr>
          <w:trHeight w:val="3086"/>
        </w:trPr>
        <w:tc>
          <w:tcPr>
            <w:tcW w:w="9645" w:type="dxa"/>
            <w:shd w:val="clear" w:color="auto" w:fill="auto"/>
            <w:tcMar>
              <w:left w:w="28" w:type="dxa"/>
            </w:tcMar>
          </w:tcPr>
          <w:tbl>
            <w:tblPr>
              <w:tblW w:w="9569"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4934"/>
              <w:gridCol w:w="1239"/>
              <w:gridCol w:w="1698"/>
              <w:gridCol w:w="178"/>
              <w:gridCol w:w="1394"/>
              <w:gridCol w:w="126"/>
            </w:tblGrid>
            <w:tr w:rsidR="001E6FB8" w:rsidRPr="007D206B" w:rsidTr="001E6FB8">
              <w:trPr>
                <w:trHeight w:val="284"/>
              </w:trPr>
              <w:tc>
                <w:tcPr>
                  <w:tcW w:w="6173" w:type="dxa"/>
                  <w:gridSpan w:val="2"/>
                  <w:shd w:val="clear" w:color="auto" w:fill="00709E"/>
                  <w:tcMar>
                    <w:top w:w="34" w:type="dxa"/>
                    <w:left w:w="113" w:type="dxa"/>
                    <w:bottom w:w="0" w:type="dxa"/>
                    <w:right w:w="0" w:type="dxa"/>
                  </w:tcMar>
                  <w:hideMark/>
                </w:tcPr>
                <w:p w:rsidR="001E6FB8" w:rsidRPr="007D206B" w:rsidRDefault="001E6FB8" w:rsidP="001E6FB8">
                  <w:pPr>
                    <w:pStyle w:val="TableHeading"/>
                    <w:spacing w:line="200" w:lineRule="exact"/>
                    <w:rPr>
                      <w:rFonts w:cs="Arial"/>
                      <w:color w:val="FFFFFF" w:themeColor="background1"/>
                      <w:sz w:val="18"/>
                      <w:szCs w:val="18"/>
                    </w:rPr>
                  </w:pPr>
                </w:p>
              </w:tc>
              <w:tc>
                <w:tcPr>
                  <w:tcW w:w="1698" w:type="dxa"/>
                  <w:shd w:val="clear" w:color="auto" w:fill="00709E"/>
                </w:tcPr>
                <w:p w:rsidR="001E6FB8" w:rsidRPr="007D206B" w:rsidRDefault="001E6FB8" w:rsidP="001E6FB8">
                  <w:pPr>
                    <w:pStyle w:val="TableHeading"/>
                    <w:spacing w:line="200" w:lineRule="exact"/>
                    <w:ind w:right="124"/>
                    <w:jc w:val="right"/>
                    <w:rPr>
                      <w:rFonts w:cs="Arial"/>
                      <w:color w:val="FFFFFF" w:themeColor="background1"/>
                      <w:sz w:val="18"/>
                      <w:szCs w:val="18"/>
                    </w:rPr>
                  </w:pPr>
                  <w:r w:rsidRPr="007D206B">
                    <w:rPr>
                      <w:rFonts w:cs="Arial"/>
                      <w:color w:val="FFFFFF" w:themeColor="background1"/>
                      <w:sz w:val="18"/>
                      <w:szCs w:val="18"/>
                    </w:rPr>
                    <w:t>30 June 2012</w:t>
                  </w:r>
                </w:p>
              </w:tc>
              <w:tc>
                <w:tcPr>
                  <w:tcW w:w="1698" w:type="dxa"/>
                  <w:gridSpan w:val="3"/>
                  <w:shd w:val="clear" w:color="auto" w:fill="00709E"/>
                </w:tcPr>
                <w:p w:rsidR="001E6FB8" w:rsidRPr="007D206B" w:rsidRDefault="001E6FB8" w:rsidP="001E6FB8">
                  <w:pPr>
                    <w:pStyle w:val="TableHeading"/>
                    <w:spacing w:line="200" w:lineRule="exact"/>
                    <w:ind w:right="124"/>
                    <w:jc w:val="right"/>
                    <w:rPr>
                      <w:rFonts w:cs="Arial"/>
                      <w:color w:val="FFFFFF" w:themeColor="background1"/>
                      <w:sz w:val="18"/>
                      <w:szCs w:val="18"/>
                    </w:rPr>
                  </w:pPr>
                  <w:r w:rsidRPr="007D206B">
                    <w:rPr>
                      <w:rFonts w:cs="Arial"/>
                      <w:color w:val="FFFFFF" w:themeColor="background1"/>
                      <w:sz w:val="18"/>
                      <w:szCs w:val="18"/>
                    </w:rPr>
                    <w:t>30 June 2013</w:t>
                  </w:r>
                </w:p>
              </w:tc>
            </w:tr>
            <w:tr w:rsidR="001E6FB8" w:rsidRPr="007D206B" w:rsidTr="001E6FB8">
              <w:trPr>
                <w:gridAfter w:val="1"/>
                <w:wAfter w:w="126" w:type="dxa"/>
                <w:trHeight w:val="358"/>
              </w:trPr>
              <w:tc>
                <w:tcPr>
                  <w:tcW w:w="4934" w:type="dxa"/>
                  <w:tcMar>
                    <w:top w:w="0" w:type="dxa"/>
                    <w:left w:w="113" w:type="dxa"/>
                    <w:bottom w:w="0" w:type="dxa"/>
                    <w:right w:w="0" w:type="dxa"/>
                  </w:tcMar>
                  <w:vAlign w:val="center"/>
                  <w:hideMark/>
                </w:tcPr>
                <w:p w:rsidR="001E6FB8" w:rsidRPr="007D206B" w:rsidRDefault="001E6FB8" w:rsidP="001E6FB8">
                  <w:pPr>
                    <w:spacing w:line="200" w:lineRule="exact"/>
                    <w:rPr>
                      <w:rFonts w:cs="Arial"/>
                      <w:b/>
                      <w:bCs/>
                      <w:color w:val="000000" w:themeColor="text1"/>
                      <w:sz w:val="18"/>
                      <w:szCs w:val="18"/>
                    </w:rPr>
                  </w:pPr>
                  <w:r w:rsidRPr="007D206B">
                    <w:rPr>
                      <w:rFonts w:cs="Arial"/>
                      <w:b/>
                      <w:bCs/>
                      <w:color w:val="000000" w:themeColor="text1"/>
                      <w:sz w:val="18"/>
                      <w:szCs w:val="18"/>
                    </w:rPr>
                    <w:t>4G mobile networks</w:t>
                  </w:r>
                </w:p>
              </w:tc>
              <w:tc>
                <w:tcPr>
                  <w:tcW w:w="3115" w:type="dxa"/>
                  <w:gridSpan w:val="3"/>
                  <w:vAlign w:val="center"/>
                </w:tcPr>
                <w:p w:rsidR="001E6FB8" w:rsidRPr="007D206B" w:rsidRDefault="001E6FB8" w:rsidP="001E6FB8">
                  <w:pPr>
                    <w:spacing w:line="200" w:lineRule="exact"/>
                    <w:ind w:right="142"/>
                    <w:jc w:val="right"/>
                    <w:rPr>
                      <w:rFonts w:cs="Arial"/>
                      <w:sz w:val="18"/>
                      <w:szCs w:val="18"/>
                    </w:rPr>
                  </w:pPr>
                </w:p>
              </w:tc>
              <w:tc>
                <w:tcPr>
                  <w:tcW w:w="1394" w:type="dxa"/>
                  <w:vAlign w:val="center"/>
                  <w:hideMark/>
                </w:tcPr>
                <w:p w:rsidR="001E6FB8" w:rsidRPr="007D206B" w:rsidRDefault="001E6FB8" w:rsidP="001E6FB8">
                  <w:pPr>
                    <w:spacing w:line="200" w:lineRule="exact"/>
                    <w:ind w:right="142"/>
                    <w:jc w:val="right"/>
                    <w:rPr>
                      <w:rFonts w:cs="Arial"/>
                      <w:sz w:val="18"/>
                      <w:szCs w:val="18"/>
                    </w:rPr>
                  </w:pPr>
                </w:p>
              </w:tc>
            </w:tr>
            <w:tr w:rsidR="001E6FB8" w:rsidRPr="007D206B" w:rsidTr="001E6FB8">
              <w:trPr>
                <w:gridAfter w:val="1"/>
                <w:wAfter w:w="126" w:type="dxa"/>
                <w:trHeight w:val="358"/>
              </w:trPr>
              <w:tc>
                <w:tcPr>
                  <w:tcW w:w="4934" w:type="dxa"/>
                  <w:tcMar>
                    <w:top w:w="0" w:type="dxa"/>
                    <w:left w:w="113" w:type="dxa"/>
                    <w:bottom w:w="0" w:type="dxa"/>
                    <w:right w:w="0" w:type="dxa"/>
                  </w:tcMar>
                  <w:vAlign w:val="center"/>
                  <w:hideMark/>
                </w:tcPr>
                <w:p w:rsidR="001E6FB8" w:rsidRPr="007D206B" w:rsidRDefault="001E6FB8" w:rsidP="001E6FB8">
                  <w:pPr>
                    <w:spacing w:line="200" w:lineRule="exact"/>
                    <w:rPr>
                      <w:rFonts w:cs="Arial"/>
                      <w:b/>
                      <w:bCs/>
                      <w:color w:val="4F81BD" w:themeColor="accent1"/>
                      <w:sz w:val="18"/>
                      <w:szCs w:val="18"/>
                    </w:rPr>
                  </w:pPr>
                  <w:r w:rsidRPr="007D206B">
                    <w:rPr>
                      <w:rFonts w:cs="Arial"/>
                      <w:i/>
                      <w:sz w:val="18"/>
                      <w:szCs w:val="18"/>
                    </w:rPr>
                    <w:t>Network rollout</w:t>
                  </w:r>
                </w:p>
              </w:tc>
              <w:tc>
                <w:tcPr>
                  <w:tcW w:w="3115" w:type="dxa"/>
                  <w:gridSpan w:val="3"/>
                  <w:vAlign w:val="center"/>
                </w:tcPr>
                <w:p w:rsidR="001E6FB8" w:rsidRPr="007D206B" w:rsidRDefault="001E6FB8" w:rsidP="001E6FB8">
                  <w:pPr>
                    <w:spacing w:line="200" w:lineRule="exact"/>
                    <w:ind w:right="142"/>
                    <w:jc w:val="right"/>
                    <w:rPr>
                      <w:rFonts w:cs="Arial"/>
                      <w:sz w:val="18"/>
                      <w:szCs w:val="18"/>
                    </w:rPr>
                  </w:pPr>
                </w:p>
              </w:tc>
              <w:tc>
                <w:tcPr>
                  <w:tcW w:w="1394" w:type="dxa"/>
                  <w:vAlign w:val="center"/>
                  <w:hideMark/>
                </w:tcPr>
                <w:p w:rsidR="001E6FB8" w:rsidRPr="007D206B" w:rsidRDefault="001E6FB8" w:rsidP="001E6FB8">
                  <w:pPr>
                    <w:spacing w:line="200" w:lineRule="exact"/>
                    <w:ind w:right="142"/>
                    <w:jc w:val="right"/>
                    <w:rPr>
                      <w:rFonts w:cs="Arial"/>
                      <w:sz w:val="18"/>
                      <w:szCs w:val="18"/>
                    </w:rPr>
                  </w:pPr>
                </w:p>
              </w:tc>
            </w:tr>
            <w:tr w:rsidR="001E6FB8" w:rsidRPr="007D206B" w:rsidTr="001E6FB8">
              <w:trPr>
                <w:gridAfter w:val="1"/>
                <w:wAfter w:w="126" w:type="dxa"/>
                <w:trHeight w:val="358"/>
              </w:trPr>
              <w:tc>
                <w:tcPr>
                  <w:tcW w:w="4934" w:type="dxa"/>
                  <w:tcMar>
                    <w:top w:w="0" w:type="dxa"/>
                    <w:left w:w="113" w:type="dxa"/>
                    <w:bottom w:w="0" w:type="dxa"/>
                    <w:right w:w="0" w:type="dxa"/>
                  </w:tcMar>
                  <w:vAlign w:val="center"/>
                  <w:hideMark/>
                </w:tcPr>
                <w:p w:rsidR="001E6FB8" w:rsidRPr="007D206B" w:rsidRDefault="001E6FB8" w:rsidP="001E6FB8">
                  <w:pPr>
                    <w:spacing w:line="200" w:lineRule="exact"/>
                    <w:ind w:left="720"/>
                    <w:jc w:val="both"/>
                    <w:rPr>
                      <w:rFonts w:cs="Arial"/>
                      <w:sz w:val="18"/>
                      <w:szCs w:val="18"/>
                    </w:rPr>
                  </w:pPr>
                  <w:r w:rsidRPr="007D206B">
                    <w:rPr>
                      <w:rFonts w:cs="Arial"/>
                      <w:sz w:val="18"/>
                      <w:szCs w:val="18"/>
                    </w:rPr>
                    <w:t>Telstra</w:t>
                  </w:r>
                </w:p>
              </w:tc>
              <w:tc>
                <w:tcPr>
                  <w:tcW w:w="3115" w:type="dxa"/>
                  <w:gridSpan w:val="3"/>
                  <w:vAlign w:val="center"/>
                </w:tcPr>
                <w:p w:rsidR="001E6FB8" w:rsidRPr="007D206B" w:rsidRDefault="001E6FB8" w:rsidP="001E6FB8">
                  <w:pPr>
                    <w:spacing w:line="200" w:lineRule="exact"/>
                    <w:ind w:right="142"/>
                    <w:jc w:val="right"/>
                    <w:rPr>
                      <w:rFonts w:cs="Arial"/>
                      <w:sz w:val="18"/>
                      <w:szCs w:val="18"/>
                    </w:rPr>
                  </w:pPr>
                  <w:r w:rsidRPr="007D206B">
                    <w:rPr>
                      <w:rFonts w:cs="Arial"/>
                      <w:sz w:val="18"/>
                      <w:szCs w:val="18"/>
                    </w:rPr>
                    <w:t xml:space="preserve">40% of </w:t>
                  </w:r>
                  <w:r>
                    <w:rPr>
                      <w:rFonts w:cs="Arial"/>
                      <w:sz w:val="18"/>
                      <w:szCs w:val="18"/>
                    </w:rPr>
                    <w:br/>
                  </w:r>
                  <w:r w:rsidRPr="007D206B">
                    <w:rPr>
                      <w:rFonts w:cs="Arial"/>
                      <w:sz w:val="18"/>
                      <w:szCs w:val="18"/>
                    </w:rPr>
                    <w:t xml:space="preserve">population </w:t>
                  </w:r>
                  <w:r>
                    <w:rPr>
                      <w:rFonts w:cs="Arial"/>
                      <w:sz w:val="18"/>
                      <w:szCs w:val="18"/>
                    </w:rPr>
                    <w:br/>
                  </w:r>
                  <w:r w:rsidRPr="007D206B">
                    <w:rPr>
                      <w:rFonts w:cs="Arial"/>
                      <w:sz w:val="18"/>
                      <w:szCs w:val="18"/>
                    </w:rPr>
                    <w:t>covered</w:t>
                  </w:r>
                </w:p>
              </w:tc>
              <w:tc>
                <w:tcPr>
                  <w:tcW w:w="1394" w:type="dxa"/>
                  <w:vAlign w:val="center"/>
                  <w:hideMark/>
                </w:tcPr>
                <w:p w:rsidR="001E6FB8" w:rsidRPr="007D206B" w:rsidRDefault="001E6FB8" w:rsidP="001E6FB8">
                  <w:pPr>
                    <w:spacing w:line="200" w:lineRule="exact"/>
                    <w:ind w:right="142"/>
                    <w:jc w:val="right"/>
                    <w:rPr>
                      <w:rFonts w:cs="Arial"/>
                      <w:sz w:val="18"/>
                      <w:szCs w:val="18"/>
                    </w:rPr>
                  </w:pPr>
                  <w:r w:rsidRPr="007D206B">
                    <w:rPr>
                      <w:rFonts w:cs="Arial"/>
                      <w:sz w:val="18"/>
                      <w:szCs w:val="18"/>
                    </w:rPr>
                    <w:t>66% of population covered</w:t>
                  </w:r>
                </w:p>
              </w:tc>
            </w:tr>
            <w:tr w:rsidR="001E6FB8" w:rsidRPr="007D206B" w:rsidTr="001E6FB8">
              <w:trPr>
                <w:gridAfter w:val="1"/>
                <w:wAfter w:w="126" w:type="dxa"/>
                <w:trHeight w:val="358"/>
              </w:trPr>
              <w:tc>
                <w:tcPr>
                  <w:tcW w:w="4934" w:type="dxa"/>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Optus</w:t>
                  </w:r>
                </w:p>
              </w:tc>
              <w:tc>
                <w:tcPr>
                  <w:tcW w:w="4509" w:type="dxa"/>
                  <w:gridSpan w:val="4"/>
                  <w:vAlign w:val="center"/>
                </w:tcPr>
                <w:p w:rsidR="001E6FB8" w:rsidRPr="007D206B" w:rsidRDefault="001E6FB8" w:rsidP="001E6FB8">
                  <w:pPr>
                    <w:spacing w:before="40" w:after="40" w:line="200" w:lineRule="exact"/>
                    <w:rPr>
                      <w:rFonts w:cs="Arial"/>
                      <w:sz w:val="18"/>
                      <w:szCs w:val="18"/>
                    </w:rPr>
                  </w:pPr>
                  <w:r w:rsidRPr="007D206B">
                    <w:rPr>
                      <w:rFonts w:cs="Arial"/>
                      <w:sz w:val="18"/>
                      <w:szCs w:val="18"/>
                    </w:rPr>
                    <w:t>Coverage in Sydney, Melbourne, Perth, Adelaide, Brisbane, Byron Bay, Coffs Harbour and Gold Coast. Network went live in Canberra on May 2013.</w:t>
                  </w:r>
                </w:p>
              </w:tc>
            </w:tr>
            <w:tr w:rsidR="001E6FB8" w:rsidRPr="007D206B" w:rsidTr="001E6FB8">
              <w:trPr>
                <w:gridAfter w:val="1"/>
                <w:wAfter w:w="126" w:type="dxa"/>
                <w:trHeight w:val="358"/>
              </w:trPr>
              <w:tc>
                <w:tcPr>
                  <w:tcW w:w="4934" w:type="dxa"/>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VHA</w:t>
                  </w:r>
                </w:p>
              </w:tc>
              <w:tc>
                <w:tcPr>
                  <w:tcW w:w="4509" w:type="dxa"/>
                  <w:gridSpan w:val="4"/>
                  <w:vAlign w:val="center"/>
                </w:tcPr>
                <w:p w:rsidR="001E6FB8" w:rsidRPr="007D206B" w:rsidRDefault="001E6FB8" w:rsidP="001E6FB8">
                  <w:pPr>
                    <w:spacing w:before="40" w:after="40" w:line="200" w:lineRule="exact"/>
                    <w:rPr>
                      <w:rFonts w:cs="Arial"/>
                      <w:sz w:val="18"/>
                      <w:szCs w:val="18"/>
                    </w:rPr>
                  </w:pPr>
                  <w:r w:rsidRPr="007D206B">
                    <w:rPr>
                      <w:rFonts w:cs="Arial"/>
                      <w:sz w:val="18"/>
                      <w:szCs w:val="18"/>
                    </w:rPr>
                    <w:t>Launched its network in major metropolitan areas in June 2013 and opened the service to new customers on 10 July 2013.</w:t>
                  </w:r>
                </w:p>
              </w:tc>
            </w:tr>
            <w:tr w:rsidR="001E6FB8" w:rsidRPr="007D206B" w:rsidTr="001E6FB8">
              <w:trPr>
                <w:gridAfter w:val="1"/>
                <w:wAfter w:w="126" w:type="dxa"/>
                <w:trHeight w:val="358"/>
              </w:trPr>
              <w:tc>
                <w:tcPr>
                  <w:tcW w:w="4934" w:type="dxa"/>
                  <w:tcMar>
                    <w:top w:w="0" w:type="dxa"/>
                    <w:left w:w="113" w:type="dxa"/>
                    <w:bottom w:w="0" w:type="dxa"/>
                    <w:right w:w="0" w:type="dxa"/>
                  </w:tcMar>
                  <w:vAlign w:val="center"/>
                  <w:hideMark/>
                </w:tcPr>
                <w:p w:rsidR="001E6FB8" w:rsidRPr="007D206B" w:rsidRDefault="001E6FB8" w:rsidP="001E6FB8">
                  <w:pPr>
                    <w:spacing w:line="200" w:lineRule="exact"/>
                    <w:rPr>
                      <w:rFonts w:cs="Arial"/>
                      <w:b/>
                      <w:bCs/>
                      <w:color w:val="4F81BD" w:themeColor="accent1"/>
                      <w:sz w:val="18"/>
                      <w:szCs w:val="18"/>
                    </w:rPr>
                  </w:pPr>
                  <w:r w:rsidRPr="007D206B">
                    <w:rPr>
                      <w:rFonts w:cs="Arial"/>
                      <w:i/>
                      <w:sz w:val="18"/>
                      <w:szCs w:val="18"/>
                    </w:rPr>
                    <w:t xml:space="preserve">4G </w:t>
                  </w:r>
                  <w:r>
                    <w:rPr>
                      <w:rFonts w:cs="Arial"/>
                      <w:i/>
                      <w:sz w:val="18"/>
                      <w:szCs w:val="18"/>
                    </w:rPr>
                    <w:t>s</w:t>
                  </w:r>
                  <w:r w:rsidRPr="007D206B">
                    <w:rPr>
                      <w:rFonts w:cs="Arial"/>
                      <w:i/>
                      <w:sz w:val="18"/>
                      <w:szCs w:val="18"/>
                    </w:rPr>
                    <w:t>ervices in operation</w:t>
                  </w:r>
                </w:p>
              </w:tc>
              <w:tc>
                <w:tcPr>
                  <w:tcW w:w="3115" w:type="dxa"/>
                  <w:gridSpan w:val="3"/>
                  <w:vAlign w:val="center"/>
                </w:tcPr>
                <w:p w:rsidR="001E6FB8" w:rsidRPr="007D206B" w:rsidRDefault="001E6FB8" w:rsidP="001E6FB8">
                  <w:pPr>
                    <w:spacing w:line="200" w:lineRule="exact"/>
                    <w:ind w:right="142"/>
                    <w:jc w:val="right"/>
                    <w:rPr>
                      <w:rFonts w:cs="Arial"/>
                      <w:sz w:val="18"/>
                      <w:szCs w:val="18"/>
                    </w:rPr>
                  </w:pPr>
                </w:p>
              </w:tc>
              <w:tc>
                <w:tcPr>
                  <w:tcW w:w="1394" w:type="dxa"/>
                  <w:vAlign w:val="center"/>
                  <w:hideMark/>
                </w:tcPr>
                <w:p w:rsidR="001E6FB8" w:rsidRPr="007D206B" w:rsidRDefault="001E6FB8" w:rsidP="001E6FB8">
                  <w:pPr>
                    <w:spacing w:line="200" w:lineRule="exact"/>
                    <w:ind w:right="142"/>
                    <w:jc w:val="right"/>
                    <w:rPr>
                      <w:rFonts w:cs="Arial"/>
                      <w:sz w:val="18"/>
                      <w:szCs w:val="18"/>
                    </w:rPr>
                  </w:pPr>
                </w:p>
              </w:tc>
            </w:tr>
            <w:tr w:rsidR="001E6FB8" w:rsidRPr="007D206B" w:rsidTr="001E6FB8">
              <w:trPr>
                <w:gridAfter w:val="1"/>
                <w:wAfter w:w="126" w:type="dxa"/>
                <w:trHeight w:val="358"/>
              </w:trPr>
              <w:tc>
                <w:tcPr>
                  <w:tcW w:w="4934" w:type="dxa"/>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Telstra</w:t>
                  </w:r>
                </w:p>
              </w:tc>
              <w:tc>
                <w:tcPr>
                  <w:tcW w:w="3115" w:type="dxa"/>
                  <w:gridSpan w:val="3"/>
                  <w:vAlign w:val="center"/>
                </w:tcPr>
                <w:p w:rsidR="001E6FB8" w:rsidRPr="007D206B" w:rsidRDefault="001E6FB8" w:rsidP="001E6FB8">
                  <w:pPr>
                    <w:spacing w:line="200" w:lineRule="exact"/>
                    <w:ind w:right="142"/>
                    <w:jc w:val="right"/>
                    <w:rPr>
                      <w:rFonts w:cs="Arial"/>
                      <w:sz w:val="18"/>
                      <w:szCs w:val="18"/>
                    </w:rPr>
                  </w:pPr>
                  <w:r w:rsidRPr="007D206B">
                    <w:rPr>
                      <w:rFonts w:cs="Arial"/>
                      <w:sz w:val="18"/>
                      <w:szCs w:val="18"/>
                    </w:rPr>
                    <w:t>0.38 m</w:t>
                  </w:r>
                </w:p>
              </w:tc>
              <w:tc>
                <w:tcPr>
                  <w:tcW w:w="1394" w:type="dxa"/>
                  <w:vAlign w:val="center"/>
                  <w:hideMark/>
                </w:tcPr>
                <w:p w:rsidR="001E6FB8" w:rsidRPr="007D206B" w:rsidRDefault="001E6FB8" w:rsidP="001E6FB8">
                  <w:pPr>
                    <w:spacing w:line="200" w:lineRule="exact"/>
                    <w:ind w:right="142"/>
                    <w:jc w:val="right"/>
                    <w:rPr>
                      <w:rFonts w:cs="Arial"/>
                      <w:sz w:val="18"/>
                      <w:szCs w:val="18"/>
                    </w:rPr>
                  </w:pPr>
                  <w:r w:rsidRPr="007D206B">
                    <w:rPr>
                      <w:rFonts w:cs="Arial"/>
                      <w:sz w:val="18"/>
                      <w:szCs w:val="18"/>
                    </w:rPr>
                    <w:t>2.80 m</w:t>
                  </w:r>
                </w:p>
              </w:tc>
            </w:tr>
            <w:tr w:rsidR="001E6FB8" w:rsidRPr="007D206B" w:rsidTr="001E6FB8">
              <w:trPr>
                <w:gridAfter w:val="1"/>
                <w:wAfter w:w="126" w:type="dxa"/>
                <w:trHeight w:val="358"/>
              </w:trPr>
              <w:tc>
                <w:tcPr>
                  <w:tcW w:w="4934" w:type="dxa"/>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Optus</w:t>
                  </w:r>
                </w:p>
              </w:tc>
              <w:tc>
                <w:tcPr>
                  <w:tcW w:w="3115" w:type="dxa"/>
                  <w:gridSpan w:val="3"/>
                  <w:vAlign w:val="center"/>
                </w:tcPr>
                <w:p w:rsidR="001E6FB8" w:rsidRPr="007D206B" w:rsidRDefault="001E6FB8" w:rsidP="001E6FB8">
                  <w:pPr>
                    <w:spacing w:line="200" w:lineRule="exact"/>
                    <w:ind w:right="142"/>
                    <w:jc w:val="right"/>
                    <w:rPr>
                      <w:rFonts w:cs="Arial"/>
                      <w:sz w:val="18"/>
                      <w:szCs w:val="18"/>
                    </w:rPr>
                  </w:pPr>
                  <w:r w:rsidRPr="007D206B">
                    <w:rPr>
                      <w:rFonts w:cs="Arial"/>
                      <w:sz w:val="18"/>
                      <w:szCs w:val="18"/>
                    </w:rPr>
                    <w:t>0.001</w:t>
                  </w:r>
                  <w:r>
                    <w:rPr>
                      <w:rFonts w:cs="Arial"/>
                      <w:sz w:val="18"/>
                      <w:szCs w:val="18"/>
                    </w:rPr>
                    <w:t xml:space="preserve"> </w:t>
                  </w:r>
                  <w:r w:rsidRPr="007D206B">
                    <w:rPr>
                      <w:rFonts w:cs="Arial"/>
                      <w:sz w:val="18"/>
                      <w:szCs w:val="18"/>
                    </w:rPr>
                    <w:t>m</w:t>
                  </w:r>
                </w:p>
              </w:tc>
              <w:tc>
                <w:tcPr>
                  <w:tcW w:w="1394" w:type="dxa"/>
                  <w:vAlign w:val="center"/>
                  <w:hideMark/>
                </w:tcPr>
                <w:p w:rsidR="001E6FB8" w:rsidRPr="007D206B" w:rsidRDefault="001E6FB8" w:rsidP="001E6FB8">
                  <w:pPr>
                    <w:spacing w:line="200" w:lineRule="exact"/>
                    <w:ind w:right="142"/>
                    <w:jc w:val="right"/>
                    <w:rPr>
                      <w:rFonts w:cs="Arial"/>
                      <w:sz w:val="18"/>
                      <w:szCs w:val="18"/>
                    </w:rPr>
                  </w:pPr>
                  <w:r w:rsidRPr="007D206B">
                    <w:rPr>
                      <w:rFonts w:cs="Arial"/>
                      <w:sz w:val="18"/>
                      <w:szCs w:val="18"/>
                    </w:rPr>
                    <w:t>1.08 m</w:t>
                  </w:r>
                </w:p>
              </w:tc>
            </w:tr>
            <w:tr w:rsidR="001E6FB8" w:rsidRPr="007D206B" w:rsidTr="001E6FB8">
              <w:trPr>
                <w:gridAfter w:val="1"/>
                <w:wAfter w:w="126" w:type="dxa"/>
                <w:trHeight w:val="358"/>
              </w:trPr>
              <w:tc>
                <w:tcPr>
                  <w:tcW w:w="4934" w:type="dxa"/>
                  <w:tcMar>
                    <w:top w:w="0" w:type="dxa"/>
                    <w:left w:w="113" w:type="dxa"/>
                    <w:bottom w:w="0" w:type="dxa"/>
                    <w:right w:w="0" w:type="dxa"/>
                  </w:tcMar>
                  <w:vAlign w:val="center"/>
                  <w:hideMark/>
                </w:tcPr>
                <w:p w:rsidR="001E6FB8" w:rsidRPr="007D206B" w:rsidRDefault="001E6FB8" w:rsidP="001E6FB8">
                  <w:pPr>
                    <w:spacing w:line="200" w:lineRule="exact"/>
                    <w:rPr>
                      <w:rFonts w:cs="Arial"/>
                      <w:color w:val="000000" w:themeColor="text1"/>
                      <w:sz w:val="18"/>
                      <w:szCs w:val="18"/>
                    </w:rPr>
                  </w:pPr>
                  <w:r>
                    <w:rPr>
                      <w:rFonts w:cs="Arial"/>
                      <w:b/>
                      <w:bCs/>
                      <w:color w:val="000000" w:themeColor="text1"/>
                      <w:sz w:val="18"/>
                      <w:szCs w:val="18"/>
                    </w:rPr>
                    <w:t xml:space="preserve">NBN </w:t>
                  </w:r>
                </w:p>
              </w:tc>
              <w:tc>
                <w:tcPr>
                  <w:tcW w:w="3115" w:type="dxa"/>
                  <w:gridSpan w:val="3"/>
                  <w:vAlign w:val="center"/>
                </w:tcPr>
                <w:p w:rsidR="001E6FB8" w:rsidRPr="007D206B" w:rsidRDefault="001E6FB8" w:rsidP="001E6FB8">
                  <w:pPr>
                    <w:spacing w:line="200" w:lineRule="exact"/>
                    <w:ind w:right="142"/>
                    <w:jc w:val="right"/>
                    <w:rPr>
                      <w:rFonts w:cs="Arial"/>
                      <w:sz w:val="18"/>
                      <w:szCs w:val="18"/>
                    </w:rPr>
                  </w:pPr>
                </w:p>
              </w:tc>
              <w:tc>
                <w:tcPr>
                  <w:tcW w:w="1394" w:type="dxa"/>
                  <w:vAlign w:val="center"/>
                  <w:hideMark/>
                </w:tcPr>
                <w:p w:rsidR="001E6FB8" w:rsidRPr="007D206B" w:rsidRDefault="001E6FB8" w:rsidP="001E6FB8">
                  <w:pPr>
                    <w:spacing w:line="200" w:lineRule="exact"/>
                    <w:ind w:right="142"/>
                    <w:jc w:val="right"/>
                    <w:rPr>
                      <w:rFonts w:cs="Arial"/>
                      <w:sz w:val="18"/>
                      <w:szCs w:val="18"/>
                    </w:rPr>
                  </w:pPr>
                </w:p>
              </w:tc>
            </w:tr>
            <w:tr w:rsidR="001E6FB8" w:rsidRPr="007D206B" w:rsidTr="001E6FB8">
              <w:trPr>
                <w:gridAfter w:val="1"/>
                <w:wAfter w:w="126" w:type="dxa"/>
                <w:trHeight w:val="358"/>
              </w:trPr>
              <w:tc>
                <w:tcPr>
                  <w:tcW w:w="4934" w:type="dxa"/>
                  <w:tcBorders>
                    <w:bottom w:val="single" w:sz="4" w:space="0" w:color="C8C8C8"/>
                  </w:tcBorders>
                  <w:tcMar>
                    <w:top w:w="0" w:type="dxa"/>
                    <w:left w:w="113" w:type="dxa"/>
                    <w:bottom w:w="0" w:type="dxa"/>
                    <w:right w:w="0" w:type="dxa"/>
                  </w:tcMar>
                  <w:vAlign w:val="center"/>
                  <w:hideMark/>
                </w:tcPr>
                <w:p w:rsidR="001E6FB8" w:rsidRPr="007D206B" w:rsidRDefault="001E6FB8" w:rsidP="001E6FB8">
                  <w:pPr>
                    <w:spacing w:line="200" w:lineRule="exact"/>
                    <w:rPr>
                      <w:rFonts w:cs="Arial"/>
                      <w:b/>
                      <w:sz w:val="18"/>
                      <w:szCs w:val="18"/>
                    </w:rPr>
                  </w:pPr>
                  <w:r w:rsidRPr="007D206B">
                    <w:rPr>
                      <w:rFonts w:cs="Arial"/>
                      <w:i/>
                      <w:sz w:val="18"/>
                      <w:szCs w:val="18"/>
                    </w:rPr>
                    <w:t>Premises passed/covered</w:t>
                  </w:r>
                </w:p>
              </w:tc>
              <w:tc>
                <w:tcPr>
                  <w:tcW w:w="3115" w:type="dxa"/>
                  <w:gridSpan w:val="3"/>
                  <w:tcBorders>
                    <w:bottom w:val="single" w:sz="4" w:space="0" w:color="C8C8C8"/>
                  </w:tcBorders>
                  <w:vAlign w:val="center"/>
                </w:tcPr>
                <w:p w:rsidR="001E6FB8" w:rsidRPr="007D206B" w:rsidRDefault="001E6FB8" w:rsidP="001E6FB8">
                  <w:pPr>
                    <w:spacing w:line="200" w:lineRule="exact"/>
                    <w:ind w:right="142"/>
                    <w:jc w:val="right"/>
                    <w:rPr>
                      <w:rFonts w:cs="Arial"/>
                      <w:sz w:val="18"/>
                      <w:szCs w:val="18"/>
                    </w:rPr>
                  </w:pPr>
                </w:p>
              </w:tc>
              <w:tc>
                <w:tcPr>
                  <w:tcW w:w="1394" w:type="dxa"/>
                  <w:tcBorders>
                    <w:bottom w:val="single" w:sz="4" w:space="0" w:color="C8C8C8"/>
                  </w:tcBorders>
                  <w:vAlign w:val="center"/>
                  <w:hideMark/>
                </w:tcPr>
                <w:p w:rsidR="001E6FB8" w:rsidRPr="007D206B" w:rsidRDefault="001E6FB8" w:rsidP="001E6FB8">
                  <w:pPr>
                    <w:spacing w:line="200" w:lineRule="exact"/>
                    <w:ind w:right="142"/>
                    <w:jc w:val="right"/>
                    <w:rPr>
                      <w:rFonts w:cs="Arial"/>
                      <w:sz w:val="18"/>
                      <w:szCs w:val="18"/>
                    </w:rPr>
                  </w:pPr>
                </w:p>
              </w:tc>
            </w:tr>
            <w:tr w:rsidR="001E6FB8" w:rsidRPr="007D206B" w:rsidTr="001E6FB8">
              <w:trPr>
                <w:gridAfter w:val="1"/>
                <w:wAfter w:w="126" w:type="dxa"/>
                <w:trHeight w:val="358"/>
              </w:trPr>
              <w:tc>
                <w:tcPr>
                  <w:tcW w:w="4934" w:type="dxa"/>
                  <w:tcBorders>
                    <w:bottom w:val="single" w:sz="4" w:space="0" w:color="C8C8C8"/>
                  </w:tcBorders>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 xml:space="preserve">Fibre </w:t>
                  </w:r>
                  <w:proofErr w:type="spellStart"/>
                  <w:r w:rsidRPr="007D206B">
                    <w:rPr>
                      <w:rFonts w:cs="Arial"/>
                      <w:sz w:val="18"/>
                      <w:szCs w:val="18"/>
                    </w:rPr>
                    <w:t>brownfields</w:t>
                  </w:r>
                  <w:proofErr w:type="spellEnd"/>
                  <w:r w:rsidRPr="007D206B">
                    <w:rPr>
                      <w:rFonts w:cs="Arial"/>
                      <w:sz w:val="18"/>
                      <w:szCs w:val="18"/>
                    </w:rPr>
                    <w:t xml:space="preserve"> premises</w:t>
                  </w:r>
                  <w:r>
                    <w:rPr>
                      <w:rFonts w:cs="Arial"/>
                      <w:sz w:val="18"/>
                      <w:szCs w:val="18"/>
                    </w:rPr>
                    <w:t>*</w:t>
                  </w:r>
                </w:p>
              </w:tc>
              <w:tc>
                <w:tcPr>
                  <w:tcW w:w="3115" w:type="dxa"/>
                  <w:gridSpan w:val="3"/>
                  <w:tcBorders>
                    <w:bottom w:val="single" w:sz="4" w:space="0" w:color="C8C8C8"/>
                  </w:tcBorders>
                  <w:vAlign w:val="center"/>
                </w:tcPr>
                <w:p w:rsidR="001E6FB8" w:rsidRPr="007D206B" w:rsidRDefault="001E6FB8" w:rsidP="001E6FB8">
                  <w:pPr>
                    <w:spacing w:line="200" w:lineRule="exact"/>
                    <w:ind w:right="142"/>
                    <w:jc w:val="right"/>
                    <w:rPr>
                      <w:rFonts w:cs="Arial"/>
                      <w:sz w:val="18"/>
                      <w:szCs w:val="18"/>
                    </w:rPr>
                  </w:pPr>
                  <w:r w:rsidRPr="007D206B">
                    <w:rPr>
                      <w:rFonts w:cs="Arial"/>
                      <w:sz w:val="18"/>
                      <w:szCs w:val="18"/>
                    </w:rPr>
                    <w:t>28,860</w:t>
                  </w:r>
                </w:p>
              </w:tc>
              <w:tc>
                <w:tcPr>
                  <w:tcW w:w="1394" w:type="dxa"/>
                  <w:tcBorders>
                    <w:bottom w:val="single" w:sz="4" w:space="0" w:color="C8C8C8"/>
                  </w:tcBorders>
                  <w:vAlign w:val="center"/>
                  <w:hideMark/>
                </w:tcPr>
                <w:p w:rsidR="001E6FB8" w:rsidRPr="007D206B" w:rsidRDefault="001E6FB8" w:rsidP="001E6FB8">
                  <w:pPr>
                    <w:spacing w:line="200" w:lineRule="exact"/>
                    <w:ind w:right="142"/>
                    <w:jc w:val="right"/>
                    <w:rPr>
                      <w:rFonts w:cs="Arial"/>
                      <w:sz w:val="18"/>
                      <w:szCs w:val="18"/>
                    </w:rPr>
                  </w:pPr>
                  <w:r w:rsidRPr="007D206B">
                    <w:rPr>
                      <w:rFonts w:cs="Arial"/>
                      <w:sz w:val="18"/>
                      <w:szCs w:val="18"/>
                    </w:rPr>
                    <w:t>163,515</w:t>
                  </w:r>
                </w:p>
              </w:tc>
            </w:tr>
            <w:tr w:rsidR="001E6FB8" w:rsidRPr="007D206B" w:rsidTr="001E6FB8">
              <w:trPr>
                <w:gridAfter w:val="1"/>
                <w:wAfter w:w="126" w:type="dxa"/>
                <w:trHeight w:val="358"/>
              </w:trPr>
              <w:tc>
                <w:tcPr>
                  <w:tcW w:w="4934" w:type="dxa"/>
                  <w:tcBorders>
                    <w:bottom w:val="single" w:sz="4" w:space="0" w:color="C8C8C8"/>
                  </w:tcBorders>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 xml:space="preserve">Fibre </w:t>
                  </w:r>
                  <w:proofErr w:type="spellStart"/>
                  <w:r w:rsidRPr="007D206B">
                    <w:rPr>
                      <w:rFonts w:cs="Arial"/>
                      <w:sz w:val="18"/>
                      <w:szCs w:val="18"/>
                    </w:rPr>
                    <w:t>greenfields</w:t>
                  </w:r>
                  <w:proofErr w:type="spellEnd"/>
                  <w:r w:rsidRPr="007D206B">
                    <w:rPr>
                      <w:rFonts w:cs="Arial"/>
                      <w:sz w:val="18"/>
                      <w:szCs w:val="18"/>
                    </w:rPr>
                    <w:t xml:space="preserve"> lots or premises</w:t>
                  </w:r>
                </w:p>
              </w:tc>
              <w:tc>
                <w:tcPr>
                  <w:tcW w:w="3115" w:type="dxa"/>
                  <w:gridSpan w:val="3"/>
                  <w:tcBorders>
                    <w:bottom w:val="single" w:sz="4" w:space="0" w:color="C8C8C8"/>
                  </w:tcBorders>
                  <w:vAlign w:val="center"/>
                </w:tcPr>
                <w:p w:rsidR="001E6FB8" w:rsidRPr="007D206B" w:rsidRDefault="001E6FB8" w:rsidP="001E6FB8">
                  <w:pPr>
                    <w:spacing w:line="200" w:lineRule="exact"/>
                    <w:ind w:right="142"/>
                    <w:jc w:val="right"/>
                    <w:rPr>
                      <w:rFonts w:cs="Arial"/>
                      <w:sz w:val="18"/>
                      <w:szCs w:val="18"/>
                    </w:rPr>
                  </w:pPr>
                  <w:r w:rsidRPr="007D206B">
                    <w:rPr>
                      <w:rFonts w:cs="Arial"/>
                      <w:sz w:val="18"/>
                      <w:szCs w:val="18"/>
                    </w:rPr>
                    <w:t>10,054</w:t>
                  </w:r>
                </w:p>
              </w:tc>
              <w:tc>
                <w:tcPr>
                  <w:tcW w:w="1394" w:type="dxa"/>
                  <w:tcBorders>
                    <w:bottom w:val="single" w:sz="4" w:space="0" w:color="C8C8C8"/>
                  </w:tcBorders>
                  <w:vAlign w:val="center"/>
                  <w:hideMark/>
                </w:tcPr>
                <w:p w:rsidR="001E6FB8" w:rsidRPr="007D206B" w:rsidRDefault="001E6FB8" w:rsidP="001E6FB8">
                  <w:pPr>
                    <w:spacing w:line="200" w:lineRule="exact"/>
                    <w:ind w:right="142"/>
                    <w:jc w:val="right"/>
                    <w:rPr>
                      <w:rFonts w:cs="Arial"/>
                      <w:sz w:val="18"/>
                      <w:szCs w:val="18"/>
                    </w:rPr>
                  </w:pPr>
                  <w:r w:rsidRPr="007D206B">
                    <w:rPr>
                      <w:rFonts w:cs="Arial"/>
                      <w:sz w:val="18"/>
                      <w:szCs w:val="18"/>
                    </w:rPr>
                    <w:t>44,028</w:t>
                  </w:r>
                </w:p>
              </w:tc>
            </w:tr>
            <w:tr w:rsidR="001E6FB8" w:rsidRPr="007D206B" w:rsidTr="001E6FB8">
              <w:trPr>
                <w:gridAfter w:val="1"/>
                <w:wAfter w:w="126" w:type="dxa"/>
                <w:trHeight w:val="358"/>
              </w:trPr>
              <w:tc>
                <w:tcPr>
                  <w:tcW w:w="4934" w:type="dxa"/>
                  <w:tcBorders>
                    <w:bottom w:val="single" w:sz="4" w:space="0" w:color="C8C8C8"/>
                  </w:tcBorders>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Fixed wireless &amp; satellite premises</w:t>
                  </w:r>
                </w:p>
              </w:tc>
              <w:tc>
                <w:tcPr>
                  <w:tcW w:w="3115" w:type="dxa"/>
                  <w:gridSpan w:val="3"/>
                  <w:tcBorders>
                    <w:bottom w:val="single" w:sz="4" w:space="0" w:color="C8C8C8"/>
                  </w:tcBorders>
                  <w:vAlign w:val="center"/>
                </w:tcPr>
                <w:p w:rsidR="001E6FB8" w:rsidRPr="007D206B" w:rsidRDefault="001E6FB8" w:rsidP="001E6FB8">
                  <w:pPr>
                    <w:spacing w:line="200" w:lineRule="exact"/>
                    <w:ind w:right="142"/>
                    <w:jc w:val="right"/>
                    <w:rPr>
                      <w:rFonts w:cs="Arial"/>
                      <w:sz w:val="18"/>
                      <w:szCs w:val="18"/>
                    </w:rPr>
                  </w:pPr>
                  <w:r w:rsidRPr="007D206B">
                    <w:rPr>
                      <w:rFonts w:cs="Arial"/>
                      <w:sz w:val="18"/>
                      <w:szCs w:val="18"/>
                    </w:rPr>
                    <w:t>173,885</w:t>
                  </w:r>
                </w:p>
              </w:tc>
              <w:tc>
                <w:tcPr>
                  <w:tcW w:w="1394" w:type="dxa"/>
                  <w:tcBorders>
                    <w:bottom w:val="single" w:sz="4" w:space="0" w:color="C8C8C8"/>
                  </w:tcBorders>
                  <w:vAlign w:val="center"/>
                  <w:hideMark/>
                </w:tcPr>
                <w:p w:rsidR="001E6FB8" w:rsidRPr="007D206B" w:rsidRDefault="001E6FB8" w:rsidP="001E6FB8">
                  <w:pPr>
                    <w:spacing w:line="200" w:lineRule="exact"/>
                    <w:ind w:right="142"/>
                    <w:jc w:val="right"/>
                    <w:rPr>
                      <w:rFonts w:cs="Arial"/>
                      <w:sz w:val="18"/>
                      <w:szCs w:val="18"/>
                    </w:rPr>
                  </w:pPr>
                  <w:r w:rsidRPr="007D206B">
                    <w:rPr>
                      <w:rFonts w:cs="Arial"/>
                      <w:sz w:val="18"/>
                      <w:szCs w:val="18"/>
                    </w:rPr>
                    <w:t>277,256</w:t>
                  </w:r>
                </w:p>
              </w:tc>
            </w:tr>
            <w:tr w:rsidR="001E6FB8" w:rsidRPr="007D206B" w:rsidTr="001E6FB8">
              <w:trPr>
                <w:gridAfter w:val="1"/>
                <w:wAfter w:w="126" w:type="dxa"/>
                <w:trHeight w:val="358"/>
              </w:trPr>
              <w:tc>
                <w:tcPr>
                  <w:tcW w:w="4934" w:type="dxa"/>
                  <w:tcBorders>
                    <w:bottom w:val="single" w:sz="4" w:space="0" w:color="C8C8C8"/>
                  </w:tcBorders>
                  <w:tcMar>
                    <w:top w:w="0" w:type="dxa"/>
                    <w:left w:w="113" w:type="dxa"/>
                    <w:bottom w:w="0" w:type="dxa"/>
                    <w:right w:w="0" w:type="dxa"/>
                  </w:tcMar>
                  <w:vAlign w:val="center"/>
                  <w:hideMark/>
                </w:tcPr>
                <w:p w:rsidR="001E6FB8" w:rsidRPr="007D206B" w:rsidRDefault="001E6FB8" w:rsidP="001E6FB8">
                  <w:pPr>
                    <w:spacing w:line="200" w:lineRule="exact"/>
                    <w:rPr>
                      <w:rFonts w:cs="Arial"/>
                      <w:b/>
                      <w:sz w:val="18"/>
                      <w:szCs w:val="18"/>
                    </w:rPr>
                  </w:pPr>
                  <w:r w:rsidRPr="007D206B">
                    <w:rPr>
                      <w:rFonts w:cs="Arial"/>
                      <w:i/>
                      <w:sz w:val="18"/>
                      <w:szCs w:val="18"/>
                    </w:rPr>
                    <w:t>Premises activated</w:t>
                  </w:r>
                </w:p>
              </w:tc>
              <w:tc>
                <w:tcPr>
                  <w:tcW w:w="3115" w:type="dxa"/>
                  <w:gridSpan w:val="3"/>
                  <w:tcBorders>
                    <w:bottom w:val="single" w:sz="4" w:space="0" w:color="C8C8C8"/>
                  </w:tcBorders>
                  <w:vAlign w:val="center"/>
                </w:tcPr>
                <w:p w:rsidR="001E6FB8" w:rsidRPr="007D206B" w:rsidRDefault="001E6FB8" w:rsidP="001E6FB8">
                  <w:pPr>
                    <w:spacing w:line="200" w:lineRule="exact"/>
                    <w:ind w:right="142"/>
                    <w:jc w:val="right"/>
                    <w:rPr>
                      <w:rFonts w:cs="Arial"/>
                      <w:sz w:val="18"/>
                      <w:szCs w:val="18"/>
                    </w:rPr>
                  </w:pPr>
                </w:p>
              </w:tc>
              <w:tc>
                <w:tcPr>
                  <w:tcW w:w="1394" w:type="dxa"/>
                  <w:tcBorders>
                    <w:bottom w:val="single" w:sz="4" w:space="0" w:color="C8C8C8"/>
                  </w:tcBorders>
                  <w:vAlign w:val="center"/>
                  <w:hideMark/>
                </w:tcPr>
                <w:p w:rsidR="001E6FB8" w:rsidRPr="007D206B" w:rsidRDefault="001E6FB8" w:rsidP="001E6FB8">
                  <w:pPr>
                    <w:spacing w:line="200" w:lineRule="exact"/>
                    <w:ind w:right="142"/>
                    <w:rPr>
                      <w:rFonts w:cs="Arial"/>
                      <w:sz w:val="18"/>
                      <w:szCs w:val="18"/>
                    </w:rPr>
                  </w:pPr>
                </w:p>
              </w:tc>
            </w:tr>
            <w:tr w:rsidR="001E6FB8" w:rsidRPr="007D206B" w:rsidTr="001E6FB8">
              <w:trPr>
                <w:gridAfter w:val="1"/>
                <w:wAfter w:w="126" w:type="dxa"/>
                <w:trHeight w:val="358"/>
              </w:trPr>
              <w:tc>
                <w:tcPr>
                  <w:tcW w:w="4934" w:type="dxa"/>
                  <w:tcBorders>
                    <w:bottom w:val="single" w:sz="4" w:space="0" w:color="C8C8C8"/>
                  </w:tcBorders>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 xml:space="preserve">Fibre </w:t>
                  </w:r>
                  <w:proofErr w:type="spellStart"/>
                  <w:r w:rsidRPr="007D206B">
                    <w:rPr>
                      <w:rFonts w:cs="Arial"/>
                      <w:sz w:val="18"/>
                      <w:szCs w:val="18"/>
                    </w:rPr>
                    <w:t>brownfields</w:t>
                  </w:r>
                  <w:proofErr w:type="spellEnd"/>
                  <w:r w:rsidRPr="007D206B">
                    <w:rPr>
                      <w:rFonts w:cs="Arial"/>
                      <w:sz w:val="18"/>
                      <w:szCs w:val="18"/>
                    </w:rPr>
                    <w:t xml:space="preserve"> premises</w:t>
                  </w:r>
                </w:p>
              </w:tc>
              <w:tc>
                <w:tcPr>
                  <w:tcW w:w="3115" w:type="dxa"/>
                  <w:gridSpan w:val="3"/>
                  <w:tcBorders>
                    <w:bottom w:val="single" w:sz="4" w:space="0" w:color="C8C8C8"/>
                  </w:tcBorders>
                  <w:vAlign w:val="center"/>
                </w:tcPr>
                <w:p w:rsidR="001E6FB8" w:rsidRPr="007D206B" w:rsidRDefault="001E6FB8" w:rsidP="001E6FB8">
                  <w:pPr>
                    <w:spacing w:line="200" w:lineRule="exact"/>
                    <w:ind w:right="142"/>
                    <w:jc w:val="right"/>
                    <w:rPr>
                      <w:rFonts w:cs="Arial"/>
                      <w:sz w:val="18"/>
                      <w:szCs w:val="18"/>
                    </w:rPr>
                  </w:pPr>
                  <w:r w:rsidRPr="007D206B">
                    <w:rPr>
                      <w:rFonts w:cs="Arial"/>
                      <w:sz w:val="18"/>
                      <w:szCs w:val="18"/>
                    </w:rPr>
                    <w:t>3,364</w:t>
                  </w:r>
                </w:p>
              </w:tc>
              <w:tc>
                <w:tcPr>
                  <w:tcW w:w="1394" w:type="dxa"/>
                  <w:tcBorders>
                    <w:bottom w:val="single" w:sz="4" w:space="0" w:color="C8C8C8"/>
                  </w:tcBorders>
                  <w:vAlign w:val="center"/>
                  <w:hideMark/>
                </w:tcPr>
                <w:p w:rsidR="001E6FB8" w:rsidRPr="007D206B" w:rsidRDefault="001E6FB8" w:rsidP="001E6FB8">
                  <w:pPr>
                    <w:spacing w:line="200" w:lineRule="exact"/>
                    <w:ind w:right="142"/>
                    <w:jc w:val="right"/>
                    <w:rPr>
                      <w:rFonts w:cs="Arial"/>
                      <w:sz w:val="18"/>
                      <w:szCs w:val="18"/>
                    </w:rPr>
                  </w:pPr>
                  <w:r w:rsidRPr="007D206B">
                    <w:rPr>
                      <w:rFonts w:cs="Arial"/>
                      <w:sz w:val="18"/>
                      <w:szCs w:val="18"/>
                    </w:rPr>
                    <w:t>20,441</w:t>
                  </w:r>
                </w:p>
              </w:tc>
            </w:tr>
            <w:tr w:rsidR="001E6FB8" w:rsidRPr="007D206B" w:rsidTr="001E6FB8">
              <w:trPr>
                <w:gridAfter w:val="1"/>
                <w:wAfter w:w="126" w:type="dxa"/>
                <w:trHeight w:val="358"/>
              </w:trPr>
              <w:tc>
                <w:tcPr>
                  <w:tcW w:w="4934" w:type="dxa"/>
                  <w:tcBorders>
                    <w:bottom w:val="single" w:sz="4" w:space="0" w:color="C8C8C8"/>
                  </w:tcBorders>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 xml:space="preserve">Fibre </w:t>
                  </w:r>
                  <w:proofErr w:type="spellStart"/>
                  <w:r w:rsidRPr="007D206B">
                    <w:rPr>
                      <w:rFonts w:cs="Arial"/>
                      <w:sz w:val="18"/>
                      <w:szCs w:val="18"/>
                    </w:rPr>
                    <w:t>greenfields</w:t>
                  </w:r>
                  <w:proofErr w:type="spellEnd"/>
                  <w:r w:rsidRPr="007D206B">
                    <w:rPr>
                      <w:rFonts w:cs="Arial"/>
                      <w:sz w:val="18"/>
                      <w:szCs w:val="18"/>
                    </w:rPr>
                    <w:t xml:space="preserve"> lots or premises</w:t>
                  </w:r>
                </w:p>
              </w:tc>
              <w:tc>
                <w:tcPr>
                  <w:tcW w:w="3115" w:type="dxa"/>
                  <w:gridSpan w:val="3"/>
                  <w:tcBorders>
                    <w:bottom w:val="single" w:sz="4" w:space="0" w:color="C8C8C8"/>
                  </w:tcBorders>
                  <w:vAlign w:val="center"/>
                </w:tcPr>
                <w:p w:rsidR="001E6FB8" w:rsidRPr="007D206B" w:rsidRDefault="001E6FB8" w:rsidP="001E6FB8">
                  <w:pPr>
                    <w:spacing w:line="200" w:lineRule="exact"/>
                    <w:ind w:right="142"/>
                    <w:jc w:val="right"/>
                    <w:rPr>
                      <w:rFonts w:cs="Arial"/>
                      <w:sz w:val="18"/>
                      <w:szCs w:val="18"/>
                    </w:rPr>
                  </w:pPr>
                  <w:r w:rsidRPr="007D206B">
                    <w:rPr>
                      <w:rFonts w:cs="Arial"/>
                      <w:sz w:val="18"/>
                      <w:szCs w:val="18"/>
                    </w:rPr>
                    <w:t>503</w:t>
                  </w:r>
                </w:p>
              </w:tc>
              <w:tc>
                <w:tcPr>
                  <w:tcW w:w="1394" w:type="dxa"/>
                  <w:tcBorders>
                    <w:bottom w:val="single" w:sz="4" w:space="0" w:color="C8C8C8"/>
                  </w:tcBorders>
                  <w:vAlign w:val="center"/>
                  <w:hideMark/>
                </w:tcPr>
                <w:p w:rsidR="001E6FB8" w:rsidRPr="007D206B" w:rsidRDefault="001E6FB8" w:rsidP="001E6FB8">
                  <w:pPr>
                    <w:spacing w:line="200" w:lineRule="exact"/>
                    <w:ind w:right="142"/>
                    <w:jc w:val="right"/>
                    <w:rPr>
                      <w:rFonts w:cs="Arial"/>
                      <w:sz w:val="18"/>
                      <w:szCs w:val="18"/>
                    </w:rPr>
                  </w:pPr>
                  <w:r w:rsidRPr="007D206B">
                    <w:rPr>
                      <w:rFonts w:cs="Arial"/>
                      <w:sz w:val="18"/>
                      <w:szCs w:val="18"/>
                    </w:rPr>
                    <w:t>13,145</w:t>
                  </w:r>
                </w:p>
              </w:tc>
            </w:tr>
            <w:tr w:rsidR="001E6FB8" w:rsidRPr="007D206B" w:rsidTr="001E6FB8">
              <w:trPr>
                <w:gridAfter w:val="1"/>
                <w:wAfter w:w="126" w:type="dxa"/>
                <w:trHeight w:val="358"/>
              </w:trPr>
              <w:tc>
                <w:tcPr>
                  <w:tcW w:w="4934" w:type="dxa"/>
                  <w:tcBorders>
                    <w:bottom w:val="single" w:sz="4" w:space="0" w:color="C8C8C8"/>
                  </w:tcBorders>
                  <w:tcMar>
                    <w:top w:w="0" w:type="dxa"/>
                    <w:left w:w="113" w:type="dxa"/>
                    <w:bottom w:w="0" w:type="dxa"/>
                    <w:right w:w="0" w:type="dxa"/>
                  </w:tcMar>
                  <w:vAlign w:val="center"/>
                  <w:hideMark/>
                </w:tcPr>
                <w:p w:rsidR="001E6FB8" w:rsidRPr="007D206B" w:rsidRDefault="001E6FB8" w:rsidP="001E6FB8">
                  <w:pPr>
                    <w:spacing w:line="200" w:lineRule="exact"/>
                    <w:ind w:left="720"/>
                    <w:rPr>
                      <w:rFonts w:cs="Arial"/>
                      <w:sz w:val="18"/>
                      <w:szCs w:val="18"/>
                    </w:rPr>
                  </w:pPr>
                  <w:r w:rsidRPr="007D206B">
                    <w:rPr>
                      <w:rFonts w:cs="Arial"/>
                      <w:sz w:val="18"/>
                      <w:szCs w:val="18"/>
                    </w:rPr>
                    <w:t>Fixed wireless &amp; satellite premises</w:t>
                  </w:r>
                </w:p>
              </w:tc>
              <w:tc>
                <w:tcPr>
                  <w:tcW w:w="3115" w:type="dxa"/>
                  <w:gridSpan w:val="3"/>
                  <w:tcBorders>
                    <w:bottom w:val="single" w:sz="4" w:space="0" w:color="C8C8C8"/>
                  </w:tcBorders>
                  <w:vAlign w:val="center"/>
                </w:tcPr>
                <w:p w:rsidR="001E6FB8" w:rsidRPr="007D206B" w:rsidRDefault="001E6FB8" w:rsidP="001E6FB8">
                  <w:pPr>
                    <w:spacing w:line="200" w:lineRule="exact"/>
                    <w:ind w:right="142"/>
                    <w:jc w:val="right"/>
                    <w:rPr>
                      <w:rFonts w:cs="Arial"/>
                      <w:sz w:val="18"/>
                      <w:szCs w:val="18"/>
                    </w:rPr>
                  </w:pPr>
                  <w:r w:rsidRPr="007D206B">
                    <w:rPr>
                      <w:rFonts w:cs="Arial"/>
                      <w:sz w:val="18"/>
                      <w:szCs w:val="18"/>
                    </w:rPr>
                    <w:t>9,669</w:t>
                  </w:r>
                </w:p>
              </w:tc>
              <w:tc>
                <w:tcPr>
                  <w:tcW w:w="1394" w:type="dxa"/>
                  <w:tcBorders>
                    <w:bottom w:val="single" w:sz="4" w:space="0" w:color="C8C8C8"/>
                  </w:tcBorders>
                  <w:vAlign w:val="center"/>
                  <w:hideMark/>
                </w:tcPr>
                <w:p w:rsidR="001E6FB8" w:rsidRPr="007D206B" w:rsidRDefault="001E6FB8" w:rsidP="001E6FB8">
                  <w:pPr>
                    <w:spacing w:line="200" w:lineRule="exact"/>
                    <w:ind w:right="142"/>
                    <w:jc w:val="right"/>
                    <w:rPr>
                      <w:rFonts w:cs="Arial"/>
                      <w:sz w:val="18"/>
                      <w:szCs w:val="18"/>
                    </w:rPr>
                  </w:pPr>
                  <w:r w:rsidRPr="007D206B">
                    <w:rPr>
                      <w:rFonts w:cs="Arial"/>
                      <w:sz w:val="18"/>
                      <w:szCs w:val="18"/>
                    </w:rPr>
                    <w:t>36,514</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60" w:after="60" w:line="240" w:lineRule="auto"/>
            </w:pPr>
            <w:r>
              <w:rPr>
                <w:rFonts w:cs="Arial"/>
                <w:i/>
                <w:sz w:val="16"/>
                <w:szCs w:val="16"/>
              </w:rPr>
              <w:t>*Includes Service Class 0 premises which were in the footprint of the NBN Fibre Network but not currently NBN serviceable for the purposes of the NBN Co fibre access service as at 30 June 2013.</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pageBreakBefore/>
              <w:rPr>
                <w:color w:val="00709E"/>
              </w:rPr>
            </w:pPr>
            <w:r w:rsidRPr="00CA48DE">
              <w:rPr>
                <w:rFonts w:cs="Arial"/>
                <w:color w:val="00709E"/>
              </w:rPr>
              <w:t>Volume of data downloaded</w:t>
            </w:r>
          </w:p>
        </w:tc>
      </w:tr>
      <w:tr w:rsidR="001E6FB8" w:rsidTr="001E6FB8">
        <w:trPr>
          <w:trHeight w:val="3086"/>
        </w:trPr>
        <w:tc>
          <w:tcPr>
            <w:tcW w:w="9645" w:type="dxa"/>
            <w:shd w:val="clear" w:color="auto" w:fill="auto"/>
            <w:tcMar>
              <w:left w:w="28" w:type="dxa"/>
            </w:tcMar>
          </w:tcPr>
          <w:tbl>
            <w:tblPr>
              <w:tblW w:w="951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501"/>
              <w:gridCol w:w="1270"/>
              <w:gridCol w:w="1559"/>
              <w:gridCol w:w="1181"/>
            </w:tblGrid>
            <w:tr w:rsidR="001E6FB8" w:rsidRPr="00CB3A2C" w:rsidTr="001E6FB8">
              <w:trPr>
                <w:trHeight w:val="284"/>
              </w:trPr>
              <w:tc>
                <w:tcPr>
                  <w:tcW w:w="5501" w:type="dxa"/>
                  <w:shd w:val="clear" w:color="auto" w:fill="00709E"/>
                  <w:tcMar>
                    <w:top w:w="34" w:type="dxa"/>
                    <w:left w:w="113" w:type="dxa"/>
                    <w:bottom w:w="0" w:type="dxa"/>
                    <w:right w:w="0" w:type="dxa"/>
                  </w:tcMar>
                  <w:hideMark/>
                </w:tcPr>
                <w:p w:rsidR="001E6FB8" w:rsidRPr="00CB3A2C" w:rsidRDefault="001E6FB8" w:rsidP="001E6FB8">
                  <w:pPr>
                    <w:pStyle w:val="TableHeading"/>
                    <w:ind w:firstLine="720"/>
                    <w:rPr>
                      <w:rFonts w:cs="Arial"/>
                      <w:color w:val="FFFFFF" w:themeColor="background1"/>
                      <w:sz w:val="18"/>
                    </w:rPr>
                  </w:pPr>
                </w:p>
              </w:tc>
              <w:tc>
                <w:tcPr>
                  <w:tcW w:w="1270" w:type="dxa"/>
                  <w:shd w:val="clear" w:color="auto" w:fill="00709E"/>
                </w:tcPr>
                <w:p w:rsidR="001E6FB8" w:rsidRPr="00CB3A2C" w:rsidRDefault="001E6FB8" w:rsidP="001E6FB8">
                  <w:pPr>
                    <w:pStyle w:val="TableHeading"/>
                    <w:ind w:right="142"/>
                    <w:jc w:val="right"/>
                    <w:rPr>
                      <w:rFonts w:cs="Arial"/>
                      <w:color w:val="FFFFFF" w:themeColor="background1"/>
                      <w:sz w:val="18"/>
                    </w:rPr>
                  </w:pPr>
                  <w:r w:rsidRPr="00CB3A2C">
                    <w:rPr>
                      <w:rFonts w:cs="Arial"/>
                      <w:color w:val="FFFFFF" w:themeColor="background1"/>
                      <w:sz w:val="18"/>
                    </w:rPr>
                    <w:t>Quarter ending</w:t>
                  </w:r>
                  <w:r w:rsidRPr="00CB3A2C">
                    <w:rPr>
                      <w:rFonts w:cs="Arial"/>
                      <w:color w:val="FFFFFF" w:themeColor="background1"/>
                      <w:sz w:val="18"/>
                    </w:rPr>
                    <w:br/>
                    <w:t>June 2012</w:t>
                  </w:r>
                </w:p>
              </w:tc>
              <w:tc>
                <w:tcPr>
                  <w:tcW w:w="1559" w:type="dxa"/>
                  <w:shd w:val="clear" w:color="auto" w:fill="00709E"/>
                </w:tcPr>
                <w:p w:rsidR="001E6FB8" w:rsidRPr="00CB3A2C" w:rsidRDefault="001E6FB8" w:rsidP="001E6FB8">
                  <w:pPr>
                    <w:pStyle w:val="TableHeading"/>
                    <w:ind w:right="142"/>
                    <w:jc w:val="right"/>
                    <w:rPr>
                      <w:rFonts w:cs="Arial"/>
                      <w:color w:val="FFFFFF" w:themeColor="background1"/>
                      <w:sz w:val="18"/>
                    </w:rPr>
                  </w:pPr>
                  <w:r w:rsidRPr="00CB3A2C">
                    <w:rPr>
                      <w:rFonts w:cs="Arial"/>
                      <w:color w:val="FFFFFF" w:themeColor="background1"/>
                      <w:sz w:val="18"/>
                    </w:rPr>
                    <w:t xml:space="preserve">Quarter </w:t>
                  </w:r>
                  <w:r>
                    <w:rPr>
                      <w:rFonts w:cs="Arial"/>
                      <w:color w:val="FFFFFF" w:themeColor="background1"/>
                      <w:sz w:val="18"/>
                    </w:rPr>
                    <w:br/>
                  </w:r>
                  <w:r w:rsidRPr="00CB3A2C">
                    <w:rPr>
                      <w:rFonts w:cs="Arial"/>
                      <w:color w:val="FFFFFF" w:themeColor="background1"/>
                      <w:sz w:val="18"/>
                    </w:rPr>
                    <w:t>ending</w:t>
                  </w:r>
                  <w:r w:rsidRPr="00CB3A2C">
                    <w:rPr>
                      <w:rFonts w:cs="Arial"/>
                      <w:color w:val="FFFFFF" w:themeColor="background1"/>
                      <w:sz w:val="18"/>
                    </w:rPr>
                    <w:br/>
                    <w:t>June 2013</w:t>
                  </w:r>
                </w:p>
              </w:tc>
              <w:tc>
                <w:tcPr>
                  <w:tcW w:w="1181" w:type="dxa"/>
                  <w:shd w:val="clear" w:color="auto" w:fill="00709E"/>
                  <w:tcMar>
                    <w:top w:w="0" w:type="dxa"/>
                    <w:left w:w="113" w:type="dxa"/>
                    <w:bottom w:w="0" w:type="dxa"/>
                    <w:right w:w="0" w:type="dxa"/>
                  </w:tcMar>
                  <w:hideMark/>
                </w:tcPr>
                <w:p w:rsidR="001E6FB8" w:rsidRPr="00CB3A2C" w:rsidRDefault="001E6FB8" w:rsidP="001E6FB8">
                  <w:pPr>
                    <w:pStyle w:val="TableHeading"/>
                    <w:ind w:right="142"/>
                    <w:jc w:val="right"/>
                    <w:rPr>
                      <w:rFonts w:cs="Arial"/>
                      <w:color w:val="FFFFFF" w:themeColor="background1"/>
                      <w:sz w:val="18"/>
                    </w:rPr>
                  </w:pPr>
                  <w:r w:rsidRPr="00CB3A2C">
                    <w:rPr>
                      <w:rFonts w:cs="Arial"/>
                      <w:color w:val="FFFFFF" w:themeColor="background1"/>
                      <w:sz w:val="18"/>
                    </w:rPr>
                    <w:t>% change</w:t>
                  </w:r>
                </w:p>
                <w:p w:rsidR="001E6FB8" w:rsidRPr="00CB3A2C" w:rsidRDefault="001E6FB8" w:rsidP="001E6FB8">
                  <w:pPr>
                    <w:pStyle w:val="TableHeading"/>
                    <w:ind w:right="142"/>
                    <w:jc w:val="right"/>
                    <w:rPr>
                      <w:rFonts w:cs="Arial"/>
                      <w:color w:val="FFFFFF" w:themeColor="background1"/>
                      <w:sz w:val="18"/>
                    </w:rPr>
                  </w:pPr>
                </w:p>
              </w:tc>
            </w:tr>
            <w:tr w:rsidR="001E6FB8" w:rsidRPr="00CB3A2C" w:rsidTr="001E6FB8">
              <w:trPr>
                <w:trHeight w:val="284"/>
              </w:trPr>
              <w:tc>
                <w:tcPr>
                  <w:tcW w:w="5501"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Fixed-line broadband*</w:t>
                  </w:r>
                </w:p>
              </w:tc>
              <w:tc>
                <w:tcPr>
                  <w:tcW w:w="1270" w:type="dxa"/>
                  <w:vAlign w:val="center"/>
                </w:tcPr>
                <w:p w:rsidR="001E6FB8" w:rsidRPr="00CB3A2C" w:rsidRDefault="001E6FB8" w:rsidP="001E6FB8">
                  <w:pPr>
                    <w:ind w:right="142"/>
                    <w:jc w:val="right"/>
                    <w:rPr>
                      <w:rFonts w:cs="Arial"/>
                    </w:rPr>
                  </w:pPr>
                  <w:r w:rsidRPr="00CB3A2C">
                    <w:rPr>
                      <w:rFonts w:cs="Arial"/>
                      <w:sz w:val="18"/>
                    </w:rPr>
                    <w:t>389,130 TB</w:t>
                  </w:r>
                </w:p>
              </w:tc>
              <w:tc>
                <w:tcPr>
                  <w:tcW w:w="1559" w:type="dxa"/>
                  <w:vAlign w:val="center"/>
                </w:tcPr>
                <w:p w:rsidR="001E6FB8" w:rsidRPr="00CB3A2C" w:rsidRDefault="001E6FB8" w:rsidP="001E6FB8">
                  <w:pPr>
                    <w:ind w:right="142"/>
                    <w:jc w:val="right"/>
                    <w:rPr>
                      <w:rFonts w:cs="Arial"/>
                    </w:rPr>
                  </w:pPr>
                  <w:r w:rsidRPr="00CB3A2C">
                    <w:rPr>
                      <w:rFonts w:cs="Arial"/>
                      <w:sz w:val="18"/>
                    </w:rPr>
                    <w:t>629,964 TB</w:t>
                  </w:r>
                </w:p>
              </w:tc>
              <w:tc>
                <w:tcPr>
                  <w:tcW w:w="1181" w:type="dxa"/>
                  <w:tcMar>
                    <w:top w:w="0" w:type="dxa"/>
                    <w:left w:w="113" w:type="dxa"/>
                    <w:bottom w:w="0" w:type="dxa"/>
                    <w:right w:w="0" w:type="dxa"/>
                  </w:tcMar>
                  <w:vAlign w:val="center"/>
                  <w:hideMark/>
                </w:tcPr>
                <w:p w:rsidR="001E6FB8" w:rsidRPr="00CB3A2C" w:rsidRDefault="001E6FB8" w:rsidP="001E6FB8">
                  <w:pPr>
                    <w:ind w:right="142"/>
                    <w:jc w:val="right"/>
                    <w:rPr>
                      <w:rFonts w:cs="Arial"/>
                      <w:sz w:val="18"/>
                    </w:rPr>
                  </w:pPr>
                  <w:r w:rsidRPr="00CB3A2C">
                    <w:rPr>
                      <w:rFonts w:cs="Arial"/>
                      <w:sz w:val="18"/>
                    </w:rPr>
                    <w:t>+62%</w:t>
                  </w:r>
                </w:p>
              </w:tc>
            </w:tr>
            <w:tr w:rsidR="001E6FB8" w:rsidRPr="00CB3A2C" w:rsidTr="001E6FB8">
              <w:trPr>
                <w:trHeight w:val="284"/>
              </w:trPr>
              <w:tc>
                <w:tcPr>
                  <w:tcW w:w="5501"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Wireless broadband</w:t>
                  </w:r>
                  <w:r w:rsidRPr="00CB3A2C">
                    <w:rPr>
                      <w:rFonts w:cs="Arial"/>
                      <w:bCs/>
                      <w:sz w:val="18"/>
                      <w:szCs w:val="16"/>
                      <w:vertAlign w:val="superscript"/>
                    </w:rPr>
                    <w:t>†</w:t>
                  </w:r>
                </w:p>
              </w:tc>
              <w:tc>
                <w:tcPr>
                  <w:tcW w:w="1270" w:type="dxa"/>
                  <w:vAlign w:val="center"/>
                </w:tcPr>
                <w:p w:rsidR="001E6FB8" w:rsidRPr="00CB3A2C" w:rsidRDefault="001E6FB8" w:rsidP="001E6FB8">
                  <w:pPr>
                    <w:ind w:right="142"/>
                    <w:jc w:val="right"/>
                    <w:rPr>
                      <w:rFonts w:cs="Arial"/>
                    </w:rPr>
                  </w:pPr>
                  <w:r w:rsidRPr="00CB3A2C">
                    <w:rPr>
                      <w:rFonts w:cs="Arial"/>
                      <w:sz w:val="18"/>
                    </w:rPr>
                    <w:t>25,301 TB</w:t>
                  </w:r>
                </w:p>
              </w:tc>
              <w:tc>
                <w:tcPr>
                  <w:tcW w:w="1559" w:type="dxa"/>
                  <w:vAlign w:val="center"/>
                </w:tcPr>
                <w:p w:rsidR="001E6FB8" w:rsidRPr="00CB3A2C" w:rsidRDefault="001E6FB8" w:rsidP="001E6FB8">
                  <w:pPr>
                    <w:ind w:right="142"/>
                    <w:jc w:val="right"/>
                    <w:rPr>
                      <w:rFonts w:cs="Arial"/>
                    </w:rPr>
                  </w:pPr>
                  <w:r w:rsidRPr="00CB3A2C">
                    <w:rPr>
                      <w:rFonts w:cs="Arial"/>
                      <w:sz w:val="18"/>
                    </w:rPr>
                    <w:t>27,232 TB</w:t>
                  </w:r>
                </w:p>
              </w:tc>
              <w:tc>
                <w:tcPr>
                  <w:tcW w:w="1181" w:type="dxa"/>
                  <w:tcMar>
                    <w:top w:w="0" w:type="dxa"/>
                    <w:left w:w="113" w:type="dxa"/>
                    <w:bottom w:w="0" w:type="dxa"/>
                    <w:right w:w="0" w:type="dxa"/>
                  </w:tcMar>
                  <w:vAlign w:val="center"/>
                  <w:hideMark/>
                </w:tcPr>
                <w:p w:rsidR="001E6FB8" w:rsidRPr="00CB3A2C" w:rsidRDefault="001E6FB8" w:rsidP="001E6FB8">
                  <w:pPr>
                    <w:ind w:right="142"/>
                    <w:jc w:val="right"/>
                    <w:rPr>
                      <w:rFonts w:cs="Arial"/>
                      <w:sz w:val="18"/>
                    </w:rPr>
                  </w:pPr>
                  <w:r w:rsidRPr="00CB3A2C">
                    <w:rPr>
                      <w:rFonts w:cs="Arial"/>
                      <w:sz w:val="18"/>
                    </w:rPr>
                    <w:t>+8%</w:t>
                  </w:r>
                </w:p>
              </w:tc>
            </w:tr>
            <w:tr w:rsidR="001E6FB8" w:rsidRPr="00CB3A2C" w:rsidTr="001E6FB8">
              <w:trPr>
                <w:trHeight w:val="284"/>
              </w:trPr>
              <w:tc>
                <w:tcPr>
                  <w:tcW w:w="5501"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Mobile handset internet</w:t>
                  </w:r>
                </w:p>
              </w:tc>
              <w:tc>
                <w:tcPr>
                  <w:tcW w:w="1270" w:type="dxa"/>
                  <w:vAlign w:val="center"/>
                </w:tcPr>
                <w:p w:rsidR="001E6FB8" w:rsidRPr="00CB3A2C" w:rsidRDefault="001E6FB8" w:rsidP="001E6FB8">
                  <w:pPr>
                    <w:ind w:right="142"/>
                    <w:jc w:val="right"/>
                    <w:rPr>
                      <w:rFonts w:cs="Arial"/>
                      <w:color w:val="808285"/>
                      <w:spacing w:val="-28"/>
                      <w:sz w:val="53"/>
                    </w:rPr>
                  </w:pPr>
                  <w:r w:rsidRPr="00CB3A2C">
                    <w:rPr>
                      <w:rFonts w:cs="Arial"/>
                      <w:sz w:val="18"/>
                    </w:rPr>
                    <w:t>9,943 TB</w:t>
                  </w:r>
                </w:p>
              </w:tc>
              <w:tc>
                <w:tcPr>
                  <w:tcW w:w="1559" w:type="dxa"/>
                  <w:vAlign w:val="center"/>
                </w:tcPr>
                <w:p w:rsidR="001E6FB8" w:rsidRPr="00CB3A2C" w:rsidRDefault="001E6FB8" w:rsidP="001E6FB8">
                  <w:pPr>
                    <w:ind w:right="142"/>
                    <w:jc w:val="right"/>
                    <w:rPr>
                      <w:rFonts w:cs="Arial"/>
                      <w:color w:val="808285"/>
                      <w:spacing w:val="-28"/>
                      <w:sz w:val="53"/>
                    </w:rPr>
                  </w:pPr>
                  <w:r w:rsidRPr="00CB3A2C">
                    <w:rPr>
                      <w:rFonts w:cs="Arial"/>
                      <w:sz w:val="18"/>
                    </w:rPr>
                    <w:t>19,636</w:t>
                  </w:r>
                  <w:r>
                    <w:rPr>
                      <w:rFonts w:cs="Arial"/>
                      <w:sz w:val="18"/>
                    </w:rPr>
                    <w:t xml:space="preserve"> </w:t>
                  </w:r>
                  <w:r w:rsidRPr="00CB3A2C">
                    <w:rPr>
                      <w:rFonts w:cs="Arial"/>
                      <w:sz w:val="18"/>
                    </w:rPr>
                    <w:t>TB</w:t>
                  </w:r>
                </w:p>
              </w:tc>
              <w:tc>
                <w:tcPr>
                  <w:tcW w:w="1181" w:type="dxa"/>
                  <w:tcMar>
                    <w:top w:w="0" w:type="dxa"/>
                    <w:left w:w="113" w:type="dxa"/>
                    <w:bottom w:w="0" w:type="dxa"/>
                    <w:right w:w="0" w:type="dxa"/>
                  </w:tcMar>
                  <w:vAlign w:val="center"/>
                  <w:hideMark/>
                </w:tcPr>
                <w:p w:rsidR="001E6FB8" w:rsidRPr="00CB3A2C" w:rsidRDefault="001E6FB8" w:rsidP="001E6FB8">
                  <w:pPr>
                    <w:ind w:right="142"/>
                    <w:jc w:val="right"/>
                    <w:rPr>
                      <w:rFonts w:cs="Arial"/>
                      <w:sz w:val="18"/>
                    </w:rPr>
                  </w:pPr>
                  <w:r w:rsidRPr="00CB3A2C">
                    <w:rPr>
                      <w:rFonts w:cs="Arial"/>
                      <w:sz w:val="18"/>
                    </w:rPr>
                    <w:t>+97%</w:t>
                  </w:r>
                </w:p>
              </w:tc>
            </w:tr>
            <w:tr w:rsidR="001E6FB8" w:rsidRPr="00CB3A2C" w:rsidTr="001E6FB8">
              <w:trPr>
                <w:trHeight w:val="284"/>
              </w:trPr>
              <w:tc>
                <w:tcPr>
                  <w:tcW w:w="5501" w:type="dxa"/>
                  <w:tcMar>
                    <w:top w:w="0" w:type="dxa"/>
                    <w:left w:w="113" w:type="dxa"/>
                    <w:bottom w:w="0" w:type="dxa"/>
                    <w:right w:w="0" w:type="dxa"/>
                  </w:tcMar>
                  <w:vAlign w:val="center"/>
                  <w:hideMark/>
                </w:tcPr>
                <w:p w:rsidR="001E6FB8" w:rsidRPr="00CB3A2C" w:rsidRDefault="001E6FB8" w:rsidP="001E6FB8">
                  <w:pPr>
                    <w:rPr>
                      <w:rFonts w:cs="Arial"/>
                      <w:b/>
                      <w:sz w:val="18"/>
                    </w:rPr>
                  </w:pPr>
                  <w:r w:rsidRPr="00CB3A2C">
                    <w:rPr>
                      <w:rFonts w:cs="Arial"/>
                      <w:b/>
                      <w:sz w:val="18"/>
                    </w:rPr>
                    <w:t xml:space="preserve">Total volume of data downloaded </w:t>
                  </w:r>
                </w:p>
              </w:tc>
              <w:tc>
                <w:tcPr>
                  <w:tcW w:w="1270" w:type="dxa"/>
                  <w:vAlign w:val="center"/>
                </w:tcPr>
                <w:p w:rsidR="001E6FB8" w:rsidRPr="00CB3A2C" w:rsidRDefault="001E6FB8" w:rsidP="001E6FB8">
                  <w:pPr>
                    <w:ind w:right="142"/>
                    <w:jc w:val="right"/>
                    <w:rPr>
                      <w:rFonts w:cs="Arial"/>
                      <w:b/>
                      <w:sz w:val="18"/>
                    </w:rPr>
                  </w:pPr>
                  <w:r w:rsidRPr="00CB3A2C">
                    <w:rPr>
                      <w:rFonts w:cs="Arial"/>
                      <w:b/>
                      <w:sz w:val="18"/>
                    </w:rPr>
                    <w:t>424,480 TB</w:t>
                  </w:r>
                </w:p>
              </w:tc>
              <w:tc>
                <w:tcPr>
                  <w:tcW w:w="1559" w:type="dxa"/>
                  <w:vAlign w:val="center"/>
                </w:tcPr>
                <w:p w:rsidR="001E6FB8" w:rsidRPr="00CB3A2C" w:rsidRDefault="001E6FB8" w:rsidP="001E6FB8">
                  <w:pPr>
                    <w:ind w:right="142"/>
                    <w:jc w:val="right"/>
                    <w:rPr>
                      <w:rFonts w:cs="Arial"/>
                      <w:b/>
                      <w:sz w:val="18"/>
                    </w:rPr>
                  </w:pPr>
                  <w:r w:rsidRPr="00CB3A2C">
                    <w:rPr>
                      <w:rFonts w:cs="Arial"/>
                      <w:b/>
                      <w:sz w:val="18"/>
                    </w:rPr>
                    <w:t>676,898 TB</w:t>
                  </w:r>
                </w:p>
              </w:tc>
              <w:tc>
                <w:tcPr>
                  <w:tcW w:w="1181" w:type="dxa"/>
                  <w:tcMar>
                    <w:top w:w="0" w:type="dxa"/>
                    <w:left w:w="113" w:type="dxa"/>
                    <w:bottom w:w="0" w:type="dxa"/>
                    <w:right w:w="0" w:type="dxa"/>
                  </w:tcMar>
                  <w:vAlign w:val="center"/>
                  <w:hideMark/>
                </w:tcPr>
                <w:p w:rsidR="001E6FB8" w:rsidRPr="00CB3A2C" w:rsidRDefault="001E6FB8" w:rsidP="001E6FB8">
                  <w:pPr>
                    <w:ind w:right="142"/>
                    <w:jc w:val="right"/>
                    <w:rPr>
                      <w:rFonts w:cs="Arial"/>
                      <w:b/>
                      <w:sz w:val="18"/>
                    </w:rPr>
                  </w:pPr>
                  <w:r w:rsidRPr="00CB3A2C">
                    <w:rPr>
                      <w:rFonts w:cs="Arial"/>
                      <w:b/>
                      <w:sz w:val="18"/>
                    </w:rPr>
                    <w:t>+59%</w:t>
                  </w:r>
                </w:p>
              </w:tc>
            </w:tr>
            <w:tr w:rsidR="001E6FB8" w:rsidRPr="00CB3A2C" w:rsidTr="001E6FB8">
              <w:trPr>
                <w:trHeight w:val="284"/>
              </w:trPr>
              <w:tc>
                <w:tcPr>
                  <w:tcW w:w="5501"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Average volume of data downloaded per subscriber fixed-</w:t>
                  </w:r>
                  <w:r>
                    <w:rPr>
                      <w:rFonts w:cs="Arial"/>
                      <w:sz w:val="18"/>
                    </w:rPr>
                    <w:t xml:space="preserve">line </w:t>
                  </w:r>
                  <w:r w:rsidRPr="00CB3A2C">
                    <w:rPr>
                      <w:rFonts w:cs="Arial"/>
                      <w:sz w:val="18"/>
                    </w:rPr>
                    <w:t>broad</w:t>
                  </w:r>
                  <w:r>
                    <w:rPr>
                      <w:rFonts w:cs="Arial"/>
                      <w:sz w:val="18"/>
                    </w:rPr>
                    <w:t>band</w:t>
                  </w:r>
                  <w:r w:rsidRPr="00CB3A2C">
                    <w:rPr>
                      <w:rFonts w:cs="Arial"/>
                      <w:sz w:val="18"/>
                    </w:rPr>
                    <w:t xml:space="preserve"> subscribers</w:t>
                  </w:r>
                </w:p>
              </w:tc>
              <w:tc>
                <w:tcPr>
                  <w:tcW w:w="1270" w:type="dxa"/>
                  <w:vAlign w:val="center"/>
                </w:tcPr>
                <w:p w:rsidR="001E6FB8" w:rsidRPr="00CB3A2C" w:rsidRDefault="001E6FB8" w:rsidP="001E6FB8">
                  <w:pPr>
                    <w:ind w:right="142"/>
                    <w:jc w:val="right"/>
                    <w:rPr>
                      <w:rFonts w:cs="Arial"/>
                      <w:sz w:val="18"/>
                    </w:rPr>
                  </w:pPr>
                  <w:r>
                    <w:rPr>
                      <w:rFonts w:cs="Arial"/>
                      <w:sz w:val="18"/>
                    </w:rPr>
                    <w:t>69.5</w:t>
                  </w:r>
                  <w:r w:rsidRPr="00CB3A2C">
                    <w:rPr>
                      <w:rFonts w:cs="Arial"/>
                      <w:sz w:val="18"/>
                    </w:rPr>
                    <w:t xml:space="preserve"> GB</w:t>
                  </w:r>
                </w:p>
              </w:tc>
              <w:tc>
                <w:tcPr>
                  <w:tcW w:w="1559" w:type="dxa"/>
                  <w:vAlign w:val="center"/>
                </w:tcPr>
                <w:p w:rsidR="001E6FB8" w:rsidRPr="00CB3A2C" w:rsidRDefault="001E6FB8" w:rsidP="001E6FB8">
                  <w:pPr>
                    <w:ind w:right="142"/>
                    <w:jc w:val="right"/>
                    <w:rPr>
                      <w:rFonts w:cs="Arial"/>
                      <w:sz w:val="18"/>
                    </w:rPr>
                  </w:pPr>
                  <w:r w:rsidRPr="00CB3A2C">
                    <w:rPr>
                      <w:rFonts w:cs="Arial"/>
                      <w:sz w:val="18"/>
                    </w:rPr>
                    <w:t>107.9 GB</w:t>
                  </w:r>
                </w:p>
              </w:tc>
              <w:tc>
                <w:tcPr>
                  <w:tcW w:w="1181" w:type="dxa"/>
                  <w:tcMar>
                    <w:top w:w="0" w:type="dxa"/>
                    <w:left w:w="113" w:type="dxa"/>
                    <w:bottom w:w="0" w:type="dxa"/>
                    <w:right w:w="0" w:type="dxa"/>
                  </w:tcMar>
                  <w:vAlign w:val="center"/>
                  <w:hideMark/>
                </w:tcPr>
                <w:p w:rsidR="001E6FB8" w:rsidRPr="00CB3A2C" w:rsidRDefault="001E6FB8" w:rsidP="001E6FB8">
                  <w:pPr>
                    <w:ind w:right="142"/>
                    <w:jc w:val="right"/>
                    <w:rPr>
                      <w:rFonts w:cs="Arial"/>
                      <w:sz w:val="18"/>
                    </w:rPr>
                  </w:pPr>
                  <w:r w:rsidRPr="00CB3A2C">
                    <w:rPr>
                      <w:rFonts w:cs="Arial"/>
                      <w:sz w:val="18"/>
                    </w:rPr>
                    <w:t>+</w:t>
                  </w:r>
                  <w:r>
                    <w:rPr>
                      <w:rFonts w:cs="Arial"/>
                      <w:sz w:val="18"/>
                    </w:rPr>
                    <w:t>55</w:t>
                  </w:r>
                  <w:r w:rsidRPr="00CB3A2C">
                    <w:rPr>
                      <w:rFonts w:cs="Arial"/>
                      <w:sz w:val="18"/>
                    </w:rPr>
                    <w:t>%</w:t>
                  </w:r>
                </w:p>
              </w:tc>
            </w:tr>
            <w:tr w:rsidR="001E6FB8" w:rsidRPr="00CB3A2C" w:rsidTr="001E6FB8">
              <w:trPr>
                <w:trHeight w:val="284"/>
              </w:trPr>
              <w:tc>
                <w:tcPr>
                  <w:tcW w:w="5501"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Average volume of data downloaded per wireless broadband subscriber</w:t>
                  </w:r>
                </w:p>
              </w:tc>
              <w:tc>
                <w:tcPr>
                  <w:tcW w:w="1270" w:type="dxa"/>
                  <w:vAlign w:val="center"/>
                </w:tcPr>
                <w:p w:rsidR="001E6FB8" w:rsidRPr="00CB3A2C" w:rsidRDefault="001E6FB8" w:rsidP="001E6FB8">
                  <w:pPr>
                    <w:ind w:right="142"/>
                    <w:jc w:val="right"/>
                    <w:rPr>
                      <w:rFonts w:cs="Arial"/>
                      <w:sz w:val="18"/>
                    </w:rPr>
                  </w:pPr>
                  <w:r w:rsidRPr="00CB3A2C">
                    <w:rPr>
                      <w:rFonts w:cs="Arial"/>
                      <w:sz w:val="18"/>
                    </w:rPr>
                    <w:t>4.</w:t>
                  </w:r>
                  <w:r>
                    <w:rPr>
                      <w:rFonts w:cs="Arial"/>
                      <w:sz w:val="18"/>
                    </w:rPr>
                    <w:t>2</w:t>
                  </w:r>
                  <w:r w:rsidRPr="00CB3A2C">
                    <w:rPr>
                      <w:rFonts w:cs="Arial"/>
                      <w:sz w:val="18"/>
                    </w:rPr>
                    <w:t xml:space="preserve"> GB</w:t>
                  </w:r>
                </w:p>
              </w:tc>
              <w:tc>
                <w:tcPr>
                  <w:tcW w:w="1559" w:type="dxa"/>
                  <w:vAlign w:val="center"/>
                </w:tcPr>
                <w:p w:rsidR="001E6FB8" w:rsidRPr="00CB3A2C" w:rsidRDefault="001E6FB8" w:rsidP="001E6FB8">
                  <w:pPr>
                    <w:ind w:right="142"/>
                    <w:jc w:val="right"/>
                    <w:rPr>
                      <w:rFonts w:cs="Arial"/>
                      <w:sz w:val="18"/>
                    </w:rPr>
                  </w:pPr>
                  <w:r w:rsidRPr="00CB3A2C">
                    <w:rPr>
                      <w:rFonts w:cs="Arial"/>
                      <w:sz w:val="18"/>
                    </w:rPr>
                    <w:t>4.3 GB</w:t>
                  </w:r>
                </w:p>
              </w:tc>
              <w:tc>
                <w:tcPr>
                  <w:tcW w:w="1181" w:type="dxa"/>
                  <w:tcMar>
                    <w:top w:w="0" w:type="dxa"/>
                    <w:left w:w="113" w:type="dxa"/>
                    <w:bottom w:w="0" w:type="dxa"/>
                    <w:right w:w="0" w:type="dxa"/>
                  </w:tcMar>
                  <w:vAlign w:val="center"/>
                  <w:hideMark/>
                </w:tcPr>
                <w:p w:rsidR="001E6FB8" w:rsidRPr="00CB3A2C" w:rsidRDefault="001E6FB8" w:rsidP="001E6FB8">
                  <w:pPr>
                    <w:ind w:right="142"/>
                    <w:jc w:val="right"/>
                    <w:rPr>
                      <w:rFonts w:cs="Arial"/>
                      <w:sz w:val="18"/>
                    </w:rPr>
                  </w:pPr>
                  <w:r w:rsidRPr="00CB3A2C">
                    <w:rPr>
                      <w:rFonts w:cs="Arial"/>
                      <w:sz w:val="18"/>
                    </w:rPr>
                    <w:t>+</w:t>
                  </w:r>
                  <w:r>
                    <w:rPr>
                      <w:rFonts w:cs="Arial"/>
                      <w:sz w:val="18"/>
                    </w:rPr>
                    <w:t>2</w:t>
                  </w:r>
                  <w:r w:rsidRPr="00CB3A2C">
                    <w:rPr>
                      <w:rFonts w:cs="Arial"/>
                      <w:sz w:val="18"/>
                    </w:rPr>
                    <w:t>%</w:t>
                  </w:r>
                </w:p>
              </w:tc>
            </w:tr>
            <w:tr w:rsidR="001E6FB8" w:rsidRPr="00CB3A2C" w:rsidTr="001E6FB8">
              <w:trPr>
                <w:trHeight w:val="284"/>
              </w:trPr>
              <w:tc>
                <w:tcPr>
                  <w:tcW w:w="5501"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Average volume of data downloaded per mobile phone handset internet subscriber</w:t>
                  </w:r>
                </w:p>
              </w:tc>
              <w:tc>
                <w:tcPr>
                  <w:tcW w:w="1270" w:type="dxa"/>
                  <w:vAlign w:val="center"/>
                </w:tcPr>
                <w:p w:rsidR="001E6FB8" w:rsidRPr="00CB3A2C" w:rsidRDefault="001E6FB8" w:rsidP="001E6FB8">
                  <w:pPr>
                    <w:ind w:right="142"/>
                    <w:jc w:val="right"/>
                    <w:rPr>
                      <w:rFonts w:cs="Arial"/>
                      <w:sz w:val="18"/>
                    </w:rPr>
                  </w:pPr>
                  <w:r w:rsidRPr="00CB3A2C">
                    <w:rPr>
                      <w:rFonts w:cs="Arial"/>
                      <w:sz w:val="18"/>
                    </w:rPr>
                    <w:t>0.</w:t>
                  </w:r>
                  <w:r>
                    <w:rPr>
                      <w:rFonts w:cs="Arial"/>
                      <w:sz w:val="18"/>
                    </w:rPr>
                    <w:t>61</w:t>
                  </w:r>
                  <w:r w:rsidRPr="00CB3A2C">
                    <w:rPr>
                      <w:rFonts w:cs="Arial"/>
                      <w:sz w:val="18"/>
                    </w:rPr>
                    <w:t xml:space="preserve"> GB</w:t>
                  </w:r>
                </w:p>
              </w:tc>
              <w:tc>
                <w:tcPr>
                  <w:tcW w:w="1559" w:type="dxa"/>
                  <w:vAlign w:val="center"/>
                </w:tcPr>
                <w:p w:rsidR="001E6FB8" w:rsidRPr="00CB3A2C" w:rsidRDefault="001E6FB8" w:rsidP="001E6FB8">
                  <w:pPr>
                    <w:ind w:right="142"/>
                    <w:jc w:val="right"/>
                    <w:rPr>
                      <w:rFonts w:cs="Arial"/>
                      <w:sz w:val="18"/>
                    </w:rPr>
                  </w:pPr>
                  <w:r w:rsidRPr="00CB3A2C">
                    <w:rPr>
                      <w:rFonts w:cs="Arial"/>
                      <w:sz w:val="18"/>
                    </w:rPr>
                    <w:t xml:space="preserve">1.0 GB </w:t>
                  </w:r>
                </w:p>
              </w:tc>
              <w:tc>
                <w:tcPr>
                  <w:tcW w:w="1181" w:type="dxa"/>
                  <w:tcMar>
                    <w:top w:w="0" w:type="dxa"/>
                    <w:left w:w="113" w:type="dxa"/>
                    <w:bottom w:w="0" w:type="dxa"/>
                    <w:right w:w="0" w:type="dxa"/>
                  </w:tcMar>
                  <w:vAlign w:val="center"/>
                  <w:hideMark/>
                </w:tcPr>
                <w:p w:rsidR="001E6FB8" w:rsidRPr="00CB3A2C" w:rsidRDefault="001E6FB8" w:rsidP="001E6FB8">
                  <w:pPr>
                    <w:ind w:right="142"/>
                    <w:jc w:val="right"/>
                    <w:rPr>
                      <w:rFonts w:cs="Arial"/>
                      <w:sz w:val="18"/>
                    </w:rPr>
                  </w:pPr>
                  <w:r w:rsidRPr="00CB3A2C">
                    <w:rPr>
                      <w:rFonts w:cs="Arial"/>
                      <w:sz w:val="18"/>
                    </w:rPr>
                    <w:t>+</w:t>
                  </w:r>
                  <w:r>
                    <w:rPr>
                      <w:rFonts w:cs="Arial"/>
                      <w:sz w:val="18"/>
                    </w:rPr>
                    <w:t>64</w:t>
                  </w:r>
                  <w:r w:rsidRPr="00CB3A2C">
                    <w:rPr>
                      <w:rFonts w:cs="Arial"/>
                      <w:sz w:val="18"/>
                    </w:rPr>
                    <w:t>%</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CB3A2C" w:rsidRDefault="001E6FB8" w:rsidP="001E6FB8">
            <w:pPr>
              <w:spacing w:before="120" w:line="240" w:lineRule="auto"/>
              <w:rPr>
                <w:rFonts w:cs="Arial"/>
                <w:i/>
                <w:iCs/>
                <w:sz w:val="16"/>
                <w:szCs w:val="16"/>
              </w:rPr>
            </w:pPr>
            <w:r w:rsidRPr="00CB3A2C">
              <w:rPr>
                <w:rFonts w:cs="Arial"/>
                <w:i/>
                <w:iCs/>
                <w:sz w:val="16"/>
                <w:szCs w:val="16"/>
              </w:rPr>
              <w:t>TB=terabyte. GB=gigabyte.</w:t>
            </w:r>
          </w:p>
          <w:p w:rsidR="001E6FB8" w:rsidRPr="00CB3A2C" w:rsidRDefault="001E6FB8" w:rsidP="001E6FB8">
            <w:pPr>
              <w:spacing w:line="240" w:lineRule="auto"/>
              <w:rPr>
                <w:rFonts w:cs="Arial"/>
                <w:i/>
                <w:iCs/>
                <w:sz w:val="16"/>
                <w:szCs w:val="16"/>
              </w:rPr>
            </w:pPr>
            <w:r w:rsidRPr="00CB3A2C">
              <w:rPr>
                <w:rFonts w:cs="Arial"/>
                <w:i/>
                <w:iCs/>
                <w:sz w:val="16"/>
                <w:szCs w:val="16"/>
              </w:rPr>
              <w:t xml:space="preserve">*ADSL, cable, fibre and other </w:t>
            </w:r>
            <w:r>
              <w:rPr>
                <w:rFonts w:cs="Arial"/>
                <w:i/>
                <w:iCs/>
                <w:sz w:val="16"/>
                <w:szCs w:val="16"/>
              </w:rPr>
              <w:t>fixed-line</w:t>
            </w:r>
            <w:r w:rsidRPr="00CB3A2C">
              <w:rPr>
                <w:rFonts w:cs="Arial"/>
                <w:i/>
                <w:iCs/>
                <w:sz w:val="16"/>
                <w:szCs w:val="16"/>
              </w:rPr>
              <w:t xml:space="preserve"> broadband.</w:t>
            </w:r>
          </w:p>
          <w:p w:rsidR="001E6FB8" w:rsidRPr="00CB3A2C" w:rsidRDefault="001E6FB8" w:rsidP="001E6FB8">
            <w:pPr>
              <w:spacing w:line="240" w:lineRule="auto"/>
              <w:rPr>
                <w:rFonts w:cs="Arial"/>
                <w:i/>
                <w:iCs/>
                <w:sz w:val="16"/>
                <w:szCs w:val="16"/>
              </w:rPr>
            </w:pPr>
            <w:r w:rsidRPr="00845280">
              <w:rPr>
                <w:rFonts w:cs="Arial"/>
                <w:i/>
                <w:iCs/>
                <w:sz w:val="16"/>
                <w:szCs w:val="16"/>
                <w:vertAlign w:val="superscript"/>
              </w:rPr>
              <w:t>†</w:t>
            </w:r>
            <w:r w:rsidRPr="00CB3A2C">
              <w:rPr>
                <w:rFonts w:cs="Arial"/>
                <w:i/>
                <w:iCs/>
                <w:sz w:val="16"/>
                <w:szCs w:val="16"/>
              </w:rPr>
              <w:t xml:space="preserve">Includes satellite, fixed wireless, mobile wireless via a </w:t>
            </w:r>
            <w:proofErr w:type="spellStart"/>
            <w:r w:rsidRPr="00CB3A2C">
              <w:rPr>
                <w:rFonts w:cs="Arial"/>
                <w:i/>
                <w:iCs/>
                <w:sz w:val="16"/>
                <w:szCs w:val="16"/>
              </w:rPr>
              <w:t>datacard</w:t>
            </w:r>
            <w:proofErr w:type="spellEnd"/>
            <w:r w:rsidRPr="00CB3A2C">
              <w:rPr>
                <w:rFonts w:cs="Arial"/>
                <w:i/>
                <w:iCs/>
                <w:sz w:val="16"/>
                <w:szCs w:val="16"/>
              </w:rPr>
              <w:t>, dongle or USB modem and other wireless broadband. Excludes subscriptions via mobile handsets.</w:t>
            </w:r>
          </w:p>
          <w:p w:rsidR="001E6FB8" w:rsidRDefault="001E6FB8" w:rsidP="001E6FB8">
            <w:pPr>
              <w:spacing w:after="60" w:line="240" w:lineRule="auto"/>
            </w:pPr>
            <w:r w:rsidRPr="00CB3A2C">
              <w:rPr>
                <w:rFonts w:cs="Arial"/>
                <w:i/>
                <w:iCs/>
                <w:sz w:val="16"/>
                <w:szCs w:val="16"/>
              </w:rPr>
              <w:t xml:space="preserve">Note: ABS has revised </w:t>
            </w:r>
            <w:r>
              <w:rPr>
                <w:rFonts w:cs="Arial"/>
                <w:i/>
                <w:iCs/>
                <w:sz w:val="16"/>
                <w:szCs w:val="16"/>
              </w:rPr>
              <w:t xml:space="preserve">its estimates for </w:t>
            </w:r>
            <w:r w:rsidRPr="00CB3A2C">
              <w:rPr>
                <w:rFonts w:cs="Arial"/>
                <w:i/>
                <w:iCs/>
                <w:sz w:val="16"/>
                <w:szCs w:val="16"/>
              </w:rPr>
              <w:t xml:space="preserve">volume of data downloaded </w:t>
            </w:r>
            <w:r>
              <w:rPr>
                <w:rFonts w:cs="Arial"/>
                <w:i/>
                <w:iCs/>
                <w:sz w:val="16"/>
                <w:szCs w:val="16"/>
              </w:rPr>
              <w:t xml:space="preserve">by </w:t>
            </w:r>
            <w:r w:rsidRPr="00CB3A2C">
              <w:rPr>
                <w:rFonts w:cs="Arial"/>
                <w:i/>
                <w:iCs/>
                <w:sz w:val="16"/>
                <w:szCs w:val="16"/>
              </w:rPr>
              <w:t xml:space="preserve">mobile handset internet subscribers </w:t>
            </w:r>
            <w:r>
              <w:rPr>
                <w:rFonts w:cs="Arial"/>
                <w:i/>
                <w:iCs/>
                <w:sz w:val="16"/>
                <w:szCs w:val="16"/>
              </w:rPr>
              <w:t xml:space="preserve">for the June 2012 quarter published in previous </w:t>
            </w:r>
            <w:r w:rsidRPr="00CB3A2C">
              <w:rPr>
                <w:rFonts w:cs="Arial"/>
                <w:i/>
                <w:iCs/>
                <w:sz w:val="16"/>
                <w:szCs w:val="16"/>
              </w:rPr>
              <w:t>ACMA reports.</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r w:rsidRPr="00947322">
              <w:rPr>
                <w:rFonts w:cs="Arial"/>
                <w:color w:val="00709E"/>
              </w:rPr>
              <w:t>Professionally produced online content services</w:t>
            </w:r>
          </w:p>
        </w:tc>
      </w:tr>
      <w:tr w:rsidR="001E6FB8" w:rsidTr="001E6FB8">
        <w:trPr>
          <w:trHeight w:val="3086"/>
        </w:trPr>
        <w:tc>
          <w:tcPr>
            <w:tcW w:w="9645" w:type="dxa"/>
            <w:shd w:val="clear" w:color="auto" w:fill="auto"/>
            <w:tcMar>
              <w:left w:w="28" w:type="dxa"/>
            </w:tcMar>
          </w:tcPr>
          <w:tbl>
            <w:tblPr>
              <w:tblW w:w="9465"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4929"/>
              <w:gridCol w:w="1527"/>
              <w:gridCol w:w="1528"/>
              <w:gridCol w:w="1481"/>
            </w:tblGrid>
            <w:tr w:rsidR="001E6FB8" w:rsidRPr="00CB3A2C" w:rsidTr="001E6FB8">
              <w:trPr>
                <w:trHeight w:val="341"/>
              </w:trPr>
              <w:tc>
                <w:tcPr>
                  <w:tcW w:w="4929" w:type="dxa"/>
                  <w:shd w:val="clear" w:color="auto" w:fill="00709E"/>
                  <w:tcMar>
                    <w:top w:w="34" w:type="dxa"/>
                    <w:left w:w="113" w:type="dxa"/>
                    <w:bottom w:w="0" w:type="dxa"/>
                    <w:right w:w="0" w:type="dxa"/>
                  </w:tcMar>
                  <w:hideMark/>
                </w:tcPr>
                <w:p w:rsidR="001E6FB8" w:rsidRPr="00CB3A2C" w:rsidRDefault="001E6FB8" w:rsidP="001E6FB8">
                  <w:pPr>
                    <w:pStyle w:val="TableHeading"/>
                    <w:rPr>
                      <w:rFonts w:cs="Arial"/>
                      <w:color w:val="FFFFFF" w:themeColor="background1"/>
                      <w:sz w:val="18"/>
                      <w:szCs w:val="18"/>
                    </w:rPr>
                  </w:pPr>
                </w:p>
              </w:tc>
              <w:tc>
                <w:tcPr>
                  <w:tcW w:w="1527" w:type="dxa"/>
                  <w:shd w:val="clear" w:color="auto" w:fill="00709E"/>
                </w:tcPr>
                <w:p w:rsidR="001E6FB8" w:rsidRPr="00CB3A2C" w:rsidRDefault="001E6FB8" w:rsidP="001E6FB8">
                  <w:pPr>
                    <w:pStyle w:val="TableHeading"/>
                    <w:ind w:right="171"/>
                    <w:jc w:val="right"/>
                    <w:rPr>
                      <w:rFonts w:cs="Arial"/>
                      <w:color w:val="FFFFFF" w:themeColor="background1"/>
                      <w:sz w:val="18"/>
                      <w:szCs w:val="18"/>
                    </w:rPr>
                  </w:pPr>
                  <w:r w:rsidRPr="00CB3A2C">
                    <w:rPr>
                      <w:rFonts w:cs="Arial"/>
                      <w:color w:val="FFFFFF" w:themeColor="background1"/>
                      <w:sz w:val="18"/>
                      <w:szCs w:val="18"/>
                    </w:rPr>
                    <w:t>May-12</w:t>
                  </w:r>
                </w:p>
              </w:tc>
              <w:tc>
                <w:tcPr>
                  <w:tcW w:w="1528" w:type="dxa"/>
                  <w:shd w:val="clear" w:color="auto" w:fill="00709E"/>
                  <w:hideMark/>
                </w:tcPr>
                <w:p w:rsidR="001E6FB8" w:rsidRPr="00CB3A2C" w:rsidRDefault="001E6FB8" w:rsidP="001E6FB8">
                  <w:pPr>
                    <w:pStyle w:val="TableHeading"/>
                    <w:ind w:right="84"/>
                    <w:jc w:val="right"/>
                    <w:rPr>
                      <w:rFonts w:cs="Arial"/>
                      <w:color w:val="FFFFFF" w:themeColor="background1"/>
                      <w:sz w:val="18"/>
                      <w:szCs w:val="18"/>
                    </w:rPr>
                  </w:pPr>
                  <w:r w:rsidRPr="00CB3A2C">
                    <w:rPr>
                      <w:rFonts w:cs="Arial"/>
                      <w:color w:val="FFFFFF" w:themeColor="background1"/>
                      <w:sz w:val="18"/>
                      <w:szCs w:val="18"/>
                    </w:rPr>
                    <w:t>May-13</w:t>
                  </w:r>
                </w:p>
              </w:tc>
              <w:tc>
                <w:tcPr>
                  <w:tcW w:w="1481" w:type="dxa"/>
                  <w:shd w:val="clear" w:color="auto" w:fill="00709E"/>
                  <w:tcMar>
                    <w:top w:w="0" w:type="dxa"/>
                    <w:left w:w="113" w:type="dxa"/>
                    <w:bottom w:w="0" w:type="dxa"/>
                    <w:right w:w="0" w:type="dxa"/>
                  </w:tcMar>
                  <w:hideMark/>
                </w:tcPr>
                <w:p w:rsidR="001E6FB8" w:rsidRPr="00CB3A2C" w:rsidRDefault="001E6FB8" w:rsidP="001E6FB8">
                  <w:pPr>
                    <w:pStyle w:val="TableHeading"/>
                    <w:ind w:right="124"/>
                    <w:jc w:val="right"/>
                    <w:rPr>
                      <w:rFonts w:cs="Arial"/>
                      <w:color w:val="FFFFFF" w:themeColor="background1"/>
                      <w:sz w:val="18"/>
                      <w:szCs w:val="18"/>
                    </w:rPr>
                  </w:pPr>
                  <w:r w:rsidRPr="00CB3A2C">
                    <w:rPr>
                      <w:rFonts w:cs="Arial"/>
                      <w:color w:val="FFFFFF" w:themeColor="background1"/>
                      <w:sz w:val="18"/>
                      <w:szCs w:val="18"/>
                    </w:rPr>
                    <w:t>% change</w:t>
                  </w:r>
                </w:p>
              </w:tc>
            </w:tr>
            <w:tr w:rsidR="001E6FB8" w:rsidRPr="00CB3A2C" w:rsidTr="001E6FB8">
              <w:trPr>
                <w:trHeight w:val="284"/>
              </w:trPr>
              <w:tc>
                <w:tcPr>
                  <w:tcW w:w="4929" w:type="dxa"/>
                  <w:tcMar>
                    <w:top w:w="0" w:type="dxa"/>
                    <w:left w:w="113" w:type="dxa"/>
                    <w:bottom w:w="0" w:type="dxa"/>
                    <w:right w:w="0" w:type="dxa"/>
                  </w:tcMar>
                  <w:vAlign w:val="center"/>
                  <w:hideMark/>
                </w:tcPr>
                <w:p w:rsidR="001E6FB8" w:rsidRPr="00CB3A2C" w:rsidRDefault="001E6FB8" w:rsidP="001E6FB8">
                  <w:pPr>
                    <w:rPr>
                      <w:rFonts w:cs="Arial"/>
                      <w:sz w:val="18"/>
                      <w:szCs w:val="18"/>
                    </w:rPr>
                  </w:pPr>
                  <w:r w:rsidRPr="00CB3A2C">
                    <w:rPr>
                      <w:rFonts w:cs="Arial"/>
                      <w:i/>
                      <w:sz w:val="18"/>
                      <w:szCs w:val="18"/>
                    </w:rPr>
                    <w:t>Total population aged 18 years and over</w:t>
                  </w:r>
                </w:p>
                <w:p w:rsidR="001E6FB8" w:rsidRPr="00CB3A2C" w:rsidRDefault="001E6FB8" w:rsidP="001E6FB8">
                  <w:pPr>
                    <w:rPr>
                      <w:rFonts w:cs="Arial"/>
                      <w:sz w:val="18"/>
                      <w:szCs w:val="18"/>
                    </w:rPr>
                  </w:pPr>
                  <w:r w:rsidRPr="00CB3A2C">
                    <w:rPr>
                      <w:rFonts w:cs="Arial"/>
                      <w:sz w:val="18"/>
                      <w:szCs w:val="18"/>
                    </w:rPr>
                    <w:t>Accessed professionally produced online video content services in the six months to:</w:t>
                  </w:r>
                </w:p>
              </w:tc>
              <w:tc>
                <w:tcPr>
                  <w:tcW w:w="1527" w:type="dxa"/>
                  <w:vAlign w:val="center"/>
                </w:tcPr>
                <w:p w:rsidR="001E6FB8" w:rsidRPr="00CB3A2C" w:rsidRDefault="001E6FB8" w:rsidP="001E6FB8">
                  <w:pPr>
                    <w:ind w:right="171"/>
                    <w:jc w:val="right"/>
                    <w:rPr>
                      <w:rFonts w:cs="Arial"/>
                      <w:sz w:val="18"/>
                      <w:szCs w:val="18"/>
                    </w:rPr>
                  </w:pPr>
                  <w:r w:rsidRPr="00CB3A2C">
                    <w:rPr>
                      <w:rFonts w:cs="Arial"/>
                      <w:sz w:val="18"/>
                      <w:szCs w:val="18"/>
                    </w:rPr>
                    <w:t>5.16 m</w:t>
                  </w:r>
                </w:p>
              </w:tc>
              <w:tc>
                <w:tcPr>
                  <w:tcW w:w="1528" w:type="dxa"/>
                  <w:vAlign w:val="center"/>
                  <w:hideMark/>
                </w:tcPr>
                <w:p w:rsidR="001E6FB8" w:rsidRPr="00CB3A2C" w:rsidRDefault="001E6FB8" w:rsidP="001E6FB8">
                  <w:pPr>
                    <w:ind w:right="84"/>
                    <w:jc w:val="right"/>
                    <w:rPr>
                      <w:rFonts w:cs="Arial"/>
                      <w:sz w:val="18"/>
                      <w:szCs w:val="18"/>
                    </w:rPr>
                  </w:pPr>
                  <w:r w:rsidRPr="00CB3A2C">
                    <w:rPr>
                      <w:rFonts w:cs="Arial"/>
                      <w:sz w:val="18"/>
                      <w:szCs w:val="18"/>
                    </w:rPr>
                    <w:t>7.86 m</w:t>
                  </w:r>
                </w:p>
              </w:tc>
              <w:tc>
                <w:tcPr>
                  <w:tcW w:w="1481"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+52%</w:t>
                  </w:r>
                </w:p>
              </w:tc>
            </w:tr>
            <w:tr w:rsidR="001E6FB8" w:rsidRPr="00CB3A2C" w:rsidTr="001E6FB8">
              <w:trPr>
                <w:trHeight w:val="284"/>
              </w:trPr>
              <w:tc>
                <w:tcPr>
                  <w:tcW w:w="4929" w:type="dxa"/>
                  <w:tcMar>
                    <w:top w:w="0" w:type="dxa"/>
                    <w:left w:w="113" w:type="dxa"/>
                    <w:bottom w:w="0" w:type="dxa"/>
                    <w:right w:w="0" w:type="dxa"/>
                  </w:tcMar>
                  <w:vAlign w:val="center"/>
                  <w:hideMark/>
                </w:tcPr>
                <w:p w:rsidR="001E6FB8" w:rsidRPr="00CB3A2C" w:rsidRDefault="001E6FB8" w:rsidP="001E6FB8">
                  <w:pPr>
                    <w:ind w:left="720"/>
                    <w:rPr>
                      <w:rFonts w:cs="Arial"/>
                      <w:sz w:val="18"/>
                      <w:szCs w:val="18"/>
                    </w:rPr>
                  </w:pPr>
                  <w:r w:rsidRPr="00CB3A2C">
                    <w:rPr>
                      <w:rFonts w:cs="Arial"/>
                      <w:sz w:val="18"/>
                      <w:szCs w:val="18"/>
                    </w:rPr>
                    <w:t>Catch-up television service</w:t>
                  </w:r>
                </w:p>
              </w:tc>
              <w:tc>
                <w:tcPr>
                  <w:tcW w:w="1527" w:type="dxa"/>
                </w:tcPr>
                <w:p w:rsidR="001E6FB8" w:rsidRPr="00CB3A2C" w:rsidRDefault="001E6FB8" w:rsidP="001E6FB8">
                  <w:pPr>
                    <w:ind w:right="171"/>
                    <w:jc w:val="right"/>
                    <w:rPr>
                      <w:rFonts w:cs="Arial"/>
                      <w:sz w:val="18"/>
                      <w:szCs w:val="18"/>
                    </w:rPr>
                  </w:pPr>
                  <w:r w:rsidRPr="00CB3A2C">
                    <w:rPr>
                      <w:rFonts w:cs="Arial"/>
                      <w:sz w:val="18"/>
                      <w:szCs w:val="18"/>
                    </w:rPr>
                    <w:t>n/a</w:t>
                  </w:r>
                </w:p>
              </w:tc>
              <w:tc>
                <w:tcPr>
                  <w:tcW w:w="1528" w:type="dxa"/>
                  <w:vAlign w:val="center"/>
                  <w:hideMark/>
                </w:tcPr>
                <w:p w:rsidR="001E6FB8" w:rsidRPr="00CB3A2C" w:rsidRDefault="001E6FB8" w:rsidP="001E6FB8">
                  <w:pPr>
                    <w:ind w:right="84"/>
                    <w:jc w:val="right"/>
                    <w:rPr>
                      <w:rFonts w:cs="Arial"/>
                      <w:sz w:val="18"/>
                      <w:szCs w:val="18"/>
                    </w:rPr>
                  </w:pPr>
                  <w:r w:rsidRPr="00CB3A2C">
                    <w:rPr>
                      <w:rFonts w:cs="Arial"/>
                      <w:sz w:val="18"/>
                      <w:szCs w:val="18"/>
                    </w:rPr>
                    <w:t>6.69 m</w:t>
                  </w:r>
                </w:p>
              </w:tc>
              <w:tc>
                <w:tcPr>
                  <w:tcW w:w="1481" w:type="dxa"/>
                  <w:tcMar>
                    <w:top w:w="0" w:type="dxa"/>
                    <w:left w:w="113" w:type="dxa"/>
                    <w:bottom w:w="0" w:type="dxa"/>
                    <w:right w:w="0" w:type="dxa"/>
                  </w:tcMar>
                  <w:hideMark/>
                </w:tcPr>
                <w:p w:rsidR="001E6FB8" w:rsidRPr="00CB3A2C" w:rsidRDefault="001E6FB8" w:rsidP="001E6FB8">
                  <w:pPr>
                    <w:ind w:right="171"/>
                    <w:jc w:val="right"/>
                    <w:rPr>
                      <w:rFonts w:cs="Arial"/>
                      <w:sz w:val="18"/>
                      <w:szCs w:val="18"/>
                    </w:rPr>
                  </w:pPr>
                  <w:r w:rsidRPr="00CB3A2C">
                    <w:rPr>
                      <w:rFonts w:cs="Arial"/>
                      <w:sz w:val="18"/>
                      <w:szCs w:val="18"/>
                    </w:rPr>
                    <w:t>n/a</w:t>
                  </w:r>
                </w:p>
              </w:tc>
            </w:tr>
            <w:tr w:rsidR="001E6FB8" w:rsidRPr="00CB3A2C" w:rsidTr="001E6FB8">
              <w:trPr>
                <w:trHeight w:val="284"/>
              </w:trPr>
              <w:tc>
                <w:tcPr>
                  <w:tcW w:w="4929" w:type="dxa"/>
                  <w:tcMar>
                    <w:top w:w="0" w:type="dxa"/>
                    <w:left w:w="113" w:type="dxa"/>
                    <w:bottom w:w="0" w:type="dxa"/>
                    <w:right w:w="0" w:type="dxa"/>
                  </w:tcMar>
                  <w:vAlign w:val="center"/>
                  <w:hideMark/>
                </w:tcPr>
                <w:p w:rsidR="001E6FB8" w:rsidRPr="00CB3A2C" w:rsidRDefault="001E6FB8" w:rsidP="001E6FB8">
                  <w:pPr>
                    <w:ind w:left="720"/>
                    <w:rPr>
                      <w:rFonts w:cs="Arial"/>
                      <w:sz w:val="18"/>
                      <w:szCs w:val="18"/>
                    </w:rPr>
                  </w:pPr>
                  <w:r w:rsidRPr="00CB3A2C">
                    <w:rPr>
                      <w:rFonts w:cs="Arial"/>
                      <w:sz w:val="18"/>
                      <w:szCs w:val="18"/>
                    </w:rPr>
                    <w:t xml:space="preserve">Video on demand service </w:t>
                  </w:r>
                </w:p>
              </w:tc>
              <w:tc>
                <w:tcPr>
                  <w:tcW w:w="1527" w:type="dxa"/>
                </w:tcPr>
                <w:p w:rsidR="001E6FB8" w:rsidRPr="00CB3A2C" w:rsidRDefault="001E6FB8" w:rsidP="001E6FB8">
                  <w:pPr>
                    <w:ind w:right="171"/>
                    <w:jc w:val="right"/>
                    <w:rPr>
                      <w:rFonts w:cs="Arial"/>
                      <w:sz w:val="18"/>
                      <w:szCs w:val="18"/>
                    </w:rPr>
                  </w:pPr>
                  <w:r w:rsidRPr="00CB3A2C">
                    <w:rPr>
                      <w:rFonts w:cs="Arial"/>
                      <w:sz w:val="18"/>
                      <w:szCs w:val="18"/>
                    </w:rPr>
                    <w:t>n/a</w:t>
                  </w:r>
                </w:p>
              </w:tc>
              <w:tc>
                <w:tcPr>
                  <w:tcW w:w="1528" w:type="dxa"/>
                  <w:vAlign w:val="center"/>
                  <w:hideMark/>
                </w:tcPr>
                <w:p w:rsidR="001E6FB8" w:rsidRPr="00CB3A2C" w:rsidRDefault="001E6FB8" w:rsidP="001E6FB8">
                  <w:pPr>
                    <w:ind w:right="84"/>
                    <w:jc w:val="right"/>
                    <w:rPr>
                      <w:rFonts w:cs="Arial"/>
                      <w:sz w:val="18"/>
                      <w:szCs w:val="18"/>
                    </w:rPr>
                  </w:pPr>
                  <w:r w:rsidRPr="00CB3A2C">
                    <w:rPr>
                      <w:rFonts w:cs="Arial"/>
                      <w:sz w:val="18"/>
                      <w:szCs w:val="18"/>
                    </w:rPr>
                    <w:t>1.94 m</w:t>
                  </w:r>
                </w:p>
              </w:tc>
              <w:tc>
                <w:tcPr>
                  <w:tcW w:w="1481" w:type="dxa"/>
                  <w:tcMar>
                    <w:top w:w="0" w:type="dxa"/>
                    <w:left w:w="113" w:type="dxa"/>
                    <w:bottom w:w="0" w:type="dxa"/>
                    <w:right w:w="0" w:type="dxa"/>
                  </w:tcMar>
                  <w:hideMark/>
                </w:tcPr>
                <w:p w:rsidR="001E6FB8" w:rsidRPr="00CB3A2C" w:rsidRDefault="001E6FB8" w:rsidP="001E6FB8">
                  <w:pPr>
                    <w:ind w:right="171"/>
                    <w:jc w:val="right"/>
                    <w:rPr>
                      <w:rFonts w:cs="Arial"/>
                      <w:sz w:val="18"/>
                      <w:szCs w:val="18"/>
                    </w:rPr>
                  </w:pPr>
                  <w:r w:rsidRPr="00CB3A2C">
                    <w:rPr>
                      <w:rFonts w:cs="Arial"/>
                      <w:sz w:val="18"/>
                      <w:szCs w:val="18"/>
                    </w:rPr>
                    <w:t>n/a</w:t>
                  </w:r>
                </w:p>
              </w:tc>
            </w:tr>
            <w:tr w:rsidR="001E6FB8" w:rsidRPr="00CB3A2C" w:rsidTr="001E6FB8">
              <w:trPr>
                <w:trHeight w:val="284"/>
              </w:trPr>
              <w:tc>
                <w:tcPr>
                  <w:tcW w:w="4929" w:type="dxa"/>
                  <w:tcMar>
                    <w:top w:w="0" w:type="dxa"/>
                    <w:left w:w="113" w:type="dxa"/>
                    <w:bottom w:w="0" w:type="dxa"/>
                    <w:right w:w="0" w:type="dxa"/>
                  </w:tcMar>
                  <w:vAlign w:val="center"/>
                  <w:hideMark/>
                </w:tcPr>
                <w:p w:rsidR="001E6FB8" w:rsidRPr="00CB3A2C" w:rsidRDefault="001E6FB8" w:rsidP="001E6FB8">
                  <w:pPr>
                    <w:ind w:left="720"/>
                    <w:rPr>
                      <w:rFonts w:cs="Arial"/>
                      <w:sz w:val="18"/>
                      <w:szCs w:val="18"/>
                    </w:rPr>
                  </w:pPr>
                  <w:r w:rsidRPr="00CB3A2C">
                    <w:rPr>
                      <w:rFonts w:cs="Arial"/>
                      <w:sz w:val="18"/>
                      <w:szCs w:val="18"/>
                    </w:rPr>
                    <w:t>Commercial internet television service (e.g. IPTV)</w:t>
                  </w:r>
                </w:p>
              </w:tc>
              <w:tc>
                <w:tcPr>
                  <w:tcW w:w="1527" w:type="dxa"/>
                </w:tcPr>
                <w:p w:rsidR="001E6FB8" w:rsidRPr="00CB3A2C" w:rsidRDefault="001E6FB8" w:rsidP="001E6FB8">
                  <w:pPr>
                    <w:ind w:right="171"/>
                    <w:jc w:val="right"/>
                    <w:rPr>
                      <w:rFonts w:cs="Arial"/>
                      <w:sz w:val="18"/>
                      <w:szCs w:val="18"/>
                    </w:rPr>
                  </w:pPr>
                  <w:r w:rsidRPr="00CB3A2C">
                    <w:rPr>
                      <w:rFonts w:cs="Arial"/>
                      <w:sz w:val="18"/>
                      <w:szCs w:val="18"/>
                    </w:rPr>
                    <w:t>n/a</w:t>
                  </w:r>
                </w:p>
              </w:tc>
              <w:tc>
                <w:tcPr>
                  <w:tcW w:w="1528" w:type="dxa"/>
                  <w:vAlign w:val="center"/>
                  <w:hideMark/>
                </w:tcPr>
                <w:p w:rsidR="001E6FB8" w:rsidRPr="00CB3A2C" w:rsidRDefault="001E6FB8" w:rsidP="001E6FB8">
                  <w:pPr>
                    <w:ind w:right="84"/>
                    <w:jc w:val="right"/>
                    <w:rPr>
                      <w:rFonts w:cs="Arial"/>
                      <w:sz w:val="18"/>
                      <w:szCs w:val="18"/>
                    </w:rPr>
                  </w:pPr>
                  <w:r w:rsidRPr="00CB3A2C">
                    <w:rPr>
                      <w:rFonts w:cs="Arial"/>
                      <w:sz w:val="18"/>
                      <w:szCs w:val="18"/>
                    </w:rPr>
                    <w:t>1.38 m</w:t>
                  </w:r>
                </w:p>
              </w:tc>
              <w:tc>
                <w:tcPr>
                  <w:tcW w:w="1481" w:type="dxa"/>
                  <w:tcMar>
                    <w:top w:w="0" w:type="dxa"/>
                    <w:left w:w="113" w:type="dxa"/>
                    <w:bottom w:w="0" w:type="dxa"/>
                    <w:right w:w="0" w:type="dxa"/>
                  </w:tcMar>
                  <w:hideMark/>
                </w:tcPr>
                <w:p w:rsidR="001E6FB8" w:rsidRPr="00CB3A2C" w:rsidRDefault="001E6FB8" w:rsidP="001E6FB8">
                  <w:pPr>
                    <w:ind w:right="171"/>
                    <w:jc w:val="right"/>
                    <w:rPr>
                      <w:rFonts w:cs="Arial"/>
                      <w:sz w:val="18"/>
                      <w:szCs w:val="18"/>
                    </w:rPr>
                  </w:pPr>
                  <w:r w:rsidRPr="00CB3A2C">
                    <w:rPr>
                      <w:rFonts w:cs="Arial"/>
                      <w:sz w:val="18"/>
                      <w:szCs w:val="18"/>
                    </w:rPr>
                    <w:t>n/a</w:t>
                  </w:r>
                </w:p>
              </w:tc>
            </w:tr>
            <w:tr w:rsidR="001E6FB8" w:rsidRPr="00CB3A2C" w:rsidTr="001E6FB8">
              <w:trPr>
                <w:trHeight w:val="284"/>
              </w:trPr>
              <w:tc>
                <w:tcPr>
                  <w:tcW w:w="4929" w:type="dxa"/>
                  <w:tcBorders>
                    <w:bottom w:val="single" w:sz="4" w:space="0" w:color="C8C8C8"/>
                  </w:tcBorders>
                  <w:tcMar>
                    <w:top w:w="0" w:type="dxa"/>
                    <w:left w:w="113" w:type="dxa"/>
                    <w:bottom w:w="0" w:type="dxa"/>
                    <w:right w:w="0" w:type="dxa"/>
                  </w:tcMar>
                  <w:vAlign w:val="center"/>
                  <w:hideMark/>
                </w:tcPr>
                <w:p w:rsidR="001E6FB8" w:rsidRPr="00CB3A2C" w:rsidRDefault="001E6FB8" w:rsidP="001E6FB8">
                  <w:pPr>
                    <w:rPr>
                      <w:rFonts w:cs="Arial"/>
                      <w:b/>
                      <w:sz w:val="18"/>
                      <w:szCs w:val="18"/>
                    </w:rPr>
                  </w:pPr>
                  <w:r w:rsidRPr="00CB3A2C">
                    <w:rPr>
                      <w:rFonts w:cs="Arial"/>
                      <w:sz w:val="18"/>
                      <w:szCs w:val="18"/>
                    </w:rPr>
                    <w:t>Accessed online news sites</w:t>
                  </w:r>
                </w:p>
              </w:tc>
              <w:tc>
                <w:tcPr>
                  <w:tcW w:w="1527" w:type="dxa"/>
                  <w:tcBorders>
                    <w:bottom w:val="single" w:sz="4" w:space="0" w:color="C8C8C8"/>
                  </w:tcBorders>
                </w:tcPr>
                <w:p w:rsidR="001E6FB8" w:rsidRPr="00CB3A2C" w:rsidRDefault="001E6FB8" w:rsidP="001E6FB8">
                  <w:pPr>
                    <w:ind w:right="171"/>
                    <w:jc w:val="right"/>
                    <w:rPr>
                      <w:rFonts w:cs="Arial"/>
                      <w:sz w:val="18"/>
                      <w:szCs w:val="18"/>
                    </w:rPr>
                  </w:pPr>
                  <w:r w:rsidRPr="00CB3A2C">
                    <w:rPr>
                      <w:rFonts w:cs="Arial"/>
                      <w:sz w:val="18"/>
                      <w:szCs w:val="18"/>
                    </w:rPr>
                    <w:t>n/a</w:t>
                  </w:r>
                </w:p>
              </w:tc>
              <w:tc>
                <w:tcPr>
                  <w:tcW w:w="1528" w:type="dxa"/>
                  <w:tcBorders>
                    <w:bottom w:val="single" w:sz="4" w:space="0" w:color="C8C8C8"/>
                  </w:tcBorders>
                  <w:vAlign w:val="center"/>
                  <w:hideMark/>
                </w:tcPr>
                <w:p w:rsidR="001E6FB8" w:rsidRPr="00CB3A2C" w:rsidRDefault="001E6FB8" w:rsidP="001E6FB8">
                  <w:pPr>
                    <w:ind w:right="84"/>
                    <w:jc w:val="right"/>
                    <w:rPr>
                      <w:rFonts w:cs="Arial"/>
                      <w:sz w:val="18"/>
                      <w:szCs w:val="18"/>
                    </w:rPr>
                  </w:pPr>
                  <w:r w:rsidRPr="00CB3A2C">
                    <w:rPr>
                      <w:rFonts w:cs="Arial"/>
                      <w:sz w:val="18"/>
                      <w:szCs w:val="18"/>
                    </w:rPr>
                    <w:t>11.39 m</w:t>
                  </w:r>
                </w:p>
              </w:tc>
              <w:tc>
                <w:tcPr>
                  <w:tcW w:w="1481" w:type="dxa"/>
                  <w:tcBorders>
                    <w:bottom w:val="single" w:sz="4" w:space="0" w:color="C8C8C8"/>
                  </w:tcBorders>
                  <w:tcMar>
                    <w:top w:w="0" w:type="dxa"/>
                    <w:left w:w="113" w:type="dxa"/>
                    <w:bottom w:w="0" w:type="dxa"/>
                    <w:right w:w="0" w:type="dxa"/>
                  </w:tcMar>
                  <w:hideMark/>
                </w:tcPr>
                <w:p w:rsidR="001E6FB8" w:rsidRPr="00CB3A2C" w:rsidRDefault="001E6FB8" w:rsidP="001E6FB8">
                  <w:pPr>
                    <w:ind w:right="171"/>
                    <w:jc w:val="right"/>
                    <w:rPr>
                      <w:rFonts w:cs="Arial"/>
                      <w:sz w:val="18"/>
                      <w:szCs w:val="18"/>
                    </w:rPr>
                  </w:pPr>
                  <w:r w:rsidRPr="00CB3A2C">
                    <w:rPr>
                      <w:rFonts w:cs="Arial"/>
                      <w:sz w:val="18"/>
                      <w:szCs w:val="18"/>
                    </w:rPr>
                    <w:t>n/a</w:t>
                  </w:r>
                </w:p>
              </w:tc>
            </w:tr>
            <w:tr w:rsidR="001E6FB8" w:rsidRPr="00CB3A2C" w:rsidTr="001E6FB8">
              <w:trPr>
                <w:trHeight w:val="284"/>
              </w:trPr>
              <w:tc>
                <w:tcPr>
                  <w:tcW w:w="4929" w:type="dxa"/>
                  <w:tcBorders>
                    <w:bottom w:val="single" w:sz="4" w:space="0" w:color="C8C8C8"/>
                  </w:tcBorders>
                  <w:tcMar>
                    <w:top w:w="0" w:type="dxa"/>
                    <w:left w:w="113" w:type="dxa"/>
                    <w:bottom w:w="0" w:type="dxa"/>
                    <w:right w:w="0" w:type="dxa"/>
                  </w:tcMar>
                  <w:vAlign w:val="center"/>
                  <w:hideMark/>
                </w:tcPr>
                <w:p w:rsidR="001E6FB8" w:rsidRPr="00CB3A2C" w:rsidRDefault="001E6FB8" w:rsidP="001E6FB8">
                  <w:pPr>
                    <w:rPr>
                      <w:rFonts w:cs="Arial"/>
                      <w:sz w:val="18"/>
                      <w:szCs w:val="18"/>
                    </w:rPr>
                  </w:pPr>
                  <w:r w:rsidRPr="00CB3A2C">
                    <w:rPr>
                      <w:rFonts w:cs="Arial"/>
                      <w:sz w:val="18"/>
                      <w:szCs w:val="18"/>
                    </w:rPr>
                    <w:tab/>
                    <w:t>Paid for an online news subscription</w:t>
                  </w:r>
                </w:p>
              </w:tc>
              <w:tc>
                <w:tcPr>
                  <w:tcW w:w="1527" w:type="dxa"/>
                  <w:tcBorders>
                    <w:bottom w:val="single" w:sz="4" w:space="0" w:color="C8C8C8"/>
                  </w:tcBorders>
                  <w:vAlign w:val="center"/>
                </w:tcPr>
                <w:p w:rsidR="001E6FB8" w:rsidRPr="00CB3A2C" w:rsidRDefault="001E6FB8" w:rsidP="001E6FB8">
                  <w:pPr>
                    <w:ind w:right="171"/>
                    <w:jc w:val="right"/>
                    <w:rPr>
                      <w:rFonts w:cs="Arial"/>
                      <w:sz w:val="18"/>
                      <w:szCs w:val="18"/>
                    </w:rPr>
                  </w:pPr>
                  <w:r w:rsidRPr="00CB3A2C">
                    <w:rPr>
                      <w:rFonts w:cs="Arial"/>
                      <w:sz w:val="18"/>
                      <w:szCs w:val="18"/>
                    </w:rPr>
                    <w:t>n/a</w:t>
                  </w:r>
                </w:p>
              </w:tc>
              <w:tc>
                <w:tcPr>
                  <w:tcW w:w="1528" w:type="dxa"/>
                  <w:tcBorders>
                    <w:bottom w:val="single" w:sz="4" w:space="0" w:color="C8C8C8"/>
                  </w:tcBorders>
                  <w:vAlign w:val="center"/>
                  <w:hideMark/>
                </w:tcPr>
                <w:p w:rsidR="001E6FB8" w:rsidRPr="00CB3A2C" w:rsidRDefault="001E6FB8" w:rsidP="001E6FB8">
                  <w:pPr>
                    <w:ind w:right="84"/>
                    <w:jc w:val="right"/>
                    <w:rPr>
                      <w:rFonts w:cs="Arial"/>
                      <w:sz w:val="18"/>
                      <w:szCs w:val="18"/>
                    </w:rPr>
                  </w:pPr>
                  <w:r w:rsidRPr="00CB3A2C">
                    <w:rPr>
                      <w:rFonts w:cs="Arial"/>
                      <w:sz w:val="18"/>
                      <w:szCs w:val="18"/>
                    </w:rPr>
                    <w:t>1.08 m</w:t>
                  </w:r>
                </w:p>
              </w:tc>
              <w:tc>
                <w:tcPr>
                  <w:tcW w:w="1481" w:type="dxa"/>
                  <w:tcBorders>
                    <w:bottom w:val="single" w:sz="4" w:space="0" w:color="C8C8C8"/>
                  </w:tcBorders>
                  <w:tcMar>
                    <w:top w:w="0" w:type="dxa"/>
                    <w:left w:w="113" w:type="dxa"/>
                    <w:bottom w:w="0" w:type="dxa"/>
                    <w:right w:w="0" w:type="dxa"/>
                  </w:tcMar>
                  <w:vAlign w:val="center"/>
                  <w:hideMark/>
                </w:tcPr>
                <w:p w:rsidR="001E6FB8" w:rsidRPr="00CB3A2C" w:rsidRDefault="001E6FB8" w:rsidP="001E6FB8">
                  <w:pPr>
                    <w:ind w:right="171"/>
                    <w:jc w:val="right"/>
                    <w:rPr>
                      <w:rFonts w:cs="Arial"/>
                      <w:sz w:val="18"/>
                      <w:szCs w:val="18"/>
                    </w:rPr>
                  </w:pPr>
                  <w:r w:rsidRPr="00CB3A2C">
                    <w:rPr>
                      <w:rFonts w:cs="Arial"/>
                      <w:sz w:val="18"/>
                      <w:szCs w:val="18"/>
                    </w:rPr>
                    <w:t>n/a</w:t>
                  </w:r>
                </w:p>
              </w:tc>
            </w:tr>
            <w:tr w:rsidR="001E6FB8" w:rsidRPr="00CB3A2C" w:rsidTr="001E6FB8">
              <w:trPr>
                <w:trHeight w:val="284"/>
              </w:trPr>
              <w:tc>
                <w:tcPr>
                  <w:tcW w:w="4929" w:type="dxa"/>
                  <w:tcBorders>
                    <w:bottom w:val="single" w:sz="4" w:space="0" w:color="C8C8C8"/>
                  </w:tcBorders>
                  <w:shd w:val="clear" w:color="auto" w:fill="A6A6A6" w:themeFill="background1" w:themeFillShade="A6"/>
                  <w:tcMar>
                    <w:top w:w="0" w:type="dxa"/>
                    <w:left w:w="113" w:type="dxa"/>
                    <w:bottom w:w="0" w:type="dxa"/>
                    <w:right w:w="0" w:type="dxa"/>
                  </w:tcMar>
                  <w:hideMark/>
                </w:tcPr>
                <w:p w:rsidR="001E6FB8" w:rsidRPr="00CB3A2C" w:rsidRDefault="001E6FB8" w:rsidP="001E6FB8">
                  <w:pPr>
                    <w:pStyle w:val="TableHeading"/>
                    <w:rPr>
                      <w:rFonts w:cs="Arial"/>
                      <w:color w:val="FFFFFF" w:themeColor="background1"/>
                      <w:sz w:val="18"/>
                      <w:szCs w:val="18"/>
                    </w:rPr>
                  </w:pPr>
                </w:p>
              </w:tc>
              <w:tc>
                <w:tcPr>
                  <w:tcW w:w="1527" w:type="dxa"/>
                  <w:tcBorders>
                    <w:bottom w:val="single" w:sz="4" w:space="0" w:color="C8C8C8"/>
                  </w:tcBorders>
                  <w:shd w:val="clear" w:color="auto" w:fill="A6A6A6" w:themeFill="background1" w:themeFillShade="A6"/>
                </w:tcPr>
                <w:p w:rsidR="001E6FB8" w:rsidRPr="00CB3A2C" w:rsidRDefault="001E6FB8" w:rsidP="001E6FB8">
                  <w:pPr>
                    <w:pStyle w:val="TableHeading"/>
                    <w:ind w:right="171"/>
                    <w:jc w:val="right"/>
                    <w:rPr>
                      <w:rFonts w:cs="Arial"/>
                      <w:color w:val="FFFFFF" w:themeColor="background1"/>
                      <w:sz w:val="18"/>
                      <w:szCs w:val="18"/>
                    </w:rPr>
                  </w:pPr>
                  <w:r w:rsidRPr="00CB3A2C">
                    <w:rPr>
                      <w:rFonts w:cs="Arial"/>
                      <w:color w:val="FFFFFF" w:themeColor="background1"/>
                      <w:sz w:val="18"/>
                      <w:szCs w:val="18"/>
                    </w:rPr>
                    <w:t>Jun-12</w:t>
                  </w:r>
                </w:p>
              </w:tc>
              <w:tc>
                <w:tcPr>
                  <w:tcW w:w="1528" w:type="dxa"/>
                  <w:tcBorders>
                    <w:bottom w:val="single" w:sz="4" w:space="0" w:color="C8C8C8"/>
                  </w:tcBorders>
                  <w:shd w:val="clear" w:color="auto" w:fill="A6A6A6" w:themeFill="background1" w:themeFillShade="A6"/>
                  <w:hideMark/>
                </w:tcPr>
                <w:p w:rsidR="001E6FB8" w:rsidRPr="00CB3A2C" w:rsidRDefault="001E6FB8" w:rsidP="001E6FB8">
                  <w:pPr>
                    <w:pStyle w:val="TableHeading"/>
                    <w:ind w:right="84"/>
                    <w:jc w:val="right"/>
                    <w:rPr>
                      <w:rFonts w:cs="Arial"/>
                      <w:color w:val="FFFFFF" w:themeColor="background1"/>
                      <w:sz w:val="18"/>
                      <w:szCs w:val="18"/>
                    </w:rPr>
                  </w:pPr>
                  <w:r w:rsidRPr="00CB3A2C">
                    <w:rPr>
                      <w:rFonts w:cs="Arial"/>
                      <w:color w:val="FFFFFF" w:themeColor="background1"/>
                      <w:sz w:val="18"/>
                      <w:szCs w:val="18"/>
                    </w:rPr>
                    <w:t>Jun-13</w:t>
                  </w:r>
                </w:p>
              </w:tc>
              <w:tc>
                <w:tcPr>
                  <w:tcW w:w="1481" w:type="dxa"/>
                  <w:tcBorders>
                    <w:bottom w:val="single" w:sz="4" w:space="0" w:color="C8C8C8"/>
                  </w:tcBorders>
                  <w:shd w:val="clear" w:color="auto" w:fill="A6A6A6" w:themeFill="background1" w:themeFillShade="A6"/>
                  <w:tcMar>
                    <w:top w:w="0" w:type="dxa"/>
                    <w:left w:w="113" w:type="dxa"/>
                    <w:bottom w:w="0" w:type="dxa"/>
                    <w:right w:w="0" w:type="dxa"/>
                  </w:tcMar>
                  <w:hideMark/>
                </w:tcPr>
                <w:p w:rsidR="001E6FB8" w:rsidRPr="00CB3A2C" w:rsidRDefault="001E6FB8" w:rsidP="001E6FB8">
                  <w:pPr>
                    <w:pStyle w:val="TableHeading"/>
                    <w:ind w:right="84"/>
                    <w:jc w:val="right"/>
                    <w:rPr>
                      <w:rFonts w:cs="Arial"/>
                      <w:color w:val="FFFFFF" w:themeColor="background1"/>
                      <w:sz w:val="18"/>
                      <w:szCs w:val="18"/>
                    </w:rPr>
                  </w:pPr>
                  <w:r w:rsidRPr="00CB3A2C">
                    <w:rPr>
                      <w:rFonts w:cs="Arial"/>
                      <w:color w:val="FFFFFF" w:themeColor="background1"/>
                      <w:sz w:val="18"/>
                      <w:szCs w:val="18"/>
                    </w:rPr>
                    <w:t xml:space="preserve">2012 </w:t>
                  </w:r>
                  <w:r w:rsidRPr="00CB3A2C">
                    <w:rPr>
                      <w:rFonts w:cs="Arial"/>
                      <w:color w:val="FFFFFF" w:themeColor="background1"/>
                      <w:sz w:val="18"/>
                    </w:rPr>
                    <w:t>% change</w:t>
                  </w:r>
                </w:p>
              </w:tc>
            </w:tr>
            <w:tr w:rsidR="001E6FB8" w:rsidRPr="00CB3A2C" w:rsidTr="001E6FB8">
              <w:trPr>
                <w:trHeight w:val="284"/>
              </w:trPr>
              <w:tc>
                <w:tcPr>
                  <w:tcW w:w="4929" w:type="dxa"/>
                  <w:tcBorders>
                    <w:bottom w:val="single" w:sz="4" w:space="0" w:color="C8C8C8"/>
                  </w:tcBorders>
                  <w:tcMar>
                    <w:top w:w="0" w:type="dxa"/>
                    <w:left w:w="113" w:type="dxa"/>
                    <w:bottom w:w="0" w:type="dxa"/>
                    <w:right w:w="0" w:type="dxa"/>
                  </w:tcMar>
                  <w:vAlign w:val="center"/>
                  <w:hideMark/>
                </w:tcPr>
                <w:p w:rsidR="001E6FB8" w:rsidRPr="00CB3A2C" w:rsidRDefault="001E6FB8" w:rsidP="001E6FB8">
                  <w:pPr>
                    <w:rPr>
                      <w:rFonts w:cs="Arial"/>
                      <w:sz w:val="18"/>
                      <w:szCs w:val="18"/>
                    </w:rPr>
                  </w:pPr>
                  <w:r>
                    <w:rPr>
                      <w:rFonts w:cs="Arial"/>
                      <w:sz w:val="18"/>
                      <w:szCs w:val="18"/>
                    </w:rPr>
                    <w:t>People</w:t>
                  </w:r>
                  <w:r w:rsidRPr="00CB3A2C">
                    <w:rPr>
                      <w:rFonts w:cs="Arial"/>
                      <w:sz w:val="18"/>
                      <w:szCs w:val="18"/>
                    </w:rPr>
                    <w:t xml:space="preserve"> with access to time shifting content devices in the home (PVR/DVR)</w:t>
                  </w:r>
                </w:p>
              </w:tc>
              <w:tc>
                <w:tcPr>
                  <w:tcW w:w="1527" w:type="dxa"/>
                  <w:tcBorders>
                    <w:bottom w:val="single" w:sz="4" w:space="0" w:color="C8C8C8"/>
                  </w:tcBorders>
                  <w:vAlign w:val="center"/>
                </w:tcPr>
                <w:p w:rsidR="001E6FB8" w:rsidRPr="00CB3A2C" w:rsidRDefault="001E6FB8" w:rsidP="001E6FB8">
                  <w:pPr>
                    <w:ind w:right="171"/>
                    <w:jc w:val="right"/>
                    <w:rPr>
                      <w:rFonts w:cs="Arial"/>
                      <w:sz w:val="18"/>
                      <w:szCs w:val="18"/>
                    </w:rPr>
                  </w:pPr>
                  <w:r w:rsidRPr="00CB3A2C">
                    <w:rPr>
                      <w:rFonts w:cs="Arial"/>
                      <w:sz w:val="18"/>
                      <w:szCs w:val="18"/>
                    </w:rPr>
                    <w:t>4.86 m</w:t>
                  </w:r>
                </w:p>
              </w:tc>
              <w:tc>
                <w:tcPr>
                  <w:tcW w:w="1528" w:type="dxa"/>
                  <w:tcBorders>
                    <w:bottom w:val="single" w:sz="4" w:space="0" w:color="C8C8C8"/>
                  </w:tcBorders>
                  <w:vAlign w:val="center"/>
                  <w:hideMark/>
                </w:tcPr>
                <w:p w:rsidR="001E6FB8" w:rsidRPr="00CB3A2C" w:rsidRDefault="001E6FB8" w:rsidP="001E6FB8">
                  <w:pPr>
                    <w:ind w:right="84"/>
                    <w:jc w:val="right"/>
                    <w:rPr>
                      <w:rFonts w:cs="Arial"/>
                      <w:sz w:val="18"/>
                      <w:szCs w:val="18"/>
                    </w:rPr>
                  </w:pPr>
                  <w:r w:rsidRPr="00CB3A2C">
                    <w:rPr>
                      <w:rFonts w:cs="Arial"/>
                      <w:sz w:val="18"/>
                      <w:szCs w:val="18"/>
                    </w:rPr>
                    <w:t>5.20 m</w:t>
                  </w:r>
                </w:p>
              </w:tc>
              <w:tc>
                <w:tcPr>
                  <w:tcW w:w="1481" w:type="dxa"/>
                  <w:tcBorders>
                    <w:bottom w:val="single" w:sz="4" w:space="0" w:color="C8C8C8"/>
                  </w:tcBorders>
                  <w:tcMar>
                    <w:top w:w="0" w:type="dxa"/>
                    <w:left w:w="113" w:type="dxa"/>
                    <w:bottom w:w="0" w:type="dxa"/>
                    <w:right w:w="0" w:type="dxa"/>
                  </w:tcMar>
                  <w:vAlign w:val="center"/>
                  <w:hideMark/>
                </w:tcPr>
                <w:p w:rsidR="001E6FB8" w:rsidRPr="00CB3A2C" w:rsidRDefault="001E6FB8" w:rsidP="001E6FB8">
                  <w:pPr>
                    <w:ind w:right="171"/>
                    <w:jc w:val="right"/>
                    <w:rPr>
                      <w:rFonts w:cs="Arial"/>
                      <w:sz w:val="18"/>
                      <w:szCs w:val="18"/>
                    </w:rPr>
                  </w:pPr>
                  <w:r w:rsidRPr="00CB3A2C">
                    <w:rPr>
                      <w:rFonts w:cs="Arial"/>
                      <w:sz w:val="18"/>
                      <w:szCs w:val="18"/>
                    </w:rPr>
                    <w:t>+7%</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9C1593" w:rsidRDefault="001E6FB8" w:rsidP="001E6FB8">
            <w:pPr>
              <w:spacing w:before="100" w:after="60"/>
              <w:rPr>
                <w:rFonts w:cs="Arial"/>
                <w:i/>
                <w:iCs/>
                <w:sz w:val="16"/>
                <w:szCs w:val="16"/>
              </w:rPr>
            </w:pPr>
            <w:r w:rsidRPr="00CB3A2C">
              <w:rPr>
                <w:rFonts w:cs="Arial"/>
                <w:i/>
                <w:iCs/>
                <w:sz w:val="16"/>
                <w:szCs w:val="16"/>
              </w:rPr>
              <w:t>m=million. n/a=not available.</w:t>
            </w:r>
            <w:r>
              <w:rPr>
                <w:rFonts w:cs="Arial"/>
                <w:i/>
                <w:iCs/>
                <w:sz w:val="16"/>
                <w:szCs w:val="16"/>
              </w:rPr>
              <w:t xml:space="preserve"> PVR=personal video recorder. DVR</w:t>
            </w:r>
            <w:r w:rsidRPr="00CB3A2C">
              <w:rPr>
                <w:rFonts w:cs="Arial"/>
                <w:i/>
                <w:iCs/>
                <w:sz w:val="16"/>
                <w:szCs w:val="16"/>
              </w:rPr>
              <w:t>=</w:t>
            </w:r>
            <w:r>
              <w:rPr>
                <w:rFonts w:cs="Arial"/>
                <w:i/>
                <w:iCs/>
                <w:sz w:val="16"/>
                <w:szCs w:val="16"/>
              </w:rPr>
              <w:t>digital video recorder.</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keepNext/>
              <w:rPr>
                <w:color w:val="00709E"/>
              </w:rPr>
            </w:pPr>
            <w:r w:rsidRPr="00CA48DE">
              <w:rPr>
                <w:rFonts w:cs="Arial"/>
                <w:color w:val="00709E"/>
              </w:rPr>
              <w:t>Online participation by Australians</w:t>
            </w:r>
          </w:p>
        </w:tc>
      </w:tr>
      <w:tr w:rsidR="001E6FB8" w:rsidTr="001E6FB8">
        <w:trPr>
          <w:trHeight w:val="3086"/>
        </w:trPr>
        <w:tc>
          <w:tcPr>
            <w:tcW w:w="9645" w:type="dxa"/>
            <w:shd w:val="clear" w:color="auto" w:fill="auto"/>
            <w:tcMar>
              <w:left w:w="28" w:type="dxa"/>
            </w:tcMar>
          </w:tcPr>
          <w:tbl>
            <w:tblPr>
              <w:tblW w:w="9487"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392"/>
              <w:gridCol w:w="1365"/>
              <w:gridCol w:w="1365"/>
              <w:gridCol w:w="1365"/>
            </w:tblGrid>
            <w:tr w:rsidR="001E6FB8" w:rsidRPr="00CB3A2C" w:rsidTr="001E6FB8">
              <w:trPr>
                <w:trHeight w:val="338"/>
              </w:trPr>
              <w:tc>
                <w:tcPr>
                  <w:tcW w:w="5392" w:type="dxa"/>
                  <w:shd w:val="clear" w:color="auto" w:fill="00709E"/>
                  <w:tcMar>
                    <w:top w:w="34" w:type="dxa"/>
                    <w:left w:w="113" w:type="dxa"/>
                    <w:bottom w:w="0" w:type="dxa"/>
                    <w:right w:w="0" w:type="dxa"/>
                  </w:tcMar>
                  <w:hideMark/>
                </w:tcPr>
                <w:p w:rsidR="001E6FB8" w:rsidRPr="00CB3A2C" w:rsidRDefault="001E6FB8" w:rsidP="001E6FB8">
                  <w:pPr>
                    <w:pStyle w:val="TableHeading"/>
                    <w:rPr>
                      <w:rFonts w:cs="Arial"/>
                      <w:color w:val="FFFFFF" w:themeColor="background1"/>
                      <w:sz w:val="18"/>
                      <w:szCs w:val="18"/>
                    </w:rPr>
                  </w:pPr>
                </w:p>
              </w:tc>
              <w:tc>
                <w:tcPr>
                  <w:tcW w:w="1365" w:type="dxa"/>
                  <w:tcBorders>
                    <w:right w:val="nil"/>
                  </w:tcBorders>
                  <w:shd w:val="clear" w:color="auto" w:fill="00709E"/>
                  <w:hideMark/>
                </w:tcPr>
                <w:p w:rsidR="001E6FB8" w:rsidRPr="00CB3A2C" w:rsidRDefault="001E6FB8" w:rsidP="001E6FB8">
                  <w:pPr>
                    <w:pStyle w:val="TableHeading"/>
                    <w:ind w:right="84"/>
                    <w:jc w:val="right"/>
                    <w:rPr>
                      <w:rFonts w:cs="Arial"/>
                      <w:color w:val="FFFFFF" w:themeColor="background1"/>
                      <w:sz w:val="18"/>
                      <w:szCs w:val="18"/>
                    </w:rPr>
                  </w:pPr>
                  <w:r w:rsidRPr="00CB3A2C">
                    <w:rPr>
                      <w:rFonts w:cs="Arial"/>
                      <w:color w:val="FFFFFF" w:themeColor="background1"/>
                      <w:sz w:val="18"/>
                      <w:szCs w:val="18"/>
                    </w:rPr>
                    <w:t>Jun-12</w:t>
                  </w:r>
                </w:p>
              </w:tc>
              <w:tc>
                <w:tcPr>
                  <w:tcW w:w="1365" w:type="dxa"/>
                  <w:tcBorders>
                    <w:left w:val="nil"/>
                  </w:tcBorders>
                  <w:shd w:val="clear" w:color="auto" w:fill="00709E"/>
                </w:tcPr>
                <w:p w:rsidR="001E6FB8" w:rsidRPr="00CB3A2C" w:rsidRDefault="001E6FB8" w:rsidP="001E6FB8">
                  <w:pPr>
                    <w:pStyle w:val="TableHeading"/>
                    <w:ind w:right="84"/>
                    <w:jc w:val="right"/>
                    <w:rPr>
                      <w:rFonts w:cs="Arial"/>
                      <w:color w:val="FFFFFF" w:themeColor="background1"/>
                      <w:sz w:val="18"/>
                      <w:szCs w:val="18"/>
                    </w:rPr>
                  </w:pPr>
                  <w:r w:rsidRPr="00CB3A2C">
                    <w:rPr>
                      <w:rFonts w:cs="Arial"/>
                      <w:color w:val="FFFFFF" w:themeColor="background1"/>
                      <w:sz w:val="18"/>
                      <w:szCs w:val="18"/>
                    </w:rPr>
                    <w:t>Jun-13</w:t>
                  </w:r>
                </w:p>
              </w:tc>
              <w:tc>
                <w:tcPr>
                  <w:tcW w:w="1365" w:type="dxa"/>
                  <w:shd w:val="clear" w:color="auto" w:fill="00709E"/>
                  <w:tcMar>
                    <w:top w:w="0" w:type="dxa"/>
                    <w:left w:w="113" w:type="dxa"/>
                    <w:bottom w:w="0" w:type="dxa"/>
                    <w:right w:w="0" w:type="dxa"/>
                  </w:tcMar>
                  <w:hideMark/>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 change 2012–13</w:t>
                  </w:r>
                </w:p>
                <w:p w:rsidR="001E6FB8" w:rsidRPr="00CB3A2C" w:rsidRDefault="001E6FB8" w:rsidP="001E6FB8">
                  <w:pPr>
                    <w:pStyle w:val="TableHeading"/>
                    <w:ind w:right="124"/>
                    <w:jc w:val="right"/>
                    <w:rPr>
                      <w:rFonts w:cs="Arial"/>
                      <w:color w:val="FFFFFF" w:themeColor="background1"/>
                      <w:sz w:val="18"/>
                      <w:szCs w:val="18"/>
                    </w:rPr>
                  </w:pP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i/>
                      <w:sz w:val="18"/>
                      <w:szCs w:val="18"/>
                    </w:rPr>
                  </w:pPr>
                  <w:r w:rsidRPr="00CB3A2C">
                    <w:rPr>
                      <w:rFonts w:cs="Arial"/>
                      <w:i/>
                      <w:sz w:val="18"/>
                      <w:szCs w:val="18"/>
                    </w:rPr>
                    <w:t>Total population aged 18 years and over</w:t>
                  </w:r>
                </w:p>
              </w:tc>
              <w:tc>
                <w:tcPr>
                  <w:tcW w:w="1365" w:type="dxa"/>
                  <w:tcBorders>
                    <w:right w:val="nil"/>
                  </w:tcBorders>
                  <w:vAlign w:val="center"/>
                  <w:hideMark/>
                </w:tcPr>
                <w:p w:rsidR="001E6FB8" w:rsidRPr="00CB3A2C" w:rsidRDefault="001E6FB8" w:rsidP="001E6FB8">
                  <w:pPr>
                    <w:ind w:right="84"/>
                    <w:jc w:val="right"/>
                    <w:rPr>
                      <w:rFonts w:cs="Arial"/>
                      <w:sz w:val="18"/>
                      <w:szCs w:val="18"/>
                    </w:rPr>
                  </w:pPr>
                </w:p>
              </w:tc>
              <w:tc>
                <w:tcPr>
                  <w:tcW w:w="1365" w:type="dxa"/>
                  <w:tcBorders>
                    <w:left w:val="nil"/>
                  </w:tcBorders>
                  <w:vAlign w:val="center"/>
                </w:tcPr>
                <w:p w:rsidR="001E6FB8" w:rsidRPr="00CB3A2C" w:rsidRDefault="001E6FB8" w:rsidP="001E6FB8">
                  <w:pPr>
                    <w:ind w:right="84"/>
                    <w:jc w:val="right"/>
                    <w:rPr>
                      <w:rFonts w:cs="Arial"/>
                      <w:sz w:val="18"/>
                      <w:szCs w:val="18"/>
                    </w:rPr>
                  </w:pP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b/>
                      <w:color w:val="000000" w:themeColor="text1"/>
                      <w:sz w:val="18"/>
                      <w:szCs w:val="18"/>
                    </w:rPr>
                  </w:pPr>
                  <w:r w:rsidRPr="00CB3A2C">
                    <w:rPr>
                      <w:rFonts w:cs="Arial"/>
                      <w:b/>
                      <w:color w:val="000000" w:themeColor="text1"/>
                      <w:sz w:val="18"/>
                      <w:szCs w:val="18"/>
                    </w:rPr>
                    <w:t>Connectivity</w:t>
                  </w:r>
                </w:p>
              </w:tc>
              <w:tc>
                <w:tcPr>
                  <w:tcW w:w="1365" w:type="dxa"/>
                  <w:tcBorders>
                    <w:right w:val="nil"/>
                  </w:tcBorders>
                  <w:vAlign w:val="center"/>
                  <w:hideMark/>
                </w:tcPr>
                <w:p w:rsidR="001E6FB8" w:rsidRPr="00CB3A2C" w:rsidRDefault="001E6FB8" w:rsidP="001E6FB8">
                  <w:pPr>
                    <w:ind w:right="84"/>
                    <w:jc w:val="right"/>
                    <w:rPr>
                      <w:rFonts w:cs="Arial"/>
                      <w:sz w:val="18"/>
                      <w:szCs w:val="18"/>
                    </w:rPr>
                  </w:pPr>
                </w:p>
              </w:tc>
              <w:tc>
                <w:tcPr>
                  <w:tcW w:w="1365" w:type="dxa"/>
                  <w:tcBorders>
                    <w:left w:val="nil"/>
                  </w:tcBorders>
                  <w:vAlign w:val="center"/>
                </w:tcPr>
                <w:p w:rsidR="001E6FB8" w:rsidRPr="00CB3A2C" w:rsidRDefault="001E6FB8" w:rsidP="001E6FB8">
                  <w:pPr>
                    <w:ind w:right="84"/>
                    <w:jc w:val="right"/>
                    <w:rPr>
                      <w:rFonts w:cs="Arial"/>
                      <w:sz w:val="18"/>
                      <w:szCs w:val="18"/>
                    </w:rPr>
                  </w:pP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sz w:val="18"/>
                      <w:szCs w:val="18"/>
                    </w:rPr>
                  </w:pPr>
                  <w:r w:rsidRPr="00CB3A2C">
                    <w:rPr>
                      <w:rFonts w:cs="Arial"/>
                      <w:sz w:val="18"/>
                      <w:szCs w:val="18"/>
                    </w:rPr>
                    <w:t>Have an internet connection at home</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13.97</w:t>
                  </w:r>
                  <w:r>
                    <w:rPr>
                      <w:rFonts w:cs="Arial"/>
                      <w:sz w:val="18"/>
                      <w:szCs w:val="18"/>
                    </w:rPr>
                    <w:t xml:space="preserve"> </w:t>
                  </w:r>
                  <w:r w:rsidRPr="00CB3A2C">
                    <w:rPr>
                      <w:rFonts w:cs="Arial"/>
                      <w:sz w:val="18"/>
                      <w:szCs w:val="18"/>
                    </w:rPr>
                    <w:t>m</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14.24</w:t>
                  </w:r>
                  <w:r>
                    <w:rPr>
                      <w:rFonts w:cs="Arial"/>
                      <w:sz w:val="18"/>
                      <w:szCs w:val="18"/>
                    </w:rPr>
                    <w:t xml:space="preserve"> </w:t>
                  </w:r>
                  <w:r w:rsidRPr="00CB3A2C">
                    <w:rPr>
                      <w:rFonts w:cs="Arial"/>
                      <w:sz w:val="18"/>
                      <w:szCs w:val="18"/>
                    </w:rPr>
                    <w:t>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+2%</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sz w:val="18"/>
                      <w:szCs w:val="18"/>
                    </w:rPr>
                  </w:pPr>
                  <w:r w:rsidRPr="00CB3A2C">
                    <w:rPr>
                      <w:rFonts w:cs="Arial"/>
                      <w:sz w:val="18"/>
                      <w:szCs w:val="18"/>
                    </w:rPr>
                    <w:t xml:space="preserve">Have a broadband connection at home </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12.25</w:t>
                  </w:r>
                  <w:r>
                    <w:rPr>
                      <w:rFonts w:cs="Arial"/>
                      <w:sz w:val="18"/>
                      <w:szCs w:val="18"/>
                    </w:rPr>
                    <w:t xml:space="preserve"> </w:t>
                  </w:r>
                  <w:r w:rsidRPr="00CB3A2C">
                    <w:rPr>
                      <w:rFonts w:cs="Arial"/>
                      <w:sz w:val="18"/>
                      <w:szCs w:val="18"/>
                    </w:rPr>
                    <w:t>m</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13.15</w:t>
                  </w:r>
                  <w:r>
                    <w:rPr>
                      <w:rFonts w:cs="Arial"/>
                      <w:sz w:val="18"/>
                      <w:szCs w:val="18"/>
                    </w:rPr>
                    <w:t xml:space="preserve"> </w:t>
                  </w:r>
                  <w:r w:rsidRPr="00CB3A2C">
                    <w:rPr>
                      <w:rFonts w:cs="Arial"/>
                      <w:sz w:val="18"/>
                      <w:szCs w:val="18"/>
                    </w:rPr>
                    <w:t>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+7%</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sz w:val="18"/>
                      <w:szCs w:val="18"/>
                    </w:rPr>
                  </w:pPr>
                  <w:r w:rsidRPr="00CB3A2C">
                    <w:rPr>
                      <w:rFonts w:cs="Arial"/>
                      <w:sz w:val="18"/>
                      <w:szCs w:val="18"/>
                    </w:rPr>
                    <w:t xml:space="preserve">Have accessed internet via mobile phone during </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5.62</w:t>
                  </w:r>
                  <w:r>
                    <w:rPr>
                      <w:rFonts w:cs="Arial"/>
                      <w:sz w:val="18"/>
                      <w:szCs w:val="18"/>
                    </w:rPr>
                    <w:t xml:space="preserve"> </w:t>
                  </w:r>
                  <w:r w:rsidRPr="00CB3A2C">
                    <w:rPr>
                      <w:rFonts w:cs="Arial"/>
                      <w:sz w:val="18"/>
                      <w:szCs w:val="18"/>
                    </w:rPr>
                    <w:t>m</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7.50</w:t>
                  </w:r>
                  <w:r>
                    <w:rPr>
                      <w:rFonts w:cs="Arial"/>
                      <w:sz w:val="18"/>
                      <w:szCs w:val="18"/>
                    </w:rPr>
                    <w:t xml:space="preserve"> </w:t>
                  </w:r>
                  <w:r w:rsidRPr="00CB3A2C">
                    <w:rPr>
                      <w:rFonts w:cs="Arial"/>
                      <w:sz w:val="18"/>
                      <w:szCs w:val="18"/>
                    </w:rPr>
                    <w:t>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+33%</w:t>
                  </w:r>
                </w:p>
              </w:tc>
            </w:tr>
            <w:tr w:rsidR="001E6FB8" w:rsidRPr="00CB3A2C" w:rsidTr="001E6FB8">
              <w:trPr>
                <w:trHeight w:val="282"/>
              </w:trPr>
              <w:tc>
                <w:tcPr>
                  <w:tcW w:w="5392" w:type="dxa"/>
                  <w:tcBorders>
                    <w:bottom w:val="single" w:sz="4" w:space="0" w:color="C8C8C8"/>
                  </w:tcBorders>
                  <w:tcMar>
                    <w:top w:w="0" w:type="dxa"/>
                    <w:left w:w="113" w:type="dxa"/>
                    <w:bottom w:w="0" w:type="dxa"/>
                    <w:right w:w="0" w:type="dxa"/>
                  </w:tcMar>
                  <w:vAlign w:val="center"/>
                  <w:hideMark/>
                </w:tcPr>
                <w:p w:rsidR="001E6FB8" w:rsidRPr="00CB3A2C" w:rsidRDefault="001E6FB8" w:rsidP="001E6FB8">
                  <w:pPr>
                    <w:rPr>
                      <w:rFonts w:cs="Arial"/>
                      <w:b/>
                      <w:sz w:val="18"/>
                      <w:szCs w:val="18"/>
                    </w:rPr>
                  </w:pPr>
                  <w:r w:rsidRPr="00CB3A2C">
                    <w:rPr>
                      <w:rFonts w:cs="Arial"/>
                      <w:sz w:val="18"/>
                      <w:szCs w:val="18"/>
                    </w:rPr>
                    <w:t>Number of ‘.au’ domain name registrations at June</w:t>
                  </w:r>
                  <w:r w:rsidRPr="00CB3A2C">
                    <w:rPr>
                      <w:rFonts w:cs="Arial"/>
                      <w:sz w:val="18"/>
                      <w:szCs w:val="18"/>
                      <w:vertAlign w:val="superscript"/>
                    </w:rPr>
                    <w:t>‡</w:t>
                  </w:r>
                </w:p>
              </w:tc>
              <w:tc>
                <w:tcPr>
                  <w:tcW w:w="1365" w:type="dxa"/>
                  <w:tcBorders>
                    <w:bottom w:val="single" w:sz="4" w:space="0" w:color="C8C8C8"/>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2.44</w:t>
                  </w:r>
                  <w:r>
                    <w:rPr>
                      <w:rFonts w:cs="Arial"/>
                      <w:sz w:val="18"/>
                      <w:szCs w:val="18"/>
                    </w:rPr>
                    <w:t xml:space="preserve"> </w:t>
                  </w:r>
                  <w:r w:rsidRPr="00CB3A2C">
                    <w:rPr>
                      <w:rFonts w:cs="Arial"/>
                      <w:sz w:val="18"/>
                      <w:szCs w:val="18"/>
                    </w:rPr>
                    <w:t>m</w:t>
                  </w:r>
                </w:p>
              </w:tc>
              <w:tc>
                <w:tcPr>
                  <w:tcW w:w="1365" w:type="dxa"/>
                  <w:tcBorders>
                    <w:left w:val="nil"/>
                    <w:bottom w:val="single" w:sz="4" w:space="0" w:color="C8C8C8"/>
                  </w:tcBorders>
                  <w:vAlign w:val="center"/>
                </w:tcPr>
                <w:p w:rsidR="001E6FB8" w:rsidRPr="00CB3A2C" w:rsidRDefault="001E6FB8" w:rsidP="001E6FB8">
                  <w:pPr>
                    <w:ind w:right="84"/>
                    <w:jc w:val="right"/>
                    <w:rPr>
                      <w:rFonts w:cs="Arial"/>
                      <w:sz w:val="18"/>
                      <w:szCs w:val="18"/>
                    </w:rPr>
                  </w:pPr>
                  <w:r w:rsidRPr="00CB3A2C">
                    <w:rPr>
                      <w:rFonts w:cs="Arial"/>
                      <w:sz w:val="18"/>
                      <w:szCs w:val="18"/>
                    </w:rPr>
                    <w:t>2.67</w:t>
                  </w:r>
                  <w:r>
                    <w:rPr>
                      <w:rFonts w:cs="Arial"/>
                      <w:sz w:val="18"/>
                      <w:szCs w:val="18"/>
                    </w:rPr>
                    <w:t xml:space="preserve"> </w:t>
                  </w:r>
                  <w:r w:rsidRPr="00CB3A2C">
                    <w:rPr>
                      <w:rFonts w:cs="Arial"/>
                      <w:sz w:val="18"/>
                      <w:szCs w:val="18"/>
                    </w:rPr>
                    <w:t>m</w:t>
                  </w:r>
                </w:p>
              </w:tc>
              <w:tc>
                <w:tcPr>
                  <w:tcW w:w="1365" w:type="dxa"/>
                  <w:tcBorders>
                    <w:bottom w:val="single" w:sz="4" w:space="0" w:color="C8C8C8"/>
                  </w:tcBorders>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+9%</w:t>
                  </w:r>
                </w:p>
              </w:tc>
            </w:tr>
            <w:tr w:rsidR="001E6FB8" w:rsidRPr="00CB3A2C" w:rsidTr="001E6FB8">
              <w:trPr>
                <w:trHeight w:val="282"/>
              </w:trPr>
              <w:tc>
                <w:tcPr>
                  <w:tcW w:w="5392" w:type="dxa"/>
                  <w:shd w:val="clear" w:color="auto" w:fill="auto"/>
                  <w:tcMar>
                    <w:top w:w="0" w:type="dxa"/>
                    <w:left w:w="113" w:type="dxa"/>
                    <w:bottom w:w="0" w:type="dxa"/>
                    <w:right w:w="0" w:type="dxa"/>
                  </w:tcMar>
                  <w:vAlign w:val="center"/>
                  <w:hideMark/>
                </w:tcPr>
                <w:p w:rsidR="001E6FB8" w:rsidRPr="00CB3A2C" w:rsidRDefault="001E6FB8" w:rsidP="001E6FB8">
                  <w:pPr>
                    <w:rPr>
                      <w:rFonts w:cs="Arial"/>
                      <w:color w:val="000000" w:themeColor="text1"/>
                      <w:sz w:val="18"/>
                      <w:szCs w:val="18"/>
                    </w:rPr>
                  </w:pPr>
                  <w:r w:rsidRPr="00CB3A2C">
                    <w:rPr>
                      <w:rFonts w:cs="Arial"/>
                      <w:b/>
                      <w:color w:val="000000" w:themeColor="text1"/>
                      <w:sz w:val="18"/>
                      <w:szCs w:val="18"/>
                    </w:rPr>
                    <w:t>Capability</w:t>
                  </w:r>
                  <w:r w:rsidRPr="00CB3A2C">
                    <w:rPr>
                      <w:rFonts w:cs="Arial"/>
                      <w:bCs/>
                      <w:sz w:val="18"/>
                      <w:szCs w:val="16"/>
                      <w:vertAlign w:val="superscript"/>
                    </w:rPr>
                    <w:t>†</w:t>
                  </w:r>
                </w:p>
              </w:tc>
              <w:tc>
                <w:tcPr>
                  <w:tcW w:w="1365" w:type="dxa"/>
                  <w:tcBorders>
                    <w:right w:val="nil"/>
                  </w:tcBorders>
                  <w:shd w:val="clear" w:color="auto" w:fill="auto"/>
                  <w:vAlign w:val="center"/>
                  <w:hideMark/>
                </w:tcPr>
                <w:p w:rsidR="001E6FB8" w:rsidRPr="00CB3A2C" w:rsidRDefault="001E6FB8" w:rsidP="001E6FB8">
                  <w:pPr>
                    <w:ind w:right="171"/>
                    <w:jc w:val="right"/>
                    <w:rPr>
                      <w:rFonts w:cs="Arial"/>
                      <w:sz w:val="18"/>
                      <w:szCs w:val="18"/>
                    </w:rPr>
                  </w:pPr>
                </w:p>
              </w:tc>
              <w:tc>
                <w:tcPr>
                  <w:tcW w:w="1365" w:type="dxa"/>
                  <w:tcBorders>
                    <w:left w:val="nil"/>
                  </w:tcBorders>
                  <w:shd w:val="clear" w:color="auto" w:fill="auto"/>
                  <w:vAlign w:val="center"/>
                </w:tcPr>
                <w:p w:rsidR="001E6FB8" w:rsidRPr="00CB3A2C" w:rsidRDefault="001E6FB8" w:rsidP="001E6FB8">
                  <w:pPr>
                    <w:ind w:right="84"/>
                    <w:jc w:val="right"/>
                    <w:rPr>
                      <w:rFonts w:cs="Arial"/>
                      <w:sz w:val="18"/>
                      <w:szCs w:val="18"/>
                    </w:rPr>
                  </w:pPr>
                </w:p>
              </w:tc>
              <w:tc>
                <w:tcPr>
                  <w:tcW w:w="1365" w:type="dxa"/>
                  <w:shd w:val="clear" w:color="auto" w:fill="auto"/>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sz w:val="18"/>
                      <w:szCs w:val="18"/>
                    </w:rPr>
                  </w:pPr>
                  <w:r w:rsidRPr="00CB3A2C">
                    <w:rPr>
                      <w:rFonts w:cs="Arial"/>
                      <w:sz w:val="18"/>
                      <w:szCs w:val="18"/>
                    </w:rPr>
                    <w:t>Used the internet more than once a day</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10.09 m</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10.81</w:t>
                  </w:r>
                  <w:r>
                    <w:rPr>
                      <w:rFonts w:cs="Arial"/>
                      <w:sz w:val="18"/>
                      <w:szCs w:val="18"/>
                    </w:rPr>
                    <w:t xml:space="preserve"> </w:t>
                  </w:r>
                  <w:r w:rsidRPr="00CB3A2C">
                    <w:rPr>
                      <w:rFonts w:cs="Arial"/>
                      <w:sz w:val="18"/>
                      <w:szCs w:val="18"/>
                    </w:rPr>
                    <w:t>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+7%</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sz w:val="18"/>
                      <w:szCs w:val="18"/>
                    </w:rPr>
                  </w:pPr>
                  <w:r w:rsidRPr="00CB3A2C">
                    <w:rPr>
                      <w:rFonts w:cs="Arial"/>
                      <w:sz w:val="18"/>
                      <w:szCs w:val="18"/>
                    </w:rPr>
                    <w:t xml:space="preserve">Online activities recording the highest percentage growth </w:t>
                  </w:r>
                </w:p>
              </w:tc>
              <w:tc>
                <w:tcPr>
                  <w:tcW w:w="1365" w:type="dxa"/>
                  <w:tcBorders>
                    <w:right w:val="nil"/>
                  </w:tcBorders>
                  <w:vAlign w:val="center"/>
                  <w:hideMark/>
                </w:tcPr>
                <w:p w:rsidR="001E6FB8" w:rsidRPr="00CB3A2C" w:rsidRDefault="001E6FB8" w:rsidP="001E6FB8">
                  <w:pPr>
                    <w:ind w:right="171"/>
                    <w:jc w:val="right"/>
                    <w:rPr>
                      <w:rFonts w:cs="Arial"/>
                      <w:sz w:val="18"/>
                      <w:szCs w:val="18"/>
                    </w:rPr>
                  </w:pPr>
                </w:p>
              </w:tc>
              <w:tc>
                <w:tcPr>
                  <w:tcW w:w="1365" w:type="dxa"/>
                  <w:tcBorders>
                    <w:left w:val="nil"/>
                  </w:tcBorders>
                  <w:vAlign w:val="center"/>
                </w:tcPr>
                <w:p w:rsidR="001E6FB8" w:rsidRPr="00CB3A2C" w:rsidRDefault="001E6FB8" w:rsidP="001E6FB8">
                  <w:pPr>
                    <w:ind w:right="84"/>
                    <w:jc w:val="right"/>
                    <w:rPr>
                      <w:rFonts w:cs="Arial"/>
                      <w:sz w:val="18"/>
                      <w:szCs w:val="18"/>
                    </w:rPr>
                  </w:pP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ind w:left="720"/>
                    <w:rPr>
                      <w:rFonts w:cs="Arial"/>
                      <w:sz w:val="18"/>
                      <w:szCs w:val="18"/>
                    </w:rPr>
                  </w:pPr>
                  <w:r w:rsidRPr="00CB3A2C">
                    <w:rPr>
                      <w:rFonts w:cs="Arial"/>
                      <w:sz w:val="18"/>
                      <w:szCs w:val="18"/>
                    </w:rPr>
                    <w:t>Downloading video or audio content</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6.98</w:t>
                  </w:r>
                  <w:r>
                    <w:rPr>
                      <w:rFonts w:cs="Arial"/>
                      <w:sz w:val="18"/>
                      <w:szCs w:val="18"/>
                    </w:rPr>
                    <w:t xml:space="preserve"> </w:t>
                  </w:r>
                  <w:r w:rsidRPr="00CB3A2C">
                    <w:rPr>
                      <w:rFonts w:cs="Arial"/>
                      <w:sz w:val="18"/>
                      <w:szCs w:val="18"/>
                    </w:rPr>
                    <w:t>m</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7.92</w:t>
                  </w:r>
                  <w:r>
                    <w:rPr>
                      <w:rFonts w:cs="Arial"/>
                      <w:sz w:val="18"/>
                      <w:szCs w:val="18"/>
                    </w:rPr>
                    <w:t xml:space="preserve"> </w:t>
                  </w:r>
                  <w:r w:rsidRPr="00CB3A2C">
                    <w:rPr>
                      <w:rFonts w:cs="Arial"/>
                      <w:sz w:val="18"/>
                      <w:szCs w:val="18"/>
                    </w:rPr>
                    <w:t xml:space="preserve">m </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+1</w:t>
                  </w:r>
                  <w:r>
                    <w:rPr>
                      <w:rFonts w:cs="Arial"/>
                      <w:sz w:val="18"/>
                      <w:szCs w:val="18"/>
                    </w:rPr>
                    <w:t>3</w:t>
                  </w:r>
                  <w:r w:rsidRPr="00CB3A2C">
                    <w:rPr>
                      <w:rFonts w:cs="Arial"/>
                      <w:sz w:val="18"/>
                      <w:szCs w:val="18"/>
                    </w:rPr>
                    <w:t>%</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ind w:left="720"/>
                    <w:rPr>
                      <w:rFonts w:cs="Arial"/>
                      <w:sz w:val="18"/>
                      <w:szCs w:val="18"/>
                    </w:rPr>
                  </w:pPr>
                  <w:r w:rsidRPr="00CB3A2C">
                    <w:rPr>
                      <w:rFonts w:cs="Arial"/>
                      <w:sz w:val="18"/>
                      <w:szCs w:val="18"/>
                    </w:rPr>
                    <w:t xml:space="preserve">Streaming video or audio content </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8.28</w:t>
                  </w:r>
                  <w:r>
                    <w:rPr>
                      <w:rFonts w:cs="Arial"/>
                      <w:sz w:val="18"/>
                      <w:szCs w:val="18"/>
                    </w:rPr>
                    <w:t xml:space="preserve"> </w:t>
                  </w:r>
                  <w:r w:rsidRPr="00CB3A2C">
                    <w:rPr>
                      <w:rFonts w:cs="Arial"/>
                      <w:sz w:val="18"/>
                      <w:szCs w:val="18"/>
                    </w:rPr>
                    <w:t>m</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9.26</w:t>
                  </w:r>
                  <w:r>
                    <w:rPr>
                      <w:rFonts w:cs="Arial"/>
                      <w:sz w:val="18"/>
                      <w:szCs w:val="18"/>
                    </w:rPr>
                    <w:t xml:space="preserve"> </w:t>
                  </w:r>
                  <w:r w:rsidRPr="00CB3A2C">
                    <w:rPr>
                      <w:rFonts w:cs="Arial"/>
                      <w:sz w:val="18"/>
                      <w:szCs w:val="18"/>
                    </w:rPr>
                    <w:t>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+12%</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ind w:left="720"/>
                    <w:rPr>
                      <w:rFonts w:cs="Arial"/>
                      <w:sz w:val="18"/>
                      <w:szCs w:val="18"/>
                    </w:rPr>
                  </w:pPr>
                  <w:r w:rsidRPr="00CB3A2C">
                    <w:rPr>
                      <w:rFonts w:cs="Arial"/>
                      <w:sz w:val="18"/>
                      <w:szCs w:val="18"/>
                    </w:rPr>
                    <w:t xml:space="preserve">Used social networking sites such as </w:t>
                  </w:r>
                  <w:proofErr w:type="spellStart"/>
                  <w:r w:rsidRPr="00CB3A2C">
                    <w:rPr>
                      <w:rFonts w:cs="Arial"/>
                      <w:sz w:val="18"/>
                      <w:szCs w:val="18"/>
                    </w:rPr>
                    <w:t>Facebook</w:t>
                  </w:r>
                  <w:proofErr w:type="spellEnd"/>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9.42</w:t>
                  </w:r>
                  <w:r>
                    <w:rPr>
                      <w:rFonts w:cs="Arial"/>
                      <w:sz w:val="18"/>
                      <w:szCs w:val="18"/>
                    </w:rPr>
                    <w:t xml:space="preserve"> </w:t>
                  </w:r>
                  <w:r w:rsidRPr="00CB3A2C">
                    <w:rPr>
                      <w:rFonts w:cs="Arial"/>
                      <w:sz w:val="18"/>
                      <w:szCs w:val="18"/>
                    </w:rPr>
                    <w:t>m</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10.04</w:t>
                  </w:r>
                  <w:r>
                    <w:rPr>
                      <w:rFonts w:cs="Arial"/>
                      <w:sz w:val="18"/>
                      <w:szCs w:val="18"/>
                    </w:rPr>
                    <w:t xml:space="preserve"> </w:t>
                  </w:r>
                  <w:r w:rsidRPr="00CB3A2C">
                    <w:rPr>
                      <w:rFonts w:cs="Arial"/>
                      <w:sz w:val="18"/>
                      <w:szCs w:val="18"/>
                    </w:rPr>
                    <w:t>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w:t>
                  </w:r>
                  <w:r>
                    <w:rPr>
                      <w:rFonts w:cs="Arial"/>
                      <w:sz w:val="18"/>
                      <w:szCs w:val="18"/>
                    </w:rPr>
                    <w:t>7</w:t>
                  </w:r>
                  <w:r w:rsidRPr="00CB3A2C">
                    <w:rPr>
                      <w:rFonts w:cs="Arial"/>
                      <w:sz w:val="18"/>
                      <w:szCs w:val="18"/>
                    </w:rPr>
                    <w:t>%</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ind w:left="720"/>
                    <w:rPr>
                      <w:rFonts w:cs="Arial"/>
                      <w:sz w:val="18"/>
                      <w:szCs w:val="18"/>
                    </w:rPr>
                  </w:pPr>
                  <w:r w:rsidRPr="00CB3A2C">
                    <w:rPr>
                      <w:rFonts w:cs="Arial"/>
                      <w:sz w:val="18"/>
                      <w:szCs w:val="18"/>
                    </w:rPr>
                    <w:t>Banking or paying bills online</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11.65</w:t>
                  </w:r>
                  <w:r>
                    <w:rPr>
                      <w:rFonts w:cs="Arial"/>
                      <w:sz w:val="18"/>
                      <w:szCs w:val="18"/>
                    </w:rPr>
                    <w:t xml:space="preserve"> </w:t>
                  </w:r>
                  <w:r w:rsidRPr="00CB3A2C">
                    <w:rPr>
                      <w:rFonts w:cs="Arial"/>
                      <w:sz w:val="18"/>
                      <w:szCs w:val="18"/>
                    </w:rPr>
                    <w:t>m</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12.86</w:t>
                  </w:r>
                  <w:r>
                    <w:rPr>
                      <w:rFonts w:cs="Arial"/>
                      <w:sz w:val="18"/>
                      <w:szCs w:val="18"/>
                    </w:rPr>
                    <w:t xml:space="preserve"> </w:t>
                  </w:r>
                  <w:r w:rsidRPr="00CB3A2C">
                    <w:rPr>
                      <w:rFonts w:cs="Arial"/>
                      <w:sz w:val="18"/>
                      <w:szCs w:val="18"/>
                    </w:rPr>
                    <w:t>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+10%</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color w:val="4F81BD" w:themeColor="accent1"/>
                      <w:sz w:val="18"/>
                      <w:szCs w:val="18"/>
                    </w:rPr>
                  </w:pPr>
                  <w:r w:rsidRPr="00CB3A2C">
                    <w:rPr>
                      <w:rFonts w:cs="Arial"/>
                      <w:sz w:val="18"/>
                      <w:szCs w:val="18"/>
                    </w:rPr>
                    <w:t>Use of cloud services</w:t>
                  </w:r>
                  <w:r>
                    <w:rPr>
                      <w:rFonts w:cs="Arial"/>
                      <w:sz w:val="18"/>
                      <w:szCs w:val="18"/>
                    </w:rPr>
                    <w:t xml:space="preserve"> in the six months to May</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12.57</w:t>
                  </w:r>
                  <w:r>
                    <w:rPr>
                      <w:rFonts w:cs="Arial"/>
                      <w:sz w:val="18"/>
                      <w:szCs w:val="18"/>
                    </w:rPr>
                    <w:t xml:space="preserve"> </w:t>
                  </w:r>
                  <w:r w:rsidRPr="00CB3A2C">
                    <w:rPr>
                      <w:rFonts w:cs="Arial"/>
                      <w:sz w:val="18"/>
                      <w:szCs w:val="18"/>
                    </w:rPr>
                    <w:t>m</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14.00</w:t>
                  </w:r>
                  <w:r>
                    <w:rPr>
                      <w:rFonts w:cs="Arial"/>
                      <w:sz w:val="18"/>
                      <w:szCs w:val="18"/>
                    </w:rPr>
                    <w:t xml:space="preserve"> </w:t>
                  </w:r>
                  <w:r w:rsidRPr="00CB3A2C">
                    <w:rPr>
                      <w:rFonts w:cs="Arial"/>
                      <w:sz w:val="18"/>
                      <w:szCs w:val="18"/>
                    </w:rPr>
                    <w:t>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+11%</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sz w:val="18"/>
                      <w:szCs w:val="18"/>
                    </w:rPr>
                  </w:pPr>
                  <w:r w:rsidRPr="00CB3A2C">
                    <w:rPr>
                      <w:rFonts w:cs="Arial"/>
                      <w:sz w:val="18"/>
                      <w:szCs w:val="18"/>
                    </w:rPr>
                    <w:t>Downloading of mobile applications in the six months</w:t>
                  </w:r>
                  <w:r>
                    <w:rPr>
                      <w:rFonts w:cs="Arial"/>
                      <w:sz w:val="18"/>
                      <w:szCs w:val="18"/>
                    </w:rPr>
                    <w:t xml:space="preserve"> to May</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n/a</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13.08 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n/a</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color w:val="000000" w:themeColor="text1"/>
                      <w:sz w:val="18"/>
                      <w:szCs w:val="18"/>
                    </w:rPr>
                  </w:pPr>
                  <w:r w:rsidRPr="00CB3A2C">
                    <w:rPr>
                      <w:rFonts w:cs="Arial"/>
                      <w:b/>
                      <w:color w:val="000000" w:themeColor="text1"/>
                      <w:sz w:val="18"/>
                      <w:szCs w:val="18"/>
                    </w:rPr>
                    <w:t>Confidence</w:t>
                  </w:r>
                </w:p>
              </w:tc>
              <w:tc>
                <w:tcPr>
                  <w:tcW w:w="1365" w:type="dxa"/>
                  <w:tcBorders>
                    <w:right w:val="nil"/>
                  </w:tcBorders>
                  <w:vAlign w:val="center"/>
                  <w:hideMark/>
                </w:tcPr>
                <w:p w:rsidR="001E6FB8" w:rsidRPr="00CB3A2C" w:rsidRDefault="001E6FB8" w:rsidP="001E6FB8">
                  <w:pPr>
                    <w:ind w:right="171"/>
                    <w:jc w:val="right"/>
                    <w:rPr>
                      <w:rFonts w:cs="Arial"/>
                      <w:sz w:val="18"/>
                      <w:szCs w:val="18"/>
                    </w:rPr>
                  </w:pPr>
                </w:p>
              </w:tc>
              <w:tc>
                <w:tcPr>
                  <w:tcW w:w="1365" w:type="dxa"/>
                  <w:tcBorders>
                    <w:left w:val="nil"/>
                  </w:tcBorders>
                  <w:vAlign w:val="center"/>
                </w:tcPr>
                <w:p w:rsidR="001E6FB8" w:rsidRPr="00CB3A2C" w:rsidRDefault="001E6FB8" w:rsidP="001E6FB8">
                  <w:pPr>
                    <w:ind w:right="84"/>
                    <w:jc w:val="right"/>
                    <w:rPr>
                      <w:rFonts w:cs="Arial"/>
                      <w:sz w:val="18"/>
                      <w:szCs w:val="18"/>
                    </w:rPr>
                  </w:pP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sz w:val="18"/>
                      <w:szCs w:val="18"/>
                    </w:rPr>
                  </w:pPr>
                  <w:r>
                    <w:rPr>
                      <w:rFonts w:cs="Arial"/>
                      <w:sz w:val="18"/>
                      <w:szCs w:val="18"/>
                    </w:rPr>
                    <w:t>People</w:t>
                  </w:r>
                  <w:r w:rsidRPr="00CB3A2C">
                    <w:rPr>
                      <w:rFonts w:cs="Arial"/>
                      <w:sz w:val="18"/>
                      <w:szCs w:val="18"/>
                    </w:rPr>
                    <w:t xml:space="preserve"> using the internet to work away from the office</w:t>
                  </w:r>
                  <w:r w:rsidRPr="00CB3A2C">
                    <w:rPr>
                      <w:rFonts w:cs="Arial"/>
                      <w:bCs/>
                      <w:sz w:val="18"/>
                      <w:szCs w:val="16"/>
                      <w:vertAlign w:val="superscript"/>
                    </w:rPr>
                    <w:t>†</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n/a</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5.64</w:t>
                  </w:r>
                  <w:r>
                    <w:rPr>
                      <w:rFonts w:cs="Arial"/>
                      <w:sz w:val="18"/>
                      <w:szCs w:val="18"/>
                    </w:rPr>
                    <w:t xml:space="preserve"> </w:t>
                  </w:r>
                  <w:r w:rsidRPr="00CB3A2C">
                    <w:rPr>
                      <w:rFonts w:cs="Arial"/>
                      <w:sz w:val="18"/>
                      <w:szCs w:val="18"/>
                    </w:rPr>
                    <w:t>m</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n/a</w:t>
                  </w:r>
                </w:p>
              </w:tc>
            </w:tr>
            <w:tr w:rsidR="001E6FB8" w:rsidRPr="00CB3A2C" w:rsidTr="001E6FB8">
              <w:trPr>
                <w:trHeight w:val="282"/>
              </w:trPr>
              <w:tc>
                <w:tcPr>
                  <w:tcW w:w="5392" w:type="dxa"/>
                  <w:tcBorders>
                    <w:bottom w:val="single" w:sz="4" w:space="0" w:color="C8C8C8"/>
                  </w:tcBorders>
                  <w:tcMar>
                    <w:top w:w="0" w:type="dxa"/>
                    <w:left w:w="113" w:type="dxa"/>
                    <w:bottom w:w="0" w:type="dxa"/>
                    <w:right w:w="0" w:type="dxa"/>
                  </w:tcMar>
                  <w:hideMark/>
                </w:tcPr>
                <w:p w:rsidR="001E6FB8" w:rsidRPr="00CB3A2C" w:rsidRDefault="001E6FB8" w:rsidP="001E6FB8">
                  <w:pPr>
                    <w:rPr>
                      <w:rFonts w:cs="Arial"/>
                      <w:sz w:val="18"/>
                      <w:szCs w:val="18"/>
                    </w:rPr>
                  </w:pPr>
                  <w:r w:rsidRPr="00CB3A2C">
                    <w:rPr>
                      <w:rFonts w:cs="Arial"/>
                      <w:sz w:val="18"/>
                      <w:szCs w:val="18"/>
                    </w:rPr>
                    <w:t xml:space="preserve">Internet users performing five or more separate </w:t>
                  </w:r>
                  <w:r>
                    <w:rPr>
                      <w:rFonts w:cs="Arial"/>
                      <w:sz w:val="18"/>
                      <w:szCs w:val="18"/>
                    </w:rPr>
                    <w:br/>
                  </w:r>
                  <w:r w:rsidRPr="00CB3A2C">
                    <w:rPr>
                      <w:rFonts w:cs="Arial"/>
                      <w:sz w:val="18"/>
                      <w:szCs w:val="18"/>
                    </w:rPr>
                    <w:t>activities online during June</w:t>
                  </w:r>
                </w:p>
              </w:tc>
              <w:tc>
                <w:tcPr>
                  <w:tcW w:w="1365" w:type="dxa"/>
                  <w:tcBorders>
                    <w:bottom w:val="single" w:sz="4" w:space="0" w:color="C8C8C8"/>
                    <w:right w:val="nil"/>
                  </w:tcBorders>
                  <w:hideMark/>
                </w:tcPr>
                <w:p w:rsidR="001E6FB8" w:rsidRPr="00CB3A2C" w:rsidRDefault="001E6FB8" w:rsidP="001E6FB8">
                  <w:pPr>
                    <w:ind w:right="171"/>
                    <w:jc w:val="right"/>
                    <w:rPr>
                      <w:rFonts w:cs="Arial"/>
                      <w:sz w:val="18"/>
                      <w:szCs w:val="18"/>
                    </w:rPr>
                  </w:pPr>
                  <w:r w:rsidRPr="00CB3A2C">
                    <w:rPr>
                      <w:rFonts w:cs="Arial"/>
                      <w:sz w:val="18"/>
                      <w:szCs w:val="18"/>
                    </w:rPr>
                    <w:t>39%</w:t>
                  </w:r>
                </w:p>
              </w:tc>
              <w:tc>
                <w:tcPr>
                  <w:tcW w:w="1365" w:type="dxa"/>
                  <w:tcBorders>
                    <w:left w:val="nil"/>
                    <w:bottom w:val="single" w:sz="4" w:space="0" w:color="C8C8C8"/>
                  </w:tcBorders>
                </w:tcPr>
                <w:p w:rsidR="001E6FB8" w:rsidRPr="00CB3A2C" w:rsidRDefault="001E6FB8" w:rsidP="001E6FB8">
                  <w:pPr>
                    <w:ind w:right="84"/>
                    <w:jc w:val="right"/>
                    <w:rPr>
                      <w:rFonts w:cs="Arial"/>
                      <w:sz w:val="18"/>
                      <w:szCs w:val="18"/>
                    </w:rPr>
                  </w:pPr>
                  <w:r w:rsidRPr="00CB3A2C">
                    <w:rPr>
                      <w:rFonts w:cs="Arial"/>
                      <w:sz w:val="18"/>
                      <w:szCs w:val="18"/>
                    </w:rPr>
                    <w:t>43%</w:t>
                  </w:r>
                </w:p>
              </w:tc>
              <w:tc>
                <w:tcPr>
                  <w:tcW w:w="1365" w:type="dxa"/>
                  <w:tcBorders>
                    <w:bottom w:val="single" w:sz="4" w:space="0" w:color="C8C8C8"/>
                  </w:tcBorders>
                  <w:tcMar>
                    <w:top w:w="0" w:type="dxa"/>
                    <w:left w:w="113" w:type="dxa"/>
                    <w:bottom w:w="0" w:type="dxa"/>
                    <w:right w:w="0" w:type="dxa"/>
                  </w:tcMar>
                  <w:hideMark/>
                </w:tcPr>
                <w:p w:rsidR="001E6FB8" w:rsidRPr="00CB3A2C" w:rsidRDefault="001E6FB8" w:rsidP="001E6FB8">
                  <w:pPr>
                    <w:spacing w:after="40" w:line="240" w:lineRule="auto"/>
                    <w:ind w:right="153"/>
                    <w:jc w:val="right"/>
                    <w:rPr>
                      <w:rFonts w:cs="Arial"/>
                      <w:sz w:val="18"/>
                      <w:szCs w:val="18"/>
                    </w:rPr>
                  </w:pPr>
                  <w:r w:rsidRPr="00CB3A2C">
                    <w:rPr>
                      <w:rFonts w:cs="Arial"/>
                      <w:sz w:val="18"/>
                      <w:szCs w:val="18"/>
                    </w:rPr>
                    <w:t>+</w:t>
                  </w:r>
                  <w:r>
                    <w:rPr>
                      <w:rFonts w:cs="Arial"/>
                      <w:sz w:val="18"/>
                      <w:szCs w:val="18"/>
                    </w:rPr>
                    <w:t xml:space="preserve">4 </w:t>
                  </w:r>
                  <w:r w:rsidRPr="00CB3A2C">
                    <w:rPr>
                      <w:rFonts w:cs="Arial"/>
                      <w:sz w:val="18"/>
                      <w:szCs w:val="18"/>
                    </w:rPr>
                    <w:t>percentage points change</w:t>
                  </w:r>
                </w:p>
              </w:tc>
            </w:tr>
            <w:tr w:rsidR="001E6FB8" w:rsidRPr="00CB3A2C" w:rsidTr="001E6FB8">
              <w:trPr>
                <w:trHeight w:val="282"/>
              </w:trPr>
              <w:tc>
                <w:tcPr>
                  <w:tcW w:w="5392" w:type="dxa"/>
                  <w:shd w:val="clear" w:color="auto" w:fill="A6A6A6" w:themeFill="background1" w:themeFillShade="A6"/>
                  <w:tcMar>
                    <w:top w:w="0" w:type="dxa"/>
                    <w:left w:w="113" w:type="dxa"/>
                    <w:bottom w:w="0" w:type="dxa"/>
                    <w:right w:w="0" w:type="dxa"/>
                  </w:tcMar>
                  <w:hideMark/>
                </w:tcPr>
                <w:p w:rsidR="001E6FB8" w:rsidRPr="00CB3A2C" w:rsidRDefault="001E6FB8" w:rsidP="001E6FB8">
                  <w:pPr>
                    <w:pStyle w:val="TableHeading"/>
                    <w:rPr>
                      <w:rFonts w:cs="Arial"/>
                      <w:color w:val="FFFFFF" w:themeColor="background1"/>
                      <w:sz w:val="18"/>
                      <w:szCs w:val="18"/>
                    </w:rPr>
                  </w:pPr>
                </w:p>
              </w:tc>
              <w:tc>
                <w:tcPr>
                  <w:tcW w:w="1365" w:type="dxa"/>
                  <w:tcBorders>
                    <w:right w:val="nil"/>
                  </w:tcBorders>
                  <w:shd w:val="clear" w:color="auto" w:fill="A6A6A6" w:themeFill="background1" w:themeFillShade="A6"/>
                  <w:hideMark/>
                </w:tcPr>
                <w:p w:rsidR="001E6FB8" w:rsidRPr="00CB3A2C" w:rsidRDefault="001E6FB8" w:rsidP="001E6FB8">
                  <w:pPr>
                    <w:pStyle w:val="TableHeading"/>
                    <w:ind w:right="84"/>
                    <w:jc w:val="right"/>
                    <w:rPr>
                      <w:rFonts w:cs="Arial"/>
                      <w:color w:val="FFFFFF" w:themeColor="background1"/>
                      <w:sz w:val="18"/>
                      <w:szCs w:val="18"/>
                    </w:rPr>
                  </w:pPr>
                  <w:r w:rsidRPr="00CB3A2C">
                    <w:rPr>
                      <w:rFonts w:cs="Arial"/>
                      <w:color w:val="FFFFFF" w:themeColor="background1"/>
                      <w:sz w:val="18"/>
                      <w:szCs w:val="18"/>
                    </w:rPr>
                    <w:t>2011</w:t>
                  </w:r>
                </w:p>
              </w:tc>
              <w:tc>
                <w:tcPr>
                  <w:tcW w:w="1365" w:type="dxa"/>
                  <w:tcBorders>
                    <w:left w:val="nil"/>
                  </w:tcBorders>
                  <w:shd w:val="clear" w:color="auto" w:fill="A6A6A6" w:themeFill="background1" w:themeFillShade="A6"/>
                </w:tcPr>
                <w:p w:rsidR="001E6FB8" w:rsidRPr="00CB3A2C" w:rsidRDefault="001E6FB8" w:rsidP="001E6FB8">
                  <w:pPr>
                    <w:pStyle w:val="TableHeading"/>
                    <w:ind w:right="84"/>
                    <w:jc w:val="right"/>
                    <w:rPr>
                      <w:rFonts w:cs="Arial"/>
                      <w:color w:val="FFFFFF" w:themeColor="background1"/>
                      <w:sz w:val="18"/>
                      <w:szCs w:val="18"/>
                    </w:rPr>
                  </w:pPr>
                  <w:r w:rsidRPr="00CB3A2C">
                    <w:rPr>
                      <w:rFonts w:cs="Arial"/>
                      <w:color w:val="FFFFFF" w:themeColor="background1"/>
                      <w:sz w:val="18"/>
                      <w:szCs w:val="18"/>
                    </w:rPr>
                    <w:t>2012</w:t>
                  </w:r>
                </w:p>
              </w:tc>
              <w:tc>
                <w:tcPr>
                  <w:tcW w:w="1365" w:type="dxa"/>
                  <w:shd w:val="clear" w:color="auto" w:fill="A6A6A6" w:themeFill="background1" w:themeFillShade="A6"/>
                  <w:tcMar>
                    <w:top w:w="0" w:type="dxa"/>
                    <w:left w:w="113" w:type="dxa"/>
                    <w:bottom w:w="0" w:type="dxa"/>
                    <w:right w:w="0" w:type="dxa"/>
                  </w:tcMar>
                  <w:hideMark/>
                </w:tcPr>
                <w:p w:rsidR="001E6FB8" w:rsidRPr="00CB3A2C" w:rsidRDefault="001E6FB8" w:rsidP="001E6FB8">
                  <w:pPr>
                    <w:pStyle w:val="TableHeading"/>
                    <w:ind w:right="124"/>
                    <w:jc w:val="right"/>
                    <w:rPr>
                      <w:rFonts w:cs="Arial"/>
                      <w:color w:val="FFFFFF" w:themeColor="background1"/>
                      <w:sz w:val="18"/>
                      <w:szCs w:val="18"/>
                    </w:rPr>
                  </w:pPr>
                  <w:r w:rsidRPr="00CB3A2C">
                    <w:rPr>
                      <w:rFonts w:cs="Arial"/>
                      <w:color w:val="FFFFFF" w:themeColor="background1"/>
                      <w:sz w:val="18"/>
                    </w:rPr>
                    <w:t xml:space="preserve">% change </w:t>
                  </w:r>
                </w:p>
              </w:tc>
            </w:tr>
            <w:tr w:rsidR="001E6FB8" w:rsidRPr="00CB3A2C" w:rsidTr="001E6FB8">
              <w:trPr>
                <w:trHeight w:val="282"/>
              </w:trPr>
              <w:tc>
                <w:tcPr>
                  <w:tcW w:w="5392" w:type="dxa"/>
                  <w:tcMar>
                    <w:top w:w="0" w:type="dxa"/>
                    <w:left w:w="113" w:type="dxa"/>
                    <w:bottom w:w="0" w:type="dxa"/>
                    <w:right w:w="0" w:type="dxa"/>
                  </w:tcMar>
                  <w:vAlign w:val="center"/>
                  <w:hideMark/>
                </w:tcPr>
                <w:p w:rsidR="001E6FB8" w:rsidRPr="00CB3A2C" w:rsidRDefault="001E6FB8" w:rsidP="001E6FB8">
                  <w:pPr>
                    <w:rPr>
                      <w:rFonts w:cs="Arial"/>
                      <w:sz w:val="18"/>
                      <w:szCs w:val="18"/>
                    </w:rPr>
                  </w:pPr>
                  <w:r w:rsidRPr="00CB3A2C">
                    <w:rPr>
                      <w:rFonts w:cs="Arial"/>
                      <w:sz w:val="18"/>
                      <w:szCs w:val="18"/>
                    </w:rPr>
                    <w:t xml:space="preserve">Value of internet commerce ($A) during the financial year </w:t>
                  </w:r>
                  <w:r>
                    <w:rPr>
                      <w:rFonts w:cs="Arial"/>
                      <w:sz w:val="18"/>
                      <w:szCs w:val="18"/>
                    </w:rPr>
                    <w:br/>
                  </w:r>
                  <w:r w:rsidRPr="00CB3A2C">
                    <w:rPr>
                      <w:rFonts w:cs="Arial"/>
                      <w:sz w:val="18"/>
                      <w:szCs w:val="18"/>
                    </w:rPr>
                    <w:t>ending June</w:t>
                  </w:r>
                  <w:r w:rsidRPr="00CB3A2C">
                    <w:rPr>
                      <w:rFonts w:cs="Arial"/>
                      <w:i/>
                      <w:sz w:val="18"/>
                      <w:szCs w:val="18"/>
                      <w:vertAlign w:val="superscript"/>
                    </w:rPr>
                    <w:t>§</w:t>
                  </w:r>
                </w:p>
              </w:tc>
              <w:tc>
                <w:tcPr>
                  <w:tcW w:w="1365" w:type="dxa"/>
                  <w:tcBorders>
                    <w:right w:val="nil"/>
                  </w:tcBorders>
                  <w:vAlign w:val="center"/>
                  <w:hideMark/>
                </w:tcPr>
                <w:p w:rsidR="001E6FB8" w:rsidRPr="00CB3A2C" w:rsidRDefault="001E6FB8" w:rsidP="001E6FB8">
                  <w:pPr>
                    <w:ind w:right="171"/>
                    <w:jc w:val="right"/>
                    <w:rPr>
                      <w:rFonts w:cs="Arial"/>
                      <w:sz w:val="18"/>
                      <w:szCs w:val="18"/>
                    </w:rPr>
                  </w:pPr>
                  <w:r w:rsidRPr="00CB3A2C">
                    <w:rPr>
                      <w:rFonts w:cs="Arial"/>
                      <w:sz w:val="18"/>
                      <w:szCs w:val="18"/>
                    </w:rPr>
                    <w:t>$189</w:t>
                  </w:r>
                  <w:r>
                    <w:rPr>
                      <w:rFonts w:cs="Arial"/>
                      <w:sz w:val="18"/>
                      <w:szCs w:val="18"/>
                    </w:rPr>
                    <w:t xml:space="preserve"> </w:t>
                  </w:r>
                  <w:r w:rsidRPr="00CB3A2C">
                    <w:rPr>
                      <w:rFonts w:cs="Arial"/>
                      <w:sz w:val="18"/>
                      <w:szCs w:val="18"/>
                    </w:rPr>
                    <w:t>b</w:t>
                  </w:r>
                </w:p>
              </w:tc>
              <w:tc>
                <w:tcPr>
                  <w:tcW w:w="1365" w:type="dxa"/>
                  <w:tcBorders>
                    <w:left w:val="nil"/>
                  </w:tcBorders>
                  <w:vAlign w:val="center"/>
                </w:tcPr>
                <w:p w:rsidR="001E6FB8" w:rsidRPr="00CB3A2C" w:rsidRDefault="001E6FB8" w:rsidP="001E6FB8">
                  <w:pPr>
                    <w:ind w:right="84"/>
                    <w:jc w:val="right"/>
                    <w:rPr>
                      <w:rFonts w:cs="Arial"/>
                      <w:sz w:val="18"/>
                      <w:szCs w:val="18"/>
                    </w:rPr>
                  </w:pPr>
                  <w:r w:rsidRPr="00CB3A2C">
                    <w:rPr>
                      <w:rFonts w:cs="Arial"/>
                      <w:sz w:val="18"/>
                      <w:szCs w:val="18"/>
                    </w:rPr>
                    <w:t>$237</w:t>
                  </w:r>
                  <w:r>
                    <w:rPr>
                      <w:rFonts w:cs="Arial"/>
                      <w:sz w:val="18"/>
                      <w:szCs w:val="18"/>
                    </w:rPr>
                    <w:t xml:space="preserve"> </w:t>
                  </w:r>
                  <w:r w:rsidRPr="00CB3A2C">
                    <w:rPr>
                      <w:rFonts w:cs="Arial"/>
                      <w:sz w:val="18"/>
                      <w:szCs w:val="18"/>
                    </w:rPr>
                    <w:t>b</w:t>
                  </w:r>
                </w:p>
              </w:tc>
              <w:tc>
                <w:tcPr>
                  <w:tcW w:w="1365" w:type="dxa"/>
                  <w:tcMar>
                    <w:top w:w="0" w:type="dxa"/>
                    <w:left w:w="113" w:type="dxa"/>
                    <w:bottom w:w="0" w:type="dxa"/>
                    <w:right w:w="0" w:type="dxa"/>
                  </w:tcMar>
                  <w:vAlign w:val="center"/>
                  <w:hideMark/>
                </w:tcPr>
                <w:p w:rsidR="001E6FB8" w:rsidRPr="00CB3A2C" w:rsidRDefault="001E6FB8" w:rsidP="001E6FB8">
                  <w:pPr>
                    <w:ind w:right="153"/>
                    <w:jc w:val="right"/>
                    <w:rPr>
                      <w:rFonts w:cs="Arial"/>
                      <w:sz w:val="18"/>
                      <w:szCs w:val="18"/>
                    </w:rPr>
                  </w:pPr>
                  <w:r w:rsidRPr="00CB3A2C">
                    <w:rPr>
                      <w:rFonts w:cs="Arial"/>
                      <w:sz w:val="18"/>
                      <w:szCs w:val="18"/>
                    </w:rPr>
                    <w:t>+25%</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CB3A2C" w:rsidRDefault="001E6FB8" w:rsidP="001E6FB8">
            <w:pPr>
              <w:spacing w:before="120" w:line="240" w:lineRule="auto"/>
              <w:rPr>
                <w:rFonts w:cs="Arial"/>
                <w:i/>
                <w:sz w:val="16"/>
                <w:szCs w:val="16"/>
              </w:rPr>
            </w:pPr>
            <w:r w:rsidRPr="00CB3A2C">
              <w:rPr>
                <w:rFonts w:cs="Arial"/>
                <w:i/>
                <w:sz w:val="16"/>
                <w:szCs w:val="16"/>
              </w:rPr>
              <w:t>m=million. b=billion. n/a=not available. GB=Gigabytes.</w:t>
            </w:r>
          </w:p>
          <w:p w:rsidR="001E6FB8" w:rsidRPr="00CB3A2C" w:rsidRDefault="001E6FB8" w:rsidP="001E6FB8">
            <w:pPr>
              <w:spacing w:line="240" w:lineRule="auto"/>
              <w:rPr>
                <w:rFonts w:cs="Arial"/>
                <w:i/>
                <w:sz w:val="16"/>
                <w:szCs w:val="16"/>
              </w:rPr>
            </w:pPr>
            <w:r w:rsidRPr="00845280">
              <w:rPr>
                <w:rFonts w:cs="Arial"/>
                <w:sz w:val="16"/>
                <w:szCs w:val="16"/>
                <w:vertAlign w:val="superscript"/>
              </w:rPr>
              <w:t>‡</w:t>
            </w:r>
            <w:r w:rsidRPr="00CB3A2C">
              <w:rPr>
                <w:rFonts w:cs="Arial"/>
                <w:i/>
                <w:sz w:val="16"/>
                <w:szCs w:val="16"/>
              </w:rPr>
              <w:t>Excludes domain names registered under ’.</w:t>
            </w:r>
            <w:proofErr w:type="spellStart"/>
            <w:r w:rsidRPr="00CB3A2C">
              <w:rPr>
                <w:rFonts w:cs="Arial"/>
                <w:i/>
                <w:sz w:val="16"/>
                <w:szCs w:val="16"/>
              </w:rPr>
              <w:t>gov.au</w:t>
            </w:r>
            <w:proofErr w:type="spellEnd"/>
            <w:r w:rsidRPr="00CB3A2C">
              <w:rPr>
                <w:rFonts w:cs="Arial"/>
                <w:i/>
                <w:sz w:val="16"/>
                <w:szCs w:val="16"/>
              </w:rPr>
              <w:t>’.</w:t>
            </w:r>
          </w:p>
          <w:p w:rsidR="001E6FB8" w:rsidRPr="00DA1F5C" w:rsidRDefault="001E6FB8" w:rsidP="001E6FB8">
            <w:pPr>
              <w:spacing w:line="240" w:lineRule="auto"/>
              <w:rPr>
                <w:rFonts w:cs="Arial"/>
                <w:i/>
                <w:sz w:val="16"/>
                <w:szCs w:val="16"/>
              </w:rPr>
            </w:pPr>
            <w:r w:rsidRPr="00DA1F5C">
              <w:rPr>
                <w:rFonts w:cs="Arial"/>
                <w:i/>
                <w:sz w:val="16"/>
                <w:szCs w:val="16"/>
                <w:vertAlign w:val="superscript"/>
              </w:rPr>
              <w:t>†</w:t>
            </w:r>
            <w:r w:rsidRPr="00DA1F5C">
              <w:rPr>
                <w:rFonts w:cs="Arial"/>
                <w:i/>
                <w:sz w:val="16"/>
                <w:szCs w:val="16"/>
              </w:rPr>
              <w:t>Relates to activities undertaken in the six months to May.</w:t>
            </w:r>
          </w:p>
          <w:p w:rsidR="001E6FB8" w:rsidRPr="000D0ACF" w:rsidRDefault="001E6FB8" w:rsidP="001E6FB8">
            <w:pPr>
              <w:spacing w:after="60" w:line="240" w:lineRule="auto"/>
              <w:rPr>
                <w:rFonts w:cs="Arial"/>
                <w:i/>
                <w:sz w:val="16"/>
                <w:szCs w:val="16"/>
              </w:rPr>
            </w:pPr>
            <w:r w:rsidRPr="00DA1F5C">
              <w:rPr>
                <w:rFonts w:cs="Arial"/>
                <w:i/>
                <w:sz w:val="16"/>
                <w:szCs w:val="16"/>
                <w:vertAlign w:val="superscript"/>
              </w:rPr>
              <w:t>§</w:t>
            </w:r>
            <w:r w:rsidRPr="00CB3A2C">
              <w:rPr>
                <w:rFonts w:cs="Arial"/>
                <w:i/>
                <w:sz w:val="16"/>
                <w:szCs w:val="16"/>
              </w:rPr>
              <w:t xml:space="preserve">ABS defines internet e-commerce as the purchase/order of goods and services online regardless of whether or not the purchases </w:t>
            </w:r>
            <w:r>
              <w:rPr>
                <w:rFonts w:cs="Arial"/>
                <w:i/>
                <w:sz w:val="16"/>
                <w:szCs w:val="16"/>
              </w:rPr>
              <w:br/>
            </w:r>
            <w:r w:rsidRPr="00CB3A2C">
              <w:rPr>
                <w:rFonts w:cs="Arial"/>
                <w:i/>
                <w:sz w:val="16"/>
                <w:szCs w:val="16"/>
              </w:rPr>
              <w:t>were paid for online. Latest ABS available data refers to period 2011–12.</w:t>
            </w:r>
          </w:p>
        </w:tc>
      </w:tr>
    </w:tbl>
    <w:p w:rsidR="001E6FB8" w:rsidRDefault="001E6FB8" w:rsidP="001E6FB8"/>
    <w:p w:rsidR="001E6FB8" w:rsidRDefault="001E6FB8" w:rsidP="001E6FB8">
      <w:pPr>
        <w:pStyle w:val="Heading2"/>
        <w:pageBreakBefore/>
      </w:pPr>
      <w:bookmarkStart w:id="65" w:name="_Toc341428272"/>
      <w:bookmarkStart w:id="66" w:name="_Toc370381854"/>
      <w:bookmarkStart w:id="67" w:name="_Toc371588968"/>
      <w:bookmarkStart w:id="68" w:name="_Toc373149030"/>
      <w:r w:rsidRPr="00CB3A2C">
        <w:t>Licensed services</w:t>
      </w:r>
      <w:bookmarkEnd w:id="65"/>
      <w:bookmarkEnd w:id="66"/>
      <w:bookmarkEnd w:id="67"/>
      <w:bookmarkEnd w:id="68"/>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rPr>
                <w:color w:val="00709E"/>
              </w:rPr>
            </w:pPr>
            <w:r w:rsidRPr="00CA48DE">
              <w:rPr>
                <w:rFonts w:cs="Arial"/>
                <w:color w:val="00709E"/>
              </w:rPr>
              <w:t>Apparatus licences</w:t>
            </w:r>
          </w:p>
        </w:tc>
      </w:tr>
      <w:tr w:rsidR="001E6FB8" w:rsidTr="001E6FB8">
        <w:trPr>
          <w:trHeight w:val="424"/>
        </w:trPr>
        <w:tc>
          <w:tcPr>
            <w:tcW w:w="9645" w:type="dxa"/>
            <w:shd w:val="clear" w:color="auto" w:fill="auto"/>
            <w:tcMar>
              <w:left w:w="28" w:type="dxa"/>
            </w:tcMar>
          </w:tcPr>
          <w:tbl>
            <w:tblPr>
              <w:tblW w:w="9629"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6175"/>
              <w:gridCol w:w="1727"/>
              <w:gridCol w:w="1727"/>
            </w:tblGrid>
            <w:tr w:rsidR="001E6FB8" w:rsidRPr="00CB3A2C" w:rsidTr="001E6FB8">
              <w:trPr>
                <w:trHeight w:val="284"/>
              </w:trPr>
              <w:tc>
                <w:tcPr>
                  <w:tcW w:w="6175" w:type="dxa"/>
                  <w:shd w:val="clear" w:color="auto" w:fill="00709E"/>
                  <w:tcMar>
                    <w:top w:w="34" w:type="dxa"/>
                    <w:left w:w="113" w:type="dxa"/>
                    <w:bottom w:w="0" w:type="dxa"/>
                    <w:right w:w="0" w:type="dxa"/>
                  </w:tcMar>
                </w:tcPr>
                <w:p w:rsidR="001E6FB8" w:rsidRPr="00CB3A2C" w:rsidRDefault="001E6FB8" w:rsidP="001E6FB8">
                  <w:pPr>
                    <w:pStyle w:val="TableBody"/>
                    <w:ind w:right="104"/>
                    <w:rPr>
                      <w:rFonts w:cs="Arial"/>
                      <w:color w:val="FFFFFF" w:themeColor="background1"/>
                      <w:sz w:val="18"/>
                    </w:rPr>
                  </w:pPr>
                </w:p>
              </w:tc>
              <w:tc>
                <w:tcPr>
                  <w:tcW w:w="1727"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30 June 2012</w:t>
                  </w:r>
                </w:p>
              </w:tc>
              <w:tc>
                <w:tcPr>
                  <w:tcW w:w="1727" w:type="dxa"/>
                  <w:shd w:val="clear" w:color="auto" w:fill="00709E"/>
                  <w:tcMar>
                    <w:top w:w="0" w:type="dxa"/>
                    <w:left w:w="113" w:type="dxa"/>
                    <w:bottom w:w="0" w:type="dxa"/>
                    <w:right w:w="0" w:type="dxa"/>
                  </w:tcMar>
                  <w:hideMark/>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30 June 2013</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Aeronautical</w:t>
                  </w:r>
                </w:p>
              </w:tc>
              <w:tc>
                <w:tcPr>
                  <w:tcW w:w="1727" w:type="dxa"/>
                  <w:vAlign w:val="bottom"/>
                </w:tcPr>
                <w:p w:rsidR="001E6FB8" w:rsidRPr="00CB3A2C" w:rsidRDefault="001E6FB8" w:rsidP="001E6FB8">
                  <w:pPr>
                    <w:pStyle w:val="TableBody"/>
                    <w:ind w:right="104"/>
                    <w:jc w:val="right"/>
                    <w:rPr>
                      <w:rFonts w:cs="Arial"/>
                      <w:color w:val="808285"/>
                      <w:spacing w:val="-28"/>
                      <w:sz w:val="18"/>
                    </w:rPr>
                  </w:pPr>
                  <w:r w:rsidRPr="00CB3A2C">
                    <w:rPr>
                      <w:rFonts w:cs="Arial"/>
                      <w:sz w:val="18"/>
                    </w:rPr>
                    <w:t>2,106</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2,221</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Aircraft</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11</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12</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Amateur</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15,760</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15,540</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Broadcasting</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10,091</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9,285</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Defence</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74</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76</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Earth</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579</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688</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Earth receive</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581</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674</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Fixed</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44,140</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41,093</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Fixed receive</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1,012</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1,007</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Land mobile</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68,905</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69,287</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Major coast receive</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17</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17</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Maritime coast</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3,504</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3,545</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Maritime ship</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7,884</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7,664</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Outpost</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4,106</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3,889</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Public telecommunications service</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657</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691</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proofErr w:type="spellStart"/>
                  <w:r w:rsidRPr="00CB3A2C">
                    <w:rPr>
                      <w:rFonts w:cs="Arial"/>
                      <w:sz w:val="18"/>
                    </w:rPr>
                    <w:t>Radiodetermination</w:t>
                  </w:r>
                  <w:proofErr w:type="spellEnd"/>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2,899</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2,923</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Scientific</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504</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497</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Space</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102</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106</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CB3A2C" w:rsidRDefault="001E6FB8" w:rsidP="001E6FB8">
                  <w:pPr>
                    <w:pStyle w:val="TableBody"/>
                    <w:ind w:right="104"/>
                    <w:rPr>
                      <w:rFonts w:cs="Arial"/>
                      <w:sz w:val="18"/>
                    </w:rPr>
                  </w:pPr>
                  <w:r w:rsidRPr="00CB3A2C">
                    <w:rPr>
                      <w:rFonts w:cs="Arial"/>
                      <w:sz w:val="18"/>
                    </w:rPr>
                    <w:t>Space receive</w:t>
                  </w:r>
                </w:p>
              </w:tc>
              <w:tc>
                <w:tcPr>
                  <w:tcW w:w="1727" w:type="dxa"/>
                  <w:vAlign w:val="bottom"/>
                </w:tcPr>
                <w:p w:rsidR="001E6FB8" w:rsidRPr="00CB3A2C" w:rsidRDefault="001E6FB8" w:rsidP="001E6FB8">
                  <w:pPr>
                    <w:pStyle w:val="TableBody"/>
                    <w:ind w:right="104"/>
                    <w:jc w:val="right"/>
                    <w:rPr>
                      <w:rFonts w:cs="Arial"/>
                      <w:sz w:val="18"/>
                    </w:rPr>
                  </w:pPr>
                  <w:r w:rsidRPr="00CB3A2C">
                    <w:rPr>
                      <w:rFonts w:cs="Arial"/>
                      <w:sz w:val="18"/>
                    </w:rPr>
                    <w:t>338</w:t>
                  </w:r>
                </w:p>
              </w:tc>
              <w:tc>
                <w:tcPr>
                  <w:tcW w:w="1727" w:type="dxa"/>
                  <w:tcMar>
                    <w:top w:w="0" w:type="dxa"/>
                    <w:left w:w="113" w:type="dxa"/>
                    <w:bottom w:w="0" w:type="dxa"/>
                    <w:right w:w="0" w:type="dxa"/>
                  </w:tcMar>
                  <w:vAlign w:val="bottom"/>
                  <w:hideMark/>
                </w:tcPr>
                <w:p w:rsidR="001E6FB8" w:rsidRPr="00CB3A2C" w:rsidRDefault="001E6FB8" w:rsidP="001E6FB8">
                  <w:pPr>
                    <w:pStyle w:val="TableBody"/>
                    <w:ind w:right="104"/>
                    <w:jc w:val="right"/>
                    <w:rPr>
                      <w:rFonts w:cs="Arial"/>
                      <w:sz w:val="18"/>
                    </w:rPr>
                  </w:pPr>
                  <w:r w:rsidRPr="00CB3A2C">
                    <w:rPr>
                      <w:rFonts w:cs="Arial"/>
                      <w:sz w:val="18"/>
                    </w:rPr>
                    <w:t>301</w:t>
                  </w:r>
                </w:p>
              </w:tc>
            </w:tr>
            <w:tr w:rsidR="001E6FB8" w:rsidRPr="00CB3A2C" w:rsidTr="001E6FB8">
              <w:trPr>
                <w:trHeight w:val="284"/>
              </w:trPr>
              <w:tc>
                <w:tcPr>
                  <w:tcW w:w="6175" w:type="dxa"/>
                  <w:tcMar>
                    <w:top w:w="0" w:type="dxa"/>
                    <w:left w:w="113" w:type="dxa"/>
                    <w:bottom w:w="0" w:type="dxa"/>
                    <w:right w:w="0" w:type="dxa"/>
                  </w:tcMar>
                  <w:vAlign w:val="bottom"/>
                  <w:hideMark/>
                </w:tcPr>
                <w:p w:rsidR="001E6FB8" w:rsidRPr="00810E32" w:rsidRDefault="001E6FB8" w:rsidP="001E6FB8">
                  <w:pPr>
                    <w:pStyle w:val="TableBody"/>
                    <w:ind w:right="104"/>
                    <w:rPr>
                      <w:rFonts w:cs="Arial"/>
                      <w:b/>
                      <w:sz w:val="18"/>
                    </w:rPr>
                  </w:pPr>
                  <w:r w:rsidRPr="00810E32">
                    <w:rPr>
                      <w:rFonts w:cs="Arial"/>
                      <w:b/>
                      <w:sz w:val="18"/>
                    </w:rPr>
                    <w:t>Total</w:t>
                  </w:r>
                </w:p>
              </w:tc>
              <w:tc>
                <w:tcPr>
                  <w:tcW w:w="1727" w:type="dxa"/>
                  <w:vAlign w:val="bottom"/>
                </w:tcPr>
                <w:p w:rsidR="001E6FB8" w:rsidRPr="00810E32" w:rsidRDefault="001E6FB8" w:rsidP="001E6FB8">
                  <w:pPr>
                    <w:pStyle w:val="TableBody"/>
                    <w:ind w:right="104"/>
                    <w:jc w:val="right"/>
                    <w:rPr>
                      <w:rFonts w:cs="Arial"/>
                      <w:b/>
                      <w:sz w:val="18"/>
                    </w:rPr>
                  </w:pPr>
                  <w:r w:rsidRPr="00810E32">
                    <w:rPr>
                      <w:rFonts w:cs="Arial"/>
                      <w:b/>
                      <w:sz w:val="18"/>
                    </w:rPr>
                    <w:t>163,270</w:t>
                  </w:r>
                </w:p>
              </w:tc>
              <w:tc>
                <w:tcPr>
                  <w:tcW w:w="1727" w:type="dxa"/>
                  <w:tcMar>
                    <w:top w:w="0" w:type="dxa"/>
                    <w:left w:w="113" w:type="dxa"/>
                    <w:bottom w:w="0" w:type="dxa"/>
                    <w:right w:w="0" w:type="dxa"/>
                  </w:tcMar>
                  <w:vAlign w:val="bottom"/>
                  <w:hideMark/>
                </w:tcPr>
                <w:p w:rsidR="001E6FB8" w:rsidRPr="00810E32" w:rsidRDefault="001E6FB8" w:rsidP="001E6FB8">
                  <w:pPr>
                    <w:pStyle w:val="TableBody"/>
                    <w:ind w:right="104"/>
                    <w:jc w:val="right"/>
                    <w:rPr>
                      <w:rFonts w:cs="Arial"/>
                      <w:b/>
                      <w:sz w:val="18"/>
                    </w:rPr>
                  </w:pPr>
                  <w:r w:rsidRPr="00810E32">
                    <w:rPr>
                      <w:rFonts w:cs="Arial"/>
                      <w:b/>
                      <w:sz w:val="18"/>
                    </w:rPr>
                    <w:t>159,516</w:t>
                  </w:r>
                </w:p>
              </w:tc>
            </w:tr>
          </w:tbl>
          <w:p w:rsidR="001E6FB8" w:rsidRDefault="001E6FB8" w:rsidP="001E6FB8"/>
        </w:tc>
      </w:tr>
      <w:tr w:rsidR="001E6FB8" w:rsidTr="001E6FB8">
        <w:trPr>
          <w:trHeight w:val="271"/>
        </w:trPr>
        <w:tc>
          <w:tcPr>
            <w:tcW w:w="9645" w:type="dxa"/>
            <w:tcBorders>
              <w:bottom w:val="single" w:sz="2" w:space="0" w:color="505050"/>
            </w:tcBorders>
            <w:shd w:val="clear" w:color="auto" w:fill="auto"/>
          </w:tcPr>
          <w:p w:rsidR="001E6FB8" w:rsidRDefault="001E6FB8" w:rsidP="001E6FB8">
            <w:pPr>
              <w:spacing w:before="60" w:after="60"/>
            </w:pPr>
            <w:r w:rsidRPr="00CB3A2C">
              <w:rPr>
                <w:rFonts w:cs="Arial"/>
                <w:i/>
                <w:iCs/>
                <w:sz w:val="16"/>
                <w:szCs w:val="16"/>
              </w:rPr>
              <w:t>Note: Figures include multi-year licences.</w:t>
            </w:r>
          </w:p>
        </w:tc>
      </w:tr>
    </w:tbl>
    <w:p w:rsidR="001E6FB8" w:rsidRDefault="001E6FB8" w:rsidP="001E6FB8"/>
    <w:p w:rsidR="001E6FB8" w:rsidRPr="0028386C"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rPr>
                <w:color w:val="00709E"/>
              </w:rPr>
            </w:pPr>
            <w:r w:rsidRPr="00CA48DE">
              <w:rPr>
                <w:rFonts w:cs="Arial"/>
                <w:color w:val="00709E"/>
              </w:rPr>
              <w:t>Broadcasting licences</w:t>
            </w:r>
          </w:p>
        </w:tc>
      </w:tr>
      <w:tr w:rsidR="001E6FB8" w:rsidTr="001E6FB8">
        <w:trPr>
          <w:trHeight w:val="2189"/>
        </w:trPr>
        <w:tc>
          <w:tcPr>
            <w:tcW w:w="9645" w:type="dxa"/>
            <w:shd w:val="clear" w:color="auto" w:fill="auto"/>
            <w:tcMar>
              <w:left w:w="28" w:type="dxa"/>
            </w:tcMar>
          </w:tcPr>
          <w:tbl>
            <w:tblPr>
              <w:tblW w:w="961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6173"/>
              <w:gridCol w:w="1698"/>
              <w:gridCol w:w="1740"/>
            </w:tblGrid>
            <w:tr w:rsidR="001E6FB8" w:rsidRPr="00CB3A2C" w:rsidTr="001E6FB8">
              <w:trPr>
                <w:trHeight w:val="284"/>
              </w:trPr>
              <w:tc>
                <w:tcPr>
                  <w:tcW w:w="6173" w:type="dxa"/>
                  <w:shd w:val="clear" w:color="auto" w:fill="00709E"/>
                  <w:tcMar>
                    <w:top w:w="34" w:type="dxa"/>
                    <w:left w:w="113" w:type="dxa"/>
                    <w:bottom w:w="0" w:type="dxa"/>
                    <w:right w:w="0" w:type="dxa"/>
                  </w:tcMar>
                  <w:hideMark/>
                </w:tcPr>
                <w:p w:rsidR="001E6FB8" w:rsidRPr="00CB3A2C" w:rsidRDefault="001E6FB8" w:rsidP="001E6FB8">
                  <w:pPr>
                    <w:pStyle w:val="TableHeading"/>
                    <w:rPr>
                      <w:rFonts w:cs="Arial"/>
                      <w:color w:val="FFFFFF" w:themeColor="background1"/>
                      <w:sz w:val="18"/>
                    </w:rPr>
                  </w:pPr>
                  <w:r w:rsidRPr="00CB3A2C">
                    <w:rPr>
                      <w:rFonts w:cs="Arial"/>
                      <w:color w:val="FFFFFF" w:themeColor="background1"/>
                      <w:sz w:val="18"/>
                    </w:rPr>
                    <w:t>Licence type</w:t>
                  </w:r>
                </w:p>
              </w:tc>
              <w:tc>
                <w:tcPr>
                  <w:tcW w:w="1698"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30 June 2012</w:t>
                  </w:r>
                </w:p>
              </w:tc>
              <w:tc>
                <w:tcPr>
                  <w:tcW w:w="1740"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30 June 2013</w:t>
                  </w:r>
                </w:p>
              </w:tc>
            </w:tr>
            <w:tr w:rsidR="001E6FB8" w:rsidRPr="00CB3A2C" w:rsidTr="001E6FB8">
              <w:trPr>
                <w:trHeight w:val="284"/>
              </w:trPr>
              <w:tc>
                <w:tcPr>
                  <w:tcW w:w="6173"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Commercial radio broadcasting licences</w:t>
                  </w:r>
                </w:p>
              </w:tc>
              <w:tc>
                <w:tcPr>
                  <w:tcW w:w="1698" w:type="dxa"/>
                  <w:vAlign w:val="center"/>
                </w:tcPr>
                <w:p w:rsidR="001E6FB8" w:rsidRPr="00CB3A2C" w:rsidRDefault="001E6FB8" w:rsidP="001E6FB8">
                  <w:pPr>
                    <w:pStyle w:val="TableBody"/>
                    <w:ind w:right="107"/>
                    <w:jc w:val="right"/>
                    <w:rPr>
                      <w:rFonts w:cs="Arial"/>
                      <w:sz w:val="18"/>
                    </w:rPr>
                  </w:pPr>
                  <w:r w:rsidRPr="00CB3A2C">
                    <w:rPr>
                      <w:rFonts w:cs="Arial"/>
                      <w:sz w:val="18"/>
                    </w:rPr>
                    <w:t>273</w:t>
                  </w:r>
                </w:p>
              </w:tc>
              <w:tc>
                <w:tcPr>
                  <w:tcW w:w="1740" w:type="dxa"/>
                  <w:vAlign w:val="center"/>
                </w:tcPr>
                <w:p w:rsidR="001E6FB8" w:rsidRPr="00CB3A2C" w:rsidRDefault="001E6FB8" w:rsidP="001E6FB8">
                  <w:pPr>
                    <w:pStyle w:val="TableBody"/>
                    <w:ind w:right="107"/>
                    <w:jc w:val="right"/>
                    <w:rPr>
                      <w:rFonts w:cs="Arial"/>
                      <w:sz w:val="18"/>
                    </w:rPr>
                  </w:pPr>
                  <w:r w:rsidRPr="00CB3A2C">
                    <w:rPr>
                      <w:rFonts w:cs="Arial"/>
                      <w:sz w:val="18"/>
                    </w:rPr>
                    <w:t>273</w:t>
                  </w:r>
                </w:p>
              </w:tc>
            </w:tr>
            <w:tr w:rsidR="001E6FB8" w:rsidRPr="00CB3A2C" w:rsidTr="001E6FB8">
              <w:trPr>
                <w:trHeight w:val="284"/>
              </w:trPr>
              <w:tc>
                <w:tcPr>
                  <w:tcW w:w="6173"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Community radio broadcasting licences</w:t>
                  </w:r>
                </w:p>
              </w:tc>
              <w:tc>
                <w:tcPr>
                  <w:tcW w:w="1698" w:type="dxa"/>
                  <w:vAlign w:val="center"/>
                </w:tcPr>
                <w:p w:rsidR="001E6FB8" w:rsidRPr="00CB3A2C" w:rsidRDefault="001E6FB8" w:rsidP="001E6FB8">
                  <w:pPr>
                    <w:pStyle w:val="TableBody"/>
                    <w:ind w:right="107"/>
                    <w:jc w:val="right"/>
                    <w:rPr>
                      <w:rFonts w:cs="Arial"/>
                      <w:sz w:val="18"/>
                    </w:rPr>
                  </w:pPr>
                  <w:r w:rsidRPr="00CB3A2C">
                    <w:rPr>
                      <w:rFonts w:cs="Arial"/>
                      <w:sz w:val="18"/>
                    </w:rPr>
                    <w:t>362</w:t>
                  </w:r>
                </w:p>
              </w:tc>
              <w:tc>
                <w:tcPr>
                  <w:tcW w:w="1740" w:type="dxa"/>
                  <w:vAlign w:val="center"/>
                </w:tcPr>
                <w:p w:rsidR="001E6FB8" w:rsidRPr="00CB3A2C" w:rsidRDefault="001E6FB8" w:rsidP="001E6FB8">
                  <w:pPr>
                    <w:pStyle w:val="TableBody"/>
                    <w:ind w:right="107"/>
                    <w:jc w:val="right"/>
                    <w:rPr>
                      <w:rFonts w:cs="Arial"/>
                      <w:sz w:val="18"/>
                    </w:rPr>
                  </w:pPr>
                  <w:r w:rsidRPr="00CB3A2C">
                    <w:rPr>
                      <w:rFonts w:cs="Arial"/>
                      <w:sz w:val="18"/>
                    </w:rPr>
                    <w:t>355</w:t>
                  </w:r>
                </w:p>
              </w:tc>
            </w:tr>
            <w:tr w:rsidR="001E6FB8" w:rsidRPr="00CB3A2C" w:rsidTr="001E6FB8">
              <w:trPr>
                <w:trHeight w:val="284"/>
              </w:trPr>
              <w:tc>
                <w:tcPr>
                  <w:tcW w:w="6173"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Temporary community radio broadcasting licences</w:t>
                  </w:r>
                </w:p>
              </w:tc>
              <w:tc>
                <w:tcPr>
                  <w:tcW w:w="1698" w:type="dxa"/>
                  <w:vAlign w:val="center"/>
                </w:tcPr>
                <w:p w:rsidR="001E6FB8" w:rsidRPr="00CB3A2C" w:rsidRDefault="001E6FB8" w:rsidP="001E6FB8">
                  <w:pPr>
                    <w:pStyle w:val="TableBody"/>
                    <w:ind w:right="107"/>
                    <w:jc w:val="right"/>
                    <w:rPr>
                      <w:rFonts w:cs="Arial"/>
                      <w:sz w:val="18"/>
                    </w:rPr>
                  </w:pPr>
                  <w:r w:rsidRPr="00CB3A2C">
                    <w:rPr>
                      <w:rFonts w:cs="Arial"/>
                      <w:sz w:val="18"/>
                    </w:rPr>
                    <w:t>96</w:t>
                  </w:r>
                </w:p>
              </w:tc>
              <w:tc>
                <w:tcPr>
                  <w:tcW w:w="1740" w:type="dxa"/>
                  <w:vAlign w:val="center"/>
                </w:tcPr>
                <w:p w:rsidR="001E6FB8" w:rsidRPr="00CB3A2C" w:rsidRDefault="001E6FB8" w:rsidP="001E6FB8">
                  <w:pPr>
                    <w:pStyle w:val="TableBody"/>
                    <w:ind w:right="107"/>
                    <w:jc w:val="right"/>
                    <w:rPr>
                      <w:rFonts w:cs="Arial"/>
                      <w:sz w:val="18"/>
                    </w:rPr>
                  </w:pPr>
                  <w:r w:rsidRPr="00CB3A2C">
                    <w:rPr>
                      <w:rFonts w:cs="Arial"/>
                      <w:sz w:val="18"/>
                    </w:rPr>
                    <w:t>95</w:t>
                  </w:r>
                </w:p>
              </w:tc>
            </w:tr>
            <w:tr w:rsidR="001E6FB8" w:rsidRPr="00CB3A2C" w:rsidTr="001E6FB8">
              <w:trPr>
                <w:trHeight w:val="284"/>
              </w:trPr>
              <w:tc>
                <w:tcPr>
                  <w:tcW w:w="6173"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Commercial television broadcasting licences</w:t>
                  </w:r>
                </w:p>
              </w:tc>
              <w:tc>
                <w:tcPr>
                  <w:tcW w:w="1698" w:type="dxa"/>
                  <w:vAlign w:val="center"/>
                </w:tcPr>
                <w:p w:rsidR="001E6FB8" w:rsidRPr="00CB3A2C" w:rsidRDefault="001E6FB8" w:rsidP="001E6FB8">
                  <w:pPr>
                    <w:pStyle w:val="TableBody"/>
                    <w:ind w:right="107"/>
                    <w:jc w:val="right"/>
                    <w:rPr>
                      <w:rFonts w:cs="Arial"/>
                      <w:sz w:val="18"/>
                    </w:rPr>
                  </w:pPr>
                  <w:r w:rsidRPr="00CB3A2C">
                    <w:rPr>
                      <w:rFonts w:cs="Arial"/>
                      <w:sz w:val="18"/>
                    </w:rPr>
                    <w:t>69</w:t>
                  </w:r>
                </w:p>
              </w:tc>
              <w:tc>
                <w:tcPr>
                  <w:tcW w:w="1740" w:type="dxa"/>
                  <w:vAlign w:val="center"/>
                </w:tcPr>
                <w:p w:rsidR="001E6FB8" w:rsidRPr="00CB3A2C" w:rsidRDefault="001E6FB8" w:rsidP="001E6FB8">
                  <w:pPr>
                    <w:pStyle w:val="TableBody"/>
                    <w:ind w:right="107"/>
                    <w:jc w:val="right"/>
                    <w:rPr>
                      <w:rFonts w:cs="Arial"/>
                      <w:sz w:val="18"/>
                    </w:rPr>
                  </w:pPr>
                  <w:r w:rsidRPr="00CB3A2C">
                    <w:rPr>
                      <w:rFonts w:cs="Arial"/>
                      <w:sz w:val="18"/>
                    </w:rPr>
                    <w:t>73</w:t>
                  </w:r>
                </w:p>
              </w:tc>
            </w:tr>
            <w:tr w:rsidR="001E6FB8" w:rsidRPr="00CB3A2C" w:rsidTr="001E6FB8">
              <w:trPr>
                <w:trHeight w:val="284"/>
              </w:trPr>
              <w:tc>
                <w:tcPr>
                  <w:tcW w:w="6173"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Community television broadcasting licences*</w:t>
                  </w:r>
                </w:p>
              </w:tc>
              <w:tc>
                <w:tcPr>
                  <w:tcW w:w="1698" w:type="dxa"/>
                  <w:vAlign w:val="center"/>
                </w:tcPr>
                <w:p w:rsidR="001E6FB8" w:rsidRPr="00CB3A2C" w:rsidRDefault="001E6FB8" w:rsidP="001E6FB8">
                  <w:pPr>
                    <w:pStyle w:val="TableBody"/>
                    <w:ind w:right="107"/>
                    <w:jc w:val="right"/>
                    <w:rPr>
                      <w:rFonts w:cs="Arial"/>
                      <w:sz w:val="18"/>
                    </w:rPr>
                  </w:pPr>
                  <w:r w:rsidRPr="00CB3A2C">
                    <w:rPr>
                      <w:rFonts w:cs="Arial"/>
                      <w:sz w:val="18"/>
                    </w:rPr>
                    <w:t>81</w:t>
                  </w:r>
                </w:p>
              </w:tc>
              <w:tc>
                <w:tcPr>
                  <w:tcW w:w="1740" w:type="dxa"/>
                  <w:vAlign w:val="center"/>
                </w:tcPr>
                <w:p w:rsidR="001E6FB8" w:rsidRPr="00CB3A2C" w:rsidRDefault="001E6FB8" w:rsidP="001E6FB8">
                  <w:pPr>
                    <w:pStyle w:val="TableBody"/>
                    <w:ind w:right="107"/>
                    <w:jc w:val="right"/>
                    <w:rPr>
                      <w:rFonts w:cs="Arial"/>
                      <w:sz w:val="18"/>
                    </w:rPr>
                  </w:pPr>
                  <w:r w:rsidRPr="00CB3A2C">
                    <w:rPr>
                      <w:rFonts w:cs="Arial"/>
                      <w:sz w:val="18"/>
                    </w:rPr>
                    <w:t>69</w:t>
                  </w:r>
                </w:p>
              </w:tc>
            </w:tr>
            <w:tr w:rsidR="001E6FB8" w:rsidRPr="00CB3A2C" w:rsidTr="001E6FB8">
              <w:trPr>
                <w:trHeight w:val="284"/>
              </w:trPr>
              <w:tc>
                <w:tcPr>
                  <w:tcW w:w="6173"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Subscription television broadcasting licences</w:t>
                  </w:r>
                  <w:r w:rsidRPr="00CB3A2C">
                    <w:rPr>
                      <w:rFonts w:cs="Arial"/>
                      <w:sz w:val="18"/>
                      <w:vertAlign w:val="superscript"/>
                    </w:rPr>
                    <w:t>†</w:t>
                  </w:r>
                </w:p>
              </w:tc>
              <w:tc>
                <w:tcPr>
                  <w:tcW w:w="1698" w:type="dxa"/>
                  <w:vAlign w:val="center"/>
                </w:tcPr>
                <w:p w:rsidR="001E6FB8" w:rsidRPr="00CB3A2C" w:rsidRDefault="001E6FB8" w:rsidP="001E6FB8">
                  <w:pPr>
                    <w:pStyle w:val="TableBody"/>
                    <w:ind w:right="107"/>
                    <w:jc w:val="right"/>
                    <w:rPr>
                      <w:rFonts w:cs="Arial"/>
                      <w:sz w:val="18"/>
                    </w:rPr>
                  </w:pPr>
                  <w:r w:rsidRPr="00CB3A2C">
                    <w:rPr>
                      <w:rFonts w:cs="Arial"/>
                      <w:sz w:val="18"/>
                    </w:rPr>
                    <w:t>2,719</w:t>
                  </w:r>
                </w:p>
              </w:tc>
              <w:tc>
                <w:tcPr>
                  <w:tcW w:w="1740" w:type="dxa"/>
                  <w:vAlign w:val="center"/>
                </w:tcPr>
                <w:p w:rsidR="001E6FB8" w:rsidRPr="00CB3A2C" w:rsidRDefault="001E6FB8" w:rsidP="001E6FB8">
                  <w:pPr>
                    <w:pStyle w:val="TableBody"/>
                    <w:ind w:right="107"/>
                    <w:jc w:val="right"/>
                    <w:rPr>
                      <w:rFonts w:cs="Arial"/>
                      <w:sz w:val="18"/>
                    </w:rPr>
                  </w:pPr>
                  <w:r w:rsidRPr="00CB3A2C">
                    <w:rPr>
                      <w:rFonts w:cs="Arial"/>
                      <w:sz w:val="18"/>
                    </w:rPr>
                    <w:t>2,737</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CB3A2C" w:rsidRDefault="001E6FB8" w:rsidP="001E6FB8">
            <w:pPr>
              <w:spacing w:before="60" w:line="240" w:lineRule="auto"/>
              <w:rPr>
                <w:rFonts w:cs="Arial"/>
                <w:i/>
                <w:iCs/>
                <w:sz w:val="16"/>
                <w:szCs w:val="16"/>
              </w:rPr>
            </w:pPr>
            <w:r w:rsidRPr="00CB3A2C">
              <w:rPr>
                <w:rFonts w:cs="Arial"/>
                <w:i/>
                <w:iCs/>
                <w:sz w:val="16"/>
                <w:szCs w:val="16"/>
              </w:rPr>
              <w:t>*Relates mostly to Indigenous television services.</w:t>
            </w:r>
          </w:p>
          <w:p w:rsidR="001E6FB8" w:rsidRPr="00CB3A2C" w:rsidRDefault="001E6FB8" w:rsidP="001E6FB8">
            <w:pPr>
              <w:spacing w:line="240" w:lineRule="auto"/>
              <w:rPr>
                <w:rFonts w:cs="Arial"/>
                <w:i/>
                <w:iCs/>
                <w:sz w:val="16"/>
                <w:szCs w:val="16"/>
              </w:rPr>
            </w:pPr>
            <w:r w:rsidRPr="006059C6">
              <w:rPr>
                <w:rFonts w:cs="Arial"/>
                <w:i/>
                <w:iCs/>
                <w:sz w:val="16"/>
                <w:szCs w:val="16"/>
                <w:vertAlign w:val="superscript"/>
              </w:rPr>
              <w:t>†</w:t>
            </w:r>
            <w:r w:rsidRPr="00CB3A2C">
              <w:rPr>
                <w:rFonts w:cs="Arial"/>
                <w:i/>
                <w:iCs/>
                <w:sz w:val="16"/>
                <w:szCs w:val="16"/>
              </w:rPr>
              <w:t>Each subscription service is licensed separately.</w:t>
            </w:r>
          </w:p>
          <w:p w:rsidR="001E6FB8" w:rsidRDefault="001E6FB8" w:rsidP="001E6FB8">
            <w:pPr>
              <w:spacing w:after="60" w:line="240" w:lineRule="auto"/>
            </w:pPr>
            <w:r w:rsidRPr="00CB3A2C">
              <w:rPr>
                <w:rFonts w:cs="Arial"/>
                <w:i/>
                <w:iCs/>
                <w:sz w:val="16"/>
                <w:szCs w:val="16"/>
              </w:rPr>
              <w:t xml:space="preserve">Note: </w:t>
            </w:r>
            <w:r w:rsidRPr="00CB3A2C">
              <w:rPr>
                <w:rFonts w:cs="Arial"/>
                <w:i/>
                <w:sz w:val="16"/>
                <w:szCs w:val="16"/>
              </w:rPr>
              <w:t xml:space="preserve">The decrease in community radio and television licences reflects the number of </w:t>
            </w:r>
            <w:r>
              <w:rPr>
                <w:rFonts w:cs="Arial"/>
                <w:i/>
                <w:sz w:val="16"/>
                <w:szCs w:val="16"/>
              </w:rPr>
              <w:t>I</w:t>
            </w:r>
            <w:r w:rsidRPr="00CB3A2C">
              <w:rPr>
                <w:rFonts w:cs="Arial"/>
                <w:i/>
                <w:sz w:val="16"/>
                <w:szCs w:val="16"/>
              </w:rPr>
              <w:t xml:space="preserve">ndigenous broadcasting licences that lapsed </w:t>
            </w:r>
            <w:r>
              <w:rPr>
                <w:rFonts w:cs="Arial"/>
                <w:i/>
                <w:sz w:val="16"/>
                <w:szCs w:val="16"/>
              </w:rPr>
              <w:br/>
            </w:r>
            <w:r w:rsidRPr="00CB3A2C">
              <w:rPr>
                <w:rFonts w:cs="Arial"/>
                <w:i/>
                <w:sz w:val="16"/>
                <w:szCs w:val="16"/>
              </w:rPr>
              <w:t>and were not renewed during 2012–13.</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rPr>
                <w:color w:val="00709E"/>
              </w:rPr>
            </w:pPr>
            <w:r w:rsidRPr="00CA48DE">
              <w:rPr>
                <w:rFonts w:cs="Arial"/>
                <w:color w:val="00709E"/>
              </w:rPr>
              <w:t>Telecommunications licences</w:t>
            </w:r>
          </w:p>
        </w:tc>
      </w:tr>
      <w:tr w:rsidR="001E6FB8" w:rsidTr="001E6FB8">
        <w:trPr>
          <w:trHeight w:val="958"/>
        </w:trPr>
        <w:tc>
          <w:tcPr>
            <w:tcW w:w="9645" w:type="dxa"/>
            <w:shd w:val="clear" w:color="auto" w:fill="auto"/>
            <w:tcMar>
              <w:left w:w="28" w:type="dxa"/>
            </w:tcMar>
          </w:tcPr>
          <w:tbl>
            <w:tblPr>
              <w:tblW w:w="9586"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6192"/>
              <w:gridCol w:w="1697"/>
              <w:gridCol w:w="1697"/>
            </w:tblGrid>
            <w:tr w:rsidR="001E6FB8" w:rsidRPr="00CB3A2C" w:rsidTr="001E6FB8">
              <w:trPr>
                <w:trHeight w:val="284"/>
              </w:trPr>
              <w:tc>
                <w:tcPr>
                  <w:tcW w:w="6192" w:type="dxa"/>
                  <w:shd w:val="clear" w:color="auto" w:fill="00709E"/>
                  <w:tcMar>
                    <w:top w:w="34" w:type="dxa"/>
                    <w:left w:w="113" w:type="dxa"/>
                    <w:bottom w:w="0" w:type="dxa"/>
                    <w:right w:w="0" w:type="dxa"/>
                  </w:tcMar>
                  <w:hideMark/>
                </w:tcPr>
                <w:p w:rsidR="001E6FB8" w:rsidRPr="00CB3A2C" w:rsidRDefault="001E6FB8" w:rsidP="001E6FB8">
                  <w:pPr>
                    <w:pStyle w:val="TableHeading"/>
                    <w:rPr>
                      <w:rFonts w:cs="Arial"/>
                      <w:color w:val="FFFFFF" w:themeColor="background1"/>
                      <w:sz w:val="18"/>
                    </w:rPr>
                  </w:pPr>
                  <w:r w:rsidRPr="00CB3A2C">
                    <w:rPr>
                      <w:rFonts w:cs="Arial"/>
                      <w:color w:val="FFFFFF" w:themeColor="background1"/>
                      <w:sz w:val="18"/>
                    </w:rPr>
                    <w:t>Licence type</w:t>
                  </w:r>
                </w:p>
              </w:tc>
              <w:tc>
                <w:tcPr>
                  <w:tcW w:w="1697"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30 June 2012</w:t>
                  </w:r>
                </w:p>
              </w:tc>
              <w:tc>
                <w:tcPr>
                  <w:tcW w:w="1697"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30 June 2013</w:t>
                  </w:r>
                </w:p>
              </w:tc>
            </w:tr>
            <w:tr w:rsidR="001E6FB8" w:rsidRPr="00CB3A2C" w:rsidTr="001E6FB8">
              <w:trPr>
                <w:trHeight w:val="284"/>
              </w:trPr>
              <w:tc>
                <w:tcPr>
                  <w:tcW w:w="6192"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Licensed carriers</w:t>
                  </w:r>
                </w:p>
              </w:tc>
              <w:tc>
                <w:tcPr>
                  <w:tcW w:w="1697" w:type="dxa"/>
                  <w:vAlign w:val="center"/>
                </w:tcPr>
                <w:p w:rsidR="001E6FB8" w:rsidRPr="00CB3A2C" w:rsidRDefault="001E6FB8" w:rsidP="001E6FB8">
                  <w:pPr>
                    <w:pStyle w:val="TableBody"/>
                    <w:ind w:right="125"/>
                    <w:jc w:val="right"/>
                    <w:rPr>
                      <w:rFonts w:cs="Arial"/>
                      <w:sz w:val="18"/>
                    </w:rPr>
                  </w:pPr>
                  <w:r w:rsidRPr="00CB3A2C">
                    <w:rPr>
                      <w:rFonts w:cs="Arial"/>
                      <w:sz w:val="18"/>
                    </w:rPr>
                    <w:t>187</w:t>
                  </w:r>
                </w:p>
              </w:tc>
              <w:tc>
                <w:tcPr>
                  <w:tcW w:w="1697" w:type="dxa"/>
                  <w:vAlign w:val="center"/>
                </w:tcPr>
                <w:p w:rsidR="001E6FB8" w:rsidRPr="00CB3A2C" w:rsidRDefault="001E6FB8" w:rsidP="001E6FB8">
                  <w:pPr>
                    <w:pStyle w:val="TableBody"/>
                    <w:ind w:right="125"/>
                    <w:jc w:val="right"/>
                    <w:rPr>
                      <w:rFonts w:cs="Arial"/>
                      <w:sz w:val="18"/>
                    </w:rPr>
                  </w:pPr>
                  <w:r w:rsidRPr="00CB3A2C">
                    <w:rPr>
                      <w:rFonts w:cs="Arial"/>
                      <w:sz w:val="18"/>
                    </w:rPr>
                    <w:t>201</w:t>
                  </w:r>
                </w:p>
              </w:tc>
            </w:tr>
            <w:tr w:rsidR="001E6FB8" w:rsidRPr="00CB3A2C" w:rsidTr="001E6FB8">
              <w:trPr>
                <w:trHeight w:val="284"/>
              </w:trPr>
              <w:tc>
                <w:tcPr>
                  <w:tcW w:w="6192"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 xml:space="preserve">Licensed or registered </w:t>
                  </w:r>
                  <w:proofErr w:type="spellStart"/>
                  <w:r w:rsidRPr="00CB3A2C">
                    <w:rPr>
                      <w:rFonts w:cs="Arial"/>
                      <w:sz w:val="18"/>
                    </w:rPr>
                    <w:t>cablers</w:t>
                  </w:r>
                  <w:proofErr w:type="spellEnd"/>
                </w:p>
              </w:tc>
              <w:tc>
                <w:tcPr>
                  <w:tcW w:w="1697" w:type="dxa"/>
                  <w:vAlign w:val="center"/>
                </w:tcPr>
                <w:p w:rsidR="001E6FB8" w:rsidRPr="00CB3A2C" w:rsidRDefault="001E6FB8" w:rsidP="001E6FB8">
                  <w:pPr>
                    <w:pStyle w:val="TableBody"/>
                    <w:ind w:right="125"/>
                    <w:jc w:val="right"/>
                    <w:rPr>
                      <w:rFonts w:cs="Arial"/>
                      <w:sz w:val="18"/>
                    </w:rPr>
                  </w:pPr>
                  <w:r w:rsidRPr="00CB3A2C">
                    <w:rPr>
                      <w:rFonts w:cs="Arial"/>
                      <w:sz w:val="18"/>
                    </w:rPr>
                    <w:t>67,637</w:t>
                  </w:r>
                </w:p>
              </w:tc>
              <w:tc>
                <w:tcPr>
                  <w:tcW w:w="1697" w:type="dxa"/>
                  <w:vAlign w:val="center"/>
                </w:tcPr>
                <w:p w:rsidR="001E6FB8" w:rsidRPr="00CB3A2C" w:rsidRDefault="001E6FB8" w:rsidP="001E6FB8">
                  <w:pPr>
                    <w:pStyle w:val="TableBody"/>
                    <w:ind w:right="125"/>
                    <w:jc w:val="right"/>
                    <w:rPr>
                      <w:rFonts w:cs="Arial"/>
                      <w:sz w:val="18"/>
                    </w:rPr>
                  </w:pPr>
                  <w:r w:rsidRPr="00CB3A2C">
                    <w:rPr>
                      <w:rFonts w:cs="Arial"/>
                      <w:sz w:val="18"/>
                    </w:rPr>
                    <w:t>69,155</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tc>
      </w:tr>
    </w:tbl>
    <w:p w:rsidR="001E6FB8" w:rsidRDefault="001E6FB8" w:rsidP="001E6FB8">
      <w:pPr>
        <w:pStyle w:val="Heading2"/>
        <w:pageBreakBefore/>
      </w:pPr>
      <w:bookmarkStart w:id="69" w:name="_Toc308517086"/>
      <w:bookmarkStart w:id="70" w:name="_Toc308523546"/>
      <w:bookmarkStart w:id="71" w:name="_Toc310326773"/>
      <w:bookmarkStart w:id="72" w:name="_Toc341428274"/>
      <w:bookmarkStart w:id="73" w:name="_Toc370381855"/>
      <w:bookmarkStart w:id="74" w:name="_Toc371588969"/>
      <w:bookmarkStart w:id="75" w:name="_Toc373149031"/>
      <w:r w:rsidRPr="00CB3A2C">
        <w:t>Number portability and allocations</w:t>
      </w:r>
      <w:bookmarkEnd w:id="69"/>
      <w:bookmarkEnd w:id="70"/>
      <w:bookmarkEnd w:id="71"/>
      <w:bookmarkEnd w:id="72"/>
      <w:bookmarkEnd w:id="73"/>
      <w:bookmarkEnd w:id="74"/>
      <w:bookmarkEnd w:id="75"/>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r w:rsidRPr="00947322">
              <w:rPr>
                <w:rFonts w:cs="Arial"/>
                <w:color w:val="00709E"/>
              </w:rPr>
              <w:t>Number portability</w:t>
            </w:r>
          </w:p>
        </w:tc>
      </w:tr>
      <w:tr w:rsidR="001E6FB8" w:rsidTr="001E6FB8">
        <w:trPr>
          <w:trHeight w:val="812"/>
        </w:trPr>
        <w:tc>
          <w:tcPr>
            <w:tcW w:w="9645" w:type="dxa"/>
            <w:shd w:val="clear" w:color="auto" w:fill="auto"/>
            <w:tcMar>
              <w:left w:w="28" w:type="dxa"/>
            </w:tcMar>
          </w:tcPr>
          <w:tbl>
            <w:tblPr>
              <w:tblW w:w="9628" w:type="dxa"/>
              <w:tblInd w:w="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218"/>
              <w:gridCol w:w="1453"/>
              <w:gridCol w:w="1453"/>
              <w:gridCol w:w="1504"/>
            </w:tblGrid>
            <w:tr w:rsidR="001E6FB8" w:rsidRPr="00CB3A2C" w:rsidTr="001E6FB8">
              <w:trPr>
                <w:trHeight w:val="284"/>
              </w:trPr>
              <w:tc>
                <w:tcPr>
                  <w:tcW w:w="5218" w:type="dxa"/>
                  <w:shd w:val="clear" w:color="auto" w:fill="00709E"/>
                  <w:tcMar>
                    <w:top w:w="34" w:type="dxa"/>
                    <w:left w:w="113" w:type="dxa"/>
                    <w:bottom w:w="0" w:type="dxa"/>
                    <w:right w:w="0" w:type="dxa"/>
                  </w:tcMar>
                </w:tcPr>
                <w:p w:rsidR="001E6FB8" w:rsidRPr="00CB3A2C" w:rsidRDefault="001E6FB8" w:rsidP="001E6FB8">
                  <w:pPr>
                    <w:pStyle w:val="TableHeading"/>
                    <w:rPr>
                      <w:rFonts w:cs="Arial"/>
                      <w:color w:val="FFFFFF" w:themeColor="background1"/>
                      <w:sz w:val="18"/>
                    </w:rPr>
                  </w:pPr>
                </w:p>
              </w:tc>
              <w:tc>
                <w:tcPr>
                  <w:tcW w:w="1453" w:type="dxa"/>
                  <w:shd w:val="clear" w:color="auto" w:fill="00709E"/>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2011–12</w:t>
                  </w:r>
                </w:p>
              </w:tc>
              <w:tc>
                <w:tcPr>
                  <w:tcW w:w="1453" w:type="dxa"/>
                  <w:shd w:val="clear" w:color="auto" w:fill="00709E"/>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2012–13</w:t>
                  </w:r>
                </w:p>
              </w:tc>
              <w:tc>
                <w:tcPr>
                  <w:tcW w:w="1504" w:type="dxa"/>
                  <w:shd w:val="clear" w:color="auto" w:fill="00709E"/>
                  <w:tcMar>
                    <w:top w:w="0" w:type="dxa"/>
                    <w:left w:w="113" w:type="dxa"/>
                    <w:bottom w:w="0" w:type="dxa"/>
                    <w:right w:w="0" w:type="dxa"/>
                  </w:tcMar>
                  <w:hideMark/>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 change</w:t>
                  </w:r>
                </w:p>
              </w:tc>
            </w:tr>
            <w:tr w:rsidR="001E6FB8" w:rsidRPr="00CB3A2C" w:rsidTr="001E6FB8">
              <w:trPr>
                <w:trHeight w:val="284"/>
              </w:trPr>
              <w:tc>
                <w:tcPr>
                  <w:tcW w:w="5218"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Local geographic numbers ported</w:t>
                  </w:r>
                </w:p>
              </w:tc>
              <w:tc>
                <w:tcPr>
                  <w:tcW w:w="1453" w:type="dxa"/>
                  <w:vAlign w:val="center"/>
                </w:tcPr>
                <w:p w:rsidR="001E6FB8" w:rsidRPr="00CB3A2C" w:rsidRDefault="001E6FB8" w:rsidP="001E6FB8">
                  <w:pPr>
                    <w:pStyle w:val="TableBody"/>
                    <w:ind w:right="124"/>
                    <w:jc w:val="right"/>
                    <w:rPr>
                      <w:rFonts w:cs="Arial"/>
                      <w:sz w:val="18"/>
                    </w:rPr>
                  </w:pPr>
                  <w:r w:rsidRPr="00CB3A2C">
                    <w:rPr>
                      <w:rFonts w:cs="Arial"/>
                      <w:sz w:val="18"/>
                    </w:rPr>
                    <w:t>627,160</w:t>
                  </w:r>
                </w:p>
              </w:tc>
              <w:tc>
                <w:tcPr>
                  <w:tcW w:w="1453" w:type="dxa"/>
                  <w:vAlign w:val="center"/>
                </w:tcPr>
                <w:p w:rsidR="001E6FB8" w:rsidRPr="00CB3A2C" w:rsidRDefault="001E6FB8" w:rsidP="001E6FB8">
                  <w:pPr>
                    <w:pStyle w:val="TableBody"/>
                    <w:ind w:right="124"/>
                    <w:jc w:val="right"/>
                    <w:rPr>
                      <w:rFonts w:cs="Arial"/>
                      <w:sz w:val="18"/>
                    </w:rPr>
                  </w:pPr>
                  <w:r w:rsidRPr="00CB3A2C">
                    <w:rPr>
                      <w:rFonts w:cs="Arial"/>
                      <w:sz w:val="18"/>
                    </w:rPr>
                    <w:t>763,422</w:t>
                  </w:r>
                </w:p>
              </w:tc>
              <w:tc>
                <w:tcPr>
                  <w:tcW w:w="1504"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sidRPr="00CB3A2C">
                    <w:rPr>
                      <w:rFonts w:cs="Arial"/>
                      <w:sz w:val="18"/>
                    </w:rPr>
                    <w:t>+22%</w:t>
                  </w:r>
                </w:p>
              </w:tc>
            </w:tr>
            <w:tr w:rsidR="001E6FB8" w:rsidRPr="00CB3A2C" w:rsidTr="001E6FB8">
              <w:trPr>
                <w:trHeight w:val="284"/>
              </w:trPr>
              <w:tc>
                <w:tcPr>
                  <w:tcW w:w="5218"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Mobile numbers ported</w:t>
                  </w:r>
                </w:p>
              </w:tc>
              <w:tc>
                <w:tcPr>
                  <w:tcW w:w="1453" w:type="dxa"/>
                  <w:vAlign w:val="center"/>
                </w:tcPr>
                <w:p w:rsidR="001E6FB8" w:rsidRPr="00CB3A2C" w:rsidRDefault="001E6FB8" w:rsidP="001E6FB8">
                  <w:pPr>
                    <w:pStyle w:val="TableBody"/>
                    <w:ind w:right="124"/>
                    <w:jc w:val="right"/>
                    <w:rPr>
                      <w:rFonts w:cs="Arial"/>
                      <w:sz w:val="18"/>
                    </w:rPr>
                  </w:pPr>
                  <w:r w:rsidRPr="00CB3A2C">
                    <w:rPr>
                      <w:rFonts w:cs="Arial"/>
                      <w:sz w:val="18"/>
                      <w:szCs w:val="20"/>
                    </w:rPr>
                    <w:t>2,627,350</w:t>
                  </w:r>
                </w:p>
              </w:tc>
              <w:tc>
                <w:tcPr>
                  <w:tcW w:w="1453" w:type="dxa"/>
                  <w:vAlign w:val="center"/>
                </w:tcPr>
                <w:p w:rsidR="001E6FB8" w:rsidRPr="00CB3A2C" w:rsidRDefault="001E6FB8" w:rsidP="001E6FB8">
                  <w:pPr>
                    <w:pStyle w:val="TableBody"/>
                    <w:ind w:right="124"/>
                    <w:jc w:val="right"/>
                    <w:rPr>
                      <w:rFonts w:cs="Arial"/>
                      <w:sz w:val="18"/>
                    </w:rPr>
                  </w:pPr>
                  <w:r w:rsidRPr="00CB3A2C">
                    <w:rPr>
                      <w:rFonts w:cs="Arial"/>
                      <w:sz w:val="18"/>
                      <w:szCs w:val="20"/>
                    </w:rPr>
                    <w:t>1,743,485</w:t>
                  </w:r>
                </w:p>
              </w:tc>
              <w:tc>
                <w:tcPr>
                  <w:tcW w:w="1504"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Pr>
                      <w:rFonts w:cs="Arial"/>
                      <w:sz w:val="18"/>
                    </w:rPr>
                    <w:t>–</w:t>
                  </w:r>
                  <w:r w:rsidRPr="00CB3A2C">
                    <w:rPr>
                      <w:rFonts w:cs="Arial"/>
                      <w:sz w:val="18"/>
                    </w:rPr>
                    <w:t>34%</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rPr>
                <w:color w:val="00709E"/>
              </w:rPr>
            </w:pPr>
            <w:r w:rsidRPr="00CA48DE">
              <w:rPr>
                <w:rFonts w:cs="Arial"/>
                <w:color w:val="00709E"/>
              </w:rPr>
              <w:t>Quantity of numbers allocated by number type</w:t>
            </w:r>
          </w:p>
        </w:tc>
      </w:tr>
      <w:tr w:rsidR="001E6FB8" w:rsidTr="001E6FB8">
        <w:trPr>
          <w:trHeight w:val="2077"/>
        </w:trPr>
        <w:tc>
          <w:tcPr>
            <w:tcW w:w="9645" w:type="dxa"/>
            <w:shd w:val="clear" w:color="auto" w:fill="auto"/>
            <w:tcMar>
              <w:left w:w="28" w:type="dxa"/>
            </w:tcMar>
          </w:tcPr>
          <w:tbl>
            <w:tblPr>
              <w:tblW w:w="9606"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236"/>
              <w:gridCol w:w="2252"/>
              <w:gridCol w:w="2118"/>
            </w:tblGrid>
            <w:tr w:rsidR="001E6FB8" w:rsidRPr="00CB3A2C" w:rsidTr="001E6FB8">
              <w:trPr>
                <w:trHeight w:val="284"/>
              </w:trPr>
              <w:tc>
                <w:tcPr>
                  <w:tcW w:w="5236" w:type="dxa"/>
                  <w:shd w:val="clear" w:color="auto" w:fill="00709E"/>
                  <w:tcMar>
                    <w:top w:w="34" w:type="dxa"/>
                    <w:left w:w="113" w:type="dxa"/>
                    <w:bottom w:w="0" w:type="dxa"/>
                    <w:right w:w="0" w:type="dxa"/>
                  </w:tcMar>
                </w:tcPr>
                <w:p w:rsidR="001E6FB8" w:rsidRPr="00CB3A2C" w:rsidRDefault="001E6FB8" w:rsidP="001E6FB8">
                  <w:pPr>
                    <w:pStyle w:val="TableHeading"/>
                    <w:tabs>
                      <w:tab w:val="left" w:pos="1910"/>
                    </w:tabs>
                    <w:rPr>
                      <w:rFonts w:cs="Arial"/>
                      <w:color w:val="FFFFFF" w:themeColor="background1"/>
                      <w:sz w:val="18"/>
                    </w:rPr>
                  </w:pPr>
                  <w:r w:rsidRPr="00CB3A2C">
                    <w:rPr>
                      <w:rFonts w:cs="Arial"/>
                      <w:color w:val="FFFFFF" w:themeColor="background1"/>
                      <w:sz w:val="18"/>
                    </w:rPr>
                    <w:t>Type of number</w:t>
                  </w:r>
                  <w:r>
                    <w:rPr>
                      <w:rFonts w:cs="Arial"/>
                      <w:color w:val="FFFFFF" w:themeColor="background1"/>
                      <w:sz w:val="18"/>
                    </w:rPr>
                    <w:tab/>
                  </w:r>
                </w:p>
              </w:tc>
              <w:tc>
                <w:tcPr>
                  <w:tcW w:w="2252" w:type="dxa"/>
                  <w:shd w:val="clear" w:color="auto" w:fill="00709E"/>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2011–12</w:t>
                  </w:r>
                </w:p>
              </w:tc>
              <w:tc>
                <w:tcPr>
                  <w:tcW w:w="2118" w:type="dxa"/>
                  <w:shd w:val="clear" w:color="auto" w:fill="00709E"/>
                  <w:tcMar>
                    <w:top w:w="0" w:type="dxa"/>
                    <w:left w:w="113" w:type="dxa"/>
                    <w:bottom w:w="0" w:type="dxa"/>
                    <w:right w:w="0" w:type="dxa"/>
                  </w:tcMar>
                  <w:hideMark/>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2012–13</w:t>
                  </w:r>
                </w:p>
              </w:tc>
            </w:tr>
            <w:tr w:rsidR="001E6FB8" w:rsidRPr="00CB3A2C" w:rsidTr="001E6FB8">
              <w:trPr>
                <w:trHeight w:val="284"/>
              </w:trPr>
              <w:tc>
                <w:tcPr>
                  <w:tcW w:w="5236"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Geographic</w:t>
                  </w:r>
                </w:p>
              </w:tc>
              <w:tc>
                <w:tcPr>
                  <w:tcW w:w="2252" w:type="dxa"/>
                  <w:vAlign w:val="center"/>
                </w:tcPr>
                <w:p w:rsidR="001E6FB8" w:rsidRPr="00CB3A2C" w:rsidRDefault="001E6FB8" w:rsidP="001E6FB8">
                  <w:pPr>
                    <w:pStyle w:val="TableBody"/>
                    <w:ind w:right="124"/>
                    <w:jc w:val="right"/>
                    <w:rPr>
                      <w:rFonts w:cs="Arial"/>
                      <w:sz w:val="18"/>
                    </w:rPr>
                  </w:pPr>
                  <w:r w:rsidRPr="00CB3A2C">
                    <w:rPr>
                      <w:rFonts w:cs="Arial"/>
                      <w:sz w:val="18"/>
                    </w:rPr>
                    <w:t>2,664,600</w:t>
                  </w:r>
                </w:p>
              </w:tc>
              <w:tc>
                <w:tcPr>
                  <w:tcW w:w="2118"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sidRPr="00CB3A2C">
                    <w:rPr>
                      <w:rFonts w:cs="Arial"/>
                      <w:sz w:val="18"/>
                    </w:rPr>
                    <w:t>1,779,700</w:t>
                  </w:r>
                </w:p>
              </w:tc>
            </w:tr>
            <w:tr w:rsidR="001E6FB8" w:rsidRPr="00CB3A2C" w:rsidTr="001E6FB8">
              <w:trPr>
                <w:trHeight w:val="284"/>
              </w:trPr>
              <w:tc>
                <w:tcPr>
                  <w:tcW w:w="5236"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Digital mobile</w:t>
                  </w:r>
                </w:p>
              </w:tc>
              <w:tc>
                <w:tcPr>
                  <w:tcW w:w="2252" w:type="dxa"/>
                  <w:vAlign w:val="center"/>
                </w:tcPr>
                <w:p w:rsidR="001E6FB8" w:rsidRPr="00CB3A2C" w:rsidRDefault="001E6FB8" w:rsidP="001E6FB8">
                  <w:pPr>
                    <w:pStyle w:val="TableBody"/>
                    <w:ind w:right="124"/>
                    <w:jc w:val="right"/>
                    <w:rPr>
                      <w:rFonts w:cs="Arial"/>
                      <w:sz w:val="18"/>
                    </w:rPr>
                  </w:pPr>
                  <w:r w:rsidRPr="00CB3A2C">
                    <w:rPr>
                      <w:rFonts w:cs="Arial"/>
                      <w:sz w:val="18"/>
                    </w:rPr>
                    <w:t>6,400,000</w:t>
                  </w:r>
                </w:p>
              </w:tc>
              <w:tc>
                <w:tcPr>
                  <w:tcW w:w="2118"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sidRPr="00CB3A2C">
                    <w:rPr>
                      <w:rFonts w:cs="Arial"/>
                      <w:sz w:val="18"/>
                    </w:rPr>
                    <w:t>2,910,000</w:t>
                  </w:r>
                </w:p>
              </w:tc>
            </w:tr>
            <w:tr w:rsidR="001E6FB8" w:rsidRPr="00CB3A2C" w:rsidTr="001E6FB8">
              <w:trPr>
                <w:trHeight w:val="284"/>
              </w:trPr>
              <w:tc>
                <w:tcPr>
                  <w:tcW w:w="5236"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Mobile network codes</w:t>
                  </w:r>
                </w:p>
              </w:tc>
              <w:tc>
                <w:tcPr>
                  <w:tcW w:w="2252" w:type="dxa"/>
                  <w:vAlign w:val="center"/>
                </w:tcPr>
                <w:p w:rsidR="001E6FB8" w:rsidRPr="00CB3A2C" w:rsidRDefault="001E6FB8" w:rsidP="001E6FB8">
                  <w:pPr>
                    <w:pStyle w:val="TableBody"/>
                    <w:ind w:right="124"/>
                    <w:jc w:val="right"/>
                    <w:rPr>
                      <w:rFonts w:cs="Arial"/>
                      <w:sz w:val="18"/>
                    </w:rPr>
                  </w:pPr>
                  <w:r w:rsidRPr="00CB3A2C">
                    <w:rPr>
                      <w:rFonts w:cs="Arial"/>
                      <w:sz w:val="18"/>
                    </w:rPr>
                    <w:t>4</w:t>
                  </w:r>
                </w:p>
              </w:tc>
              <w:tc>
                <w:tcPr>
                  <w:tcW w:w="2118"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Pr>
                      <w:rFonts w:cs="Arial"/>
                      <w:sz w:val="18"/>
                    </w:rPr>
                    <w:t>4</w:t>
                  </w:r>
                </w:p>
              </w:tc>
            </w:tr>
            <w:tr w:rsidR="001E6FB8" w:rsidRPr="00CB3A2C" w:rsidTr="001E6FB8">
              <w:trPr>
                <w:trHeight w:val="284"/>
              </w:trPr>
              <w:tc>
                <w:tcPr>
                  <w:tcW w:w="5236"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Mobile number codes</w:t>
                  </w:r>
                </w:p>
              </w:tc>
              <w:tc>
                <w:tcPr>
                  <w:tcW w:w="2252" w:type="dxa"/>
                  <w:vAlign w:val="center"/>
                </w:tcPr>
                <w:p w:rsidR="001E6FB8" w:rsidRPr="00CB3A2C" w:rsidRDefault="001E6FB8" w:rsidP="001E6FB8">
                  <w:pPr>
                    <w:pStyle w:val="TableBody"/>
                    <w:ind w:right="124"/>
                    <w:jc w:val="right"/>
                    <w:rPr>
                      <w:rFonts w:cs="Arial"/>
                      <w:sz w:val="18"/>
                    </w:rPr>
                  </w:pPr>
                  <w:r w:rsidRPr="00CB3A2C">
                    <w:rPr>
                      <w:rFonts w:cs="Arial"/>
                      <w:sz w:val="18"/>
                    </w:rPr>
                    <w:t>n/a</w:t>
                  </w:r>
                </w:p>
              </w:tc>
              <w:tc>
                <w:tcPr>
                  <w:tcW w:w="2118"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sidRPr="00CB3A2C">
                    <w:rPr>
                      <w:rFonts w:cs="Arial"/>
                      <w:sz w:val="18"/>
                    </w:rPr>
                    <w:t>n/a</w:t>
                  </w:r>
                </w:p>
              </w:tc>
            </w:tr>
            <w:tr w:rsidR="001E6FB8" w:rsidRPr="00CB3A2C" w:rsidTr="001E6FB8">
              <w:trPr>
                <w:trHeight w:val="284"/>
              </w:trPr>
              <w:tc>
                <w:tcPr>
                  <w:tcW w:w="5236"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International signalling point codes</w:t>
                  </w:r>
                </w:p>
              </w:tc>
              <w:tc>
                <w:tcPr>
                  <w:tcW w:w="2252" w:type="dxa"/>
                  <w:vAlign w:val="center"/>
                </w:tcPr>
                <w:p w:rsidR="001E6FB8" w:rsidRPr="00CB3A2C" w:rsidRDefault="001E6FB8" w:rsidP="001E6FB8">
                  <w:pPr>
                    <w:pStyle w:val="TableBody"/>
                    <w:ind w:right="124"/>
                    <w:jc w:val="right"/>
                    <w:rPr>
                      <w:rFonts w:cs="Arial"/>
                      <w:sz w:val="18"/>
                    </w:rPr>
                  </w:pPr>
                  <w:r w:rsidRPr="00CB3A2C">
                    <w:rPr>
                      <w:rFonts w:cs="Arial"/>
                      <w:sz w:val="18"/>
                    </w:rPr>
                    <w:t>n/a</w:t>
                  </w:r>
                </w:p>
              </w:tc>
              <w:tc>
                <w:tcPr>
                  <w:tcW w:w="2118"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sidRPr="00CB3A2C">
                    <w:rPr>
                      <w:rFonts w:cs="Arial"/>
                      <w:sz w:val="18"/>
                    </w:rPr>
                    <w:t>1</w:t>
                  </w:r>
                </w:p>
              </w:tc>
            </w:tr>
            <w:tr w:rsidR="001E6FB8" w:rsidRPr="00CB3A2C" w:rsidTr="001E6FB8">
              <w:trPr>
                <w:trHeight w:val="284"/>
              </w:trPr>
              <w:tc>
                <w:tcPr>
                  <w:tcW w:w="5236"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LICS</w:t>
                  </w:r>
                  <w:r w:rsidRPr="00CB3A2C">
                    <w:rPr>
                      <w:rFonts w:cs="Arial"/>
                      <w:iCs/>
                      <w:sz w:val="18"/>
                    </w:rPr>
                    <w:t>*</w:t>
                  </w:r>
                </w:p>
              </w:tc>
              <w:tc>
                <w:tcPr>
                  <w:tcW w:w="2252" w:type="dxa"/>
                  <w:vAlign w:val="center"/>
                </w:tcPr>
                <w:p w:rsidR="001E6FB8" w:rsidRPr="00CB3A2C" w:rsidRDefault="001E6FB8" w:rsidP="001E6FB8">
                  <w:pPr>
                    <w:pStyle w:val="TableBody"/>
                    <w:ind w:right="124"/>
                    <w:jc w:val="right"/>
                    <w:rPr>
                      <w:rFonts w:cs="Arial"/>
                      <w:sz w:val="18"/>
                    </w:rPr>
                  </w:pPr>
                  <w:r w:rsidRPr="00CB3A2C">
                    <w:rPr>
                      <w:rFonts w:cs="Arial"/>
                      <w:sz w:val="18"/>
                    </w:rPr>
                    <w:t>7,000</w:t>
                  </w:r>
                </w:p>
              </w:tc>
              <w:tc>
                <w:tcPr>
                  <w:tcW w:w="2118"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sidRPr="00CB3A2C">
                    <w:rPr>
                      <w:rFonts w:cs="Arial"/>
                      <w:sz w:val="18"/>
                    </w:rPr>
                    <w:t>1</w:t>
                  </w:r>
                  <w:r>
                    <w:rPr>
                      <w:rFonts w:cs="Arial"/>
                      <w:sz w:val="18"/>
                    </w:rPr>
                    <w:t>0</w:t>
                  </w:r>
                  <w:r w:rsidRPr="00CB3A2C">
                    <w:rPr>
                      <w:rFonts w:cs="Arial"/>
                      <w:sz w:val="18"/>
                    </w:rPr>
                    <w:t>,000</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CB3A2C" w:rsidRDefault="001E6FB8" w:rsidP="001E6FB8">
            <w:pPr>
              <w:spacing w:before="60" w:line="240" w:lineRule="auto"/>
              <w:rPr>
                <w:rFonts w:cs="Arial"/>
                <w:i/>
                <w:iCs/>
                <w:sz w:val="16"/>
                <w:szCs w:val="16"/>
              </w:rPr>
            </w:pPr>
            <w:r w:rsidRPr="00CB3A2C">
              <w:rPr>
                <w:rFonts w:cs="Arial"/>
                <w:i/>
                <w:iCs/>
                <w:sz w:val="16"/>
                <w:szCs w:val="16"/>
              </w:rPr>
              <w:t xml:space="preserve">n/a=not available. </w:t>
            </w:r>
          </w:p>
          <w:p w:rsidR="001E6FB8" w:rsidRDefault="001E6FB8" w:rsidP="001E6FB8">
            <w:pPr>
              <w:spacing w:after="60" w:line="240" w:lineRule="auto"/>
            </w:pPr>
            <w:r w:rsidRPr="00CB3A2C">
              <w:rPr>
                <w:rFonts w:cs="Arial"/>
                <w:i/>
                <w:iCs/>
                <w:sz w:val="16"/>
                <w:szCs w:val="16"/>
              </w:rPr>
              <w:t>*Location Independent Communications Service.</w:t>
            </w:r>
          </w:p>
        </w:tc>
      </w:tr>
    </w:tbl>
    <w:p w:rsidR="001E6FB8" w:rsidRDefault="001E6FB8" w:rsidP="001E6FB8"/>
    <w:p w:rsidR="001E6FB8" w:rsidRDefault="001E6FB8" w:rsidP="001E6FB8"/>
    <w:p w:rsidR="001E6FB8" w:rsidRDefault="001E6FB8" w:rsidP="001E6FB8">
      <w:pPr>
        <w:pStyle w:val="Heading2"/>
      </w:pPr>
      <w:bookmarkStart w:id="76" w:name="_Toc308517087"/>
      <w:bookmarkStart w:id="77" w:name="_Toc308523547"/>
      <w:bookmarkStart w:id="78" w:name="_Toc310326774"/>
      <w:bookmarkStart w:id="79" w:name="_Toc341428275"/>
      <w:bookmarkStart w:id="80" w:name="_Toc370381856"/>
      <w:bookmarkStart w:id="81" w:name="_Toc371588970"/>
      <w:bookmarkStart w:id="82" w:name="_Toc373149032"/>
      <w:r w:rsidRPr="00CB3A2C">
        <w:t>National interest matters</w:t>
      </w:r>
      <w:bookmarkEnd w:id="76"/>
      <w:bookmarkEnd w:id="77"/>
      <w:bookmarkEnd w:id="78"/>
      <w:bookmarkEnd w:id="79"/>
      <w:bookmarkEnd w:id="80"/>
      <w:bookmarkEnd w:id="81"/>
      <w:bookmarkEnd w:id="82"/>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A48DE" w:rsidRDefault="001E6FB8" w:rsidP="001E6FB8">
            <w:pPr>
              <w:pStyle w:val="Caption"/>
              <w:rPr>
                <w:color w:val="00709E"/>
              </w:rPr>
            </w:pPr>
            <w:r w:rsidRPr="00CA48DE">
              <w:rPr>
                <w:rFonts w:cs="Arial"/>
                <w:color w:val="00709E"/>
              </w:rPr>
              <w:t>Integrated Public Number Database (IPND</w:t>
            </w:r>
            <w:r>
              <w:rPr>
                <w:rFonts w:cs="Arial"/>
                <w:color w:val="00709E"/>
              </w:rPr>
              <w:t>)</w:t>
            </w:r>
          </w:p>
        </w:tc>
      </w:tr>
      <w:tr w:rsidR="001E6FB8" w:rsidTr="001E6FB8">
        <w:trPr>
          <w:trHeight w:val="535"/>
        </w:trPr>
        <w:tc>
          <w:tcPr>
            <w:tcW w:w="9645" w:type="dxa"/>
            <w:shd w:val="clear" w:color="auto" w:fill="auto"/>
            <w:tcMar>
              <w:left w:w="28" w:type="dxa"/>
            </w:tcMar>
          </w:tcPr>
          <w:tbl>
            <w:tblPr>
              <w:tblW w:w="9628" w:type="dxa"/>
              <w:tblInd w:w="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192"/>
              <w:gridCol w:w="1446"/>
              <w:gridCol w:w="1446"/>
              <w:gridCol w:w="1544"/>
            </w:tblGrid>
            <w:tr w:rsidR="001E6FB8" w:rsidRPr="00CB3A2C" w:rsidTr="001E6FB8">
              <w:trPr>
                <w:trHeight w:val="284"/>
              </w:trPr>
              <w:tc>
                <w:tcPr>
                  <w:tcW w:w="5192" w:type="dxa"/>
                  <w:shd w:val="clear" w:color="auto" w:fill="00709E"/>
                  <w:tcMar>
                    <w:top w:w="34" w:type="dxa"/>
                    <w:left w:w="113" w:type="dxa"/>
                    <w:bottom w:w="0" w:type="dxa"/>
                    <w:right w:w="0" w:type="dxa"/>
                  </w:tcMar>
                </w:tcPr>
                <w:p w:rsidR="001E6FB8" w:rsidRPr="00CB3A2C" w:rsidRDefault="001E6FB8" w:rsidP="001E6FB8">
                  <w:pPr>
                    <w:pStyle w:val="TableHeading"/>
                    <w:rPr>
                      <w:rFonts w:cs="Arial"/>
                      <w:color w:val="FFFFFF" w:themeColor="background1"/>
                      <w:sz w:val="18"/>
                    </w:rPr>
                  </w:pPr>
                </w:p>
              </w:tc>
              <w:tc>
                <w:tcPr>
                  <w:tcW w:w="1446" w:type="dxa"/>
                  <w:shd w:val="clear" w:color="auto" w:fill="00709E"/>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2011–12</w:t>
                  </w:r>
                </w:p>
              </w:tc>
              <w:tc>
                <w:tcPr>
                  <w:tcW w:w="1446" w:type="dxa"/>
                  <w:shd w:val="clear" w:color="auto" w:fill="00709E"/>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2012–13</w:t>
                  </w:r>
                </w:p>
              </w:tc>
              <w:tc>
                <w:tcPr>
                  <w:tcW w:w="1544" w:type="dxa"/>
                  <w:shd w:val="clear" w:color="auto" w:fill="00709E"/>
                  <w:tcMar>
                    <w:top w:w="0" w:type="dxa"/>
                    <w:left w:w="113" w:type="dxa"/>
                    <w:bottom w:w="0" w:type="dxa"/>
                    <w:right w:w="0" w:type="dxa"/>
                  </w:tcMar>
                  <w:hideMark/>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 change</w:t>
                  </w:r>
                </w:p>
              </w:tc>
            </w:tr>
            <w:tr w:rsidR="001E6FB8" w:rsidRPr="00CB3A2C" w:rsidTr="001E6FB8">
              <w:trPr>
                <w:trHeight w:val="284"/>
              </w:trPr>
              <w:tc>
                <w:tcPr>
                  <w:tcW w:w="5192" w:type="dxa"/>
                  <w:tcMar>
                    <w:top w:w="0" w:type="dxa"/>
                    <w:left w:w="113" w:type="dxa"/>
                    <w:bottom w:w="0" w:type="dxa"/>
                    <w:right w:w="0" w:type="dxa"/>
                  </w:tcMar>
                  <w:vAlign w:val="center"/>
                  <w:hideMark/>
                </w:tcPr>
                <w:p w:rsidR="001E6FB8" w:rsidRPr="00CB3A2C" w:rsidRDefault="001E6FB8" w:rsidP="001E6FB8">
                  <w:pPr>
                    <w:rPr>
                      <w:rFonts w:cs="Arial"/>
                      <w:sz w:val="18"/>
                    </w:rPr>
                  </w:pPr>
                  <w:r w:rsidRPr="00CB3A2C">
                    <w:rPr>
                      <w:rFonts w:cs="Arial"/>
                      <w:sz w:val="18"/>
                    </w:rPr>
                    <w:t>Number of connected records on the IPND</w:t>
                  </w:r>
                </w:p>
              </w:tc>
              <w:tc>
                <w:tcPr>
                  <w:tcW w:w="1446" w:type="dxa"/>
                  <w:vAlign w:val="center"/>
                </w:tcPr>
                <w:p w:rsidR="001E6FB8" w:rsidRPr="00CB3A2C" w:rsidRDefault="001E6FB8" w:rsidP="001E6FB8">
                  <w:pPr>
                    <w:pStyle w:val="TableBody"/>
                    <w:ind w:right="124"/>
                    <w:jc w:val="right"/>
                    <w:rPr>
                      <w:rFonts w:cs="Arial"/>
                      <w:sz w:val="18"/>
                    </w:rPr>
                  </w:pPr>
                  <w:r w:rsidRPr="00CB3A2C">
                    <w:rPr>
                      <w:rFonts w:cs="Arial"/>
                      <w:sz w:val="18"/>
                    </w:rPr>
                    <w:t>62.05 m</w:t>
                  </w:r>
                </w:p>
              </w:tc>
              <w:tc>
                <w:tcPr>
                  <w:tcW w:w="1446" w:type="dxa"/>
                  <w:vAlign w:val="center"/>
                </w:tcPr>
                <w:p w:rsidR="001E6FB8" w:rsidRPr="00CB3A2C" w:rsidRDefault="001E6FB8" w:rsidP="001E6FB8">
                  <w:pPr>
                    <w:pStyle w:val="TableBody"/>
                    <w:ind w:right="124"/>
                    <w:jc w:val="right"/>
                    <w:rPr>
                      <w:rFonts w:cs="Arial"/>
                      <w:sz w:val="18"/>
                    </w:rPr>
                  </w:pPr>
                  <w:r w:rsidRPr="00CB3A2C">
                    <w:rPr>
                      <w:rFonts w:cs="Arial"/>
                      <w:sz w:val="18"/>
                    </w:rPr>
                    <w:t>64.12 m</w:t>
                  </w:r>
                </w:p>
              </w:tc>
              <w:tc>
                <w:tcPr>
                  <w:tcW w:w="1544" w:type="dxa"/>
                  <w:tcMar>
                    <w:top w:w="0" w:type="dxa"/>
                    <w:left w:w="113" w:type="dxa"/>
                    <w:bottom w:w="0" w:type="dxa"/>
                    <w:right w:w="0" w:type="dxa"/>
                  </w:tcMar>
                  <w:vAlign w:val="center"/>
                  <w:hideMark/>
                </w:tcPr>
                <w:p w:rsidR="001E6FB8" w:rsidRPr="00CB3A2C" w:rsidRDefault="001E6FB8" w:rsidP="001E6FB8">
                  <w:pPr>
                    <w:ind w:right="124"/>
                    <w:jc w:val="right"/>
                    <w:rPr>
                      <w:rFonts w:cs="Arial"/>
                      <w:sz w:val="18"/>
                    </w:rPr>
                  </w:pPr>
                  <w:r w:rsidRPr="00CB3A2C">
                    <w:rPr>
                      <w:rFonts w:cs="Arial"/>
                      <w:sz w:val="18"/>
                    </w:rPr>
                    <w:t>+3%</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60" w:after="60"/>
            </w:pPr>
            <w:r w:rsidRPr="00CB3A2C">
              <w:rPr>
                <w:rFonts w:cs="Arial"/>
                <w:i/>
                <w:iCs/>
                <w:sz w:val="16"/>
                <w:szCs w:val="14"/>
              </w:rPr>
              <w:t>m=million.</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r w:rsidRPr="00947322">
              <w:rPr>
                <w:rFonts w:cs="Arial"/>
                <w:color w:val="00709E"/>
              </w:rPr>
              <w:t>Call volumes to emergency call service numbers Triple Zero and 112</w:t>
            </w:r>
          </w:p>
        </w:tc>
      </w:tr>
      <w:tr w:rsidR="001E6FB8" w:rsidTr="001E6FB8">
        <w:trPr>
          <w:trHeight w:val="936"/>
        </w:trPr>
        <w:tc>
          <w:tcPr>
            <w:tcW w:w="9645" w:type="dxa"/>
            <w:shd w:val="clear" w:color="auto" w:fill="auto"/>
            <w:tcMar>
              <w:left w:w="28" w:type="dxa"/>
            </w:tcMar>
          </w:tcPr>
          <w:tbl>
            <w:tblPr>
              <w:tblW w:w="9629"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3271"/>
              <w:gridCol w:w="1242"/>
              <w:gridCol w:w="1242"/>
              <w:gridCol w:w="1242"/>
              <w:gridCol w:w="1242"/>
              <w:gridCol w:w="1390"/>
            </w:tblGrid>
            <w:tr w:rsidR="001E6FB8" w:rsidRPr="00CB3A2C" w:rsidTr="001E6FB8">
              <w:trPr>
                <w:trHeight w:val="284"/>
              </w:trPr>
              <w:tc>
                <w:tcPr>
                  <w:tcW w:w="3271" w:type="dxa"/>
                  <w:shd w:val="clear" w:color="auto" w:fill="00709E"/>
                  <w:tcMar>
                    <w:top w:w="34" w:type="dxa"/>
                    <w:left w:w="113" w:type="dxa"/>
                    <w:bottom w:w="0" w:type="dxa"/>
                    <w:right w:w="0" w:type="dxa"/>
                  </w:tcMar>
                  <w:vAlign w:val="center"/>
                  <w:hideMark/>
                </w:tcPr>
                <w:p w:rsidR="001E6FB8" w:rsidRPr="00CB3A2C" w:rsidRDefault="001E6FB8" w:rsidP="001E6FB8">
                  <w:pPr>
                    <w:pStyle w:val="TableHeading"/>
                    <w:rPr>
                      <w:rFonts w:cs="Arial"/>
                      <w:color w:val="FFFFFF" w:themeColor="background1"/>
                      <w:sz w:val="18"/>
                    </w:rPr>
                  </w:pPr>
                  <w:r w:rsidRPr="00CB3A2C">
                    <w:rPr>
                      <w:rFonts w:cs="Arial"/>
                      <w:color w:val="FFFFFF" w:themeColor="background1"/>
                      <w:sz w:val="18"/>
                    </w:rPr>
                    <w:t>Year</w:t>
                  </w:r>
                </w:p>
              </w:tc>
              <w:tc>
                <w:tcPr>
                  <w:tcW w:w="1242" w:type="dxa"/>
                  <w:shd w:val="clear" w:color="auto" w:fill="00709E"/>
                  <w:vAlign w:val="center"/>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2008–09</w:t>
                  </w:r>
                </w:p>
              </w:tc>
              <w:tc>
                <w:tcPr>
                  <w:tcW w:w="1242" w:type="dxa"/>
                  <w:shd w:val="clear" w:color="auto" w:fill="00709E"/>
                  <w:vAlign w:val="center"/>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2009–10</w:t>
                  </w:r>
                </w:p>
              </w:tc>
              <w:tc>
                <w:tcPr>
                  <w:tcW w:w="1242" w:type="dxa"/>
                  <w:shd w:val="clear" w:color="auto" w:fill="00709E"/>
                  <w:vAlign w:val="center"/>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2010–11</w:t>
                  </w:r>
                </w:p>
              </w:tc>
              <w:tc>
                <w:tcPr>
                  <w:tcW w:w="1242" w:type="dxa"/>
                  <w:shd w:val="clear" w:color="auto" w:fill="00709E"/>
                  <w:hideMark/>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2011–12</w:t>
                  </w:r>
                </w:p>
              </w:tc>
              <w:tc>
                <w:tcPr>
                  <w:tcW w:w="1390" w:type="dxa"/>
                  <w:shd w:val="clear" w:color="auto" w:fill="00709E"/>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2012–13</w:t>
                  </w:r>
                </w:p>
              </w:tc>
            </w:tr>
            <w:tr w:rsidR="001E6FB8" w:rsidRPr="00CB3A2C" w:rsidTr="001E6FB8">
              <w:trPr>
                <w:trHeight w:val="284"/>
              </w:trPr>
              <w:tc>
                <w:tcPr>
                  <w:tcW w:w="3271"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Total number of calls offered</w:t>
                  </w:r>
                </w:p>
              </w:tc>
              <w:tc>
                <w:tcPr>
                  <w:tcW w:w="1242" w:type="dxa"/>
                  <w:vAlign w:val="center"/>
                </w:tcPr>
                <w:p w:rsidR="001E6FB8" w:rsidRPr="00CB3A2C" w:rsidRDefault="001E6FB8" w:rsidP="001E6FB8">
                  <w:pPr>
                    <w:pStyle w:val="TableBody"/>
                    <w:ind w:right="124"/>
                    <w:jc w:val="right"/>
                    <w:rPr>
                      <w:rFonts w:cs="Arial"/>
                      <w:sz w:val="18"/>
                    </w:rPr>
                  </w:pPr>
                  <w:r w:rsidRPr="00CB3A2C">
                    <w:rPr>
                      <w:rFonts w:cs="Arial"/>
                      <w:sz w:val="18"/>
                    </w:rPr>
                    <w:t>10,301,011</w:t>
                  </w:r>
                </w:p>
              </w:tc>
              <w:tc>
                <w:tcPr>
                  <w:tcW w:w="1242" w:type="dxa"/>
                  <w:vAlign w:val="center"/>
                </w:tcPr>
                <w:p w:rsidR="001E6FB8" w:rsidRPr="00CB3A2C" w:rsidRDefault="001E6FB8" w:rsidP="001E6FB8">
                  <w:pPr>
                    <w:pStyle w:val="TableBody"/>
                    <w:ind w:right="124"/>
                    <w:jc w:val="right"/>
                    <w:rPr>
                      <w:rFonts w:cs="Arial"/>
                      <w:sz w:val="18"/>
                    </w:rPr>
                  </w:pPr>
                  <w:r w:rsidRPr="00CB3A2C">
                    <w:rPr>
                      <w:rFonts w:cs="Arial"/>
                      <w:sz w:val="18"/>
                    </w:rPr>
                    <w:t>8,833,683</w:t>
                  </w:r>
                </w:p>
              </w:tc>
              <w:tc>
                <w:tcPr>
                  <w:tcW w:w="1242" w:type="dxa"/>
                  <w:vAlign w:val="center"/>
                </w:tcPr>
                <w:p w:rsidR="001E6FB8" w:rsidRPr="00CB3A2C" w:rsidRDefault="001E6FB8" w:rsidP="001E6FB8">
                  <w:pPr>
                    <w:pStyle w:val="TableBody"/>
                    <w:ind w:right="124"/>
                    <w:jc w:val="right"/>
                    <w:rPr>
                      <w:rFonts w:cs="Arial"/>
                      <w:sz w:val="18"/>
                    </w:rPr>
                  </w:pPr>
                  <w:r w:rsidRPr="00CB3A2C">
                    <w:rPr>
                      <w:rFonts w:cs="Arial"/>
                      <w:sz w:val="18"/>
                    </w:rPr>
                    <w:t>8,867,191</w:t>
                  </w:r>
                </w:p>
              </w:tc>
              <w:tc>
                <w:tcPr>
                  <w:tcW w:w="1242" w:type="dxa"/>
                  <w:vAlign w:val="center"/>
                  <w:hideMark/>
                </w:tcPr>
                <w:p w:rsidR="001E6FB8" w:rsidRPr="00CB3A2C" w:rsidRDefault="001E6FB8" w:rsidP="001E6FB8">
                  <w:pPr>
                    <w:pStyle w:val="TableBody"/>
                    <w:ind w:right="124"/>
                    <w:jc w:val="right"/>
                    <w:rPr>
                      <w:rFonts w:cs="Arial"/>
                      <w:sz w:val="18"/>
                    </w:rPr>
                  </w:pPr>
                  <w:r w:rsidRPr="00CB3A2C">
                    <w:rPr>
                      <w:rFonts w:cs="Arial"/>
                      <w:sz w:val="18"/>
                    </w:rPr>
                    <w:t>9,429,595</w:t>
                  </w:r>
                </w:p>
              </w:tc>
              <w:tc>
                <w:tcPr>
                  <w:tcW w:w="1390" w:type="dxa"/>
                  <w:vAlign w:val="center"/>
                </w:tcPr>
                <w:p w:rsidR="001E6FB8" w:rsidRPr="00CB3A2C" w:rsidRDefault="001E6FB8" w:rsidP="001E6FB8">
                  <w:pPr>
                    <w:pStyle w:val="TableBody"/>
                    <w:ind w:right="124"/>
                    <w:jc w:val="right"/>
                    <w:rPr>
                      <w:rFonts w:cs="Arial"/>
                      <w:sz w:val="18"/>
                    </w:rPr>
                  </w:pPr>
                  <w:r w:rsidRPr="00CB3A2C">
                    <w:rPr>
                      <w:rFonts w:cs="Arial"/>
                      <w:sz w:val="18"/>
                    </w:rPr>
                    <w:t>8,854,728</w:t>
                  </w:r>
                </w:p>
              </w:tc>
            </w:tr>
            <w:tr w:rsidR="001E6FB8" w:rsidRPr="00CB3A2C" w:rsidTr="001E6FB8">
              <w:trPr>
                <w:trHeight w:val="284"/>
              </w:trPr>
              <w:tc>
                <w:tcPr>
                  <w:tcW w:w="3271"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Total number of calls answered</w:t>
                  </w:r>
                </w:p>
              </w:tc>
              <w:tc>
                <w:tcPr>
                  <w:tcW w:w="1242" w:type="dxa"/>
                  <w:vAlign w:val="center"/>
                </w:tcPr>
                <w:p w:rsidR="001E6FB8" w:rsidRPr="00CB3A2C" w:rsidRDefault="001E6FB8" w:rsidP="001E6FB8">
                  <w:pPr>
                    <w:pStyle w:val="TableBody"/>
                    <w:ind w:right="124"/>
                    <w:jc w:val="right"/>
                    <w:rPr>
                      <w:rFonts w:cs="Arial"/>
                      <w:sz w:val="18"/>
                    </w:rPr>
                  </w:pPr>
                  <w:r w:rsidRPr="00CB3A2C">
                    <w:rPr>
                      <w:rFonts w:cs="Arial"/>
                      <w:sz w:val="18"/>
                    </w:rPr>
                    <w:t>93.1%</w:t>
                  </w:r>
                </w:p>
              </w:tc>
              <w:tc>
                <w:tcPr>
                  <w:tcW w:w="1242" w:type="dxa"/>
                  <w:vAlign w:val="center"/>
                </w:tcPr>
                <w:p w:rsidR="001E6FB8" w:rsidRPr="00CB3A2C" w:rsidRDefault="001E6FB8" w:rsidP="001E6FB8">
                  <w:pPr>
                    <w:pStyle w:val="TableBody"/>
                    <w:ind w:right="124"/>
                    <w:jc w:val="right"/>
                    <w:rPr>
                      <w:rFonts w:cs="Arial"/>
                      <w:sz w:val="18"/>
                    </w:rPr>
                  </w:pPr>
                  <w:r w:rsidRPr="00CB3A2C">
                    <w:rPr>
                      <w:rFonts w:cs="Arial"/>
                      <w:sz w:val="18"/>
                    </w:rPr>
                    <w:t>95.4%</w:t>
                  </w:r>
                </w:p>
              </w:tc>
              <w:tc>
                <w:tcPr>
                  <w:tcW w:w="1242" w:type="dxa"/>
                  <w:vAlign w:val="center"/>
                </w:tcPr>
                <w:p w:rsidR="001E6FB8" w:rsidRPr="00CB3A2C" w:rsidRDefault="001E6FB8" w:rsidP="001E6FB8">
                  <w:pPr>
                    <w:pStyle w:val="TableBody"/>
                    <w:ind w:right="124"/>
                    <w:jc w:val="right"/>
                    <w:rPr>
                      <w:rFonts w:cs="Arial"/>
                      <w:sz w:val="18"/>
                    </w:rPr>
                  </w:pPr>
                  <w:r w:rsidRPr="00CB3A2C">
                    <w:rPr>
                      <w:rFonts w:cs="Arial"/>
                      <w:sz w:val="18"/>
                    </w:rPr>
                    <w:t>95.8%</w:t>
                  </w:r>
                </w:p>
              </w:tc>
              <w:tc>
                <w:tcPr>
                  <w:tcW w:w="1242" w:type="dxa"/>
                  <w:vAlign w:val="center"/>
                  <w:hideMark/>
                </w:tcPr>
                <w:p w:rsidR="001E6FB8" w:rsidRPr="00CB3A2C" w:rsidRDefault="001E6FB8" w:rsidP="001E6FB8">
                  <w:pPr>
                    <w:pStyle w:val="TableBody"/>
                    <w:ind w:right="124"/>
                    <w:jc w:val="right"/>
                    <w:rPr>
                      <w:rFonts w:cs="Arial"/>
                    </w:rPr>
                  </w:pPr>
                  <w:r w:rsidRPr="00CB3A2C">
                    <w:rPr>
                      <w:rFonts w:cs="Arial"/>
                      <w:sz w:val="18"/>
                    </w:rPr>
                    <w:t>96.0%</w:t>
                  </w:r>
                </w:p>
              </w:tc>
              <w:tc>
                <w:tcPr>
                  <w:tcW w:w="1390" w:type="dxa"/>
                  <w:vAlign w:val="center"/>
                </w:tcPr>
                <w:p w:rsidR="001E6FB8" w:rsidRPr="00CB3A2C" w:rsidRDefault="001E6FB8" w:rsidP="001E6FB8">
                  <w:pPr>
                    <w:pStyle w:val="TableBody"/>
                    <w:ind w:right="124"/>
                    <w:jc w:val="right"/>
                    <w:rPr>
                      <w:rFonts w:cs="Arial"/>
                    </w:rPr>
                  </w:pPr>
                  <w:r w:rsidRPr="00CB3A2C">
                    <w:rPr>
                      <w:rFonts w:cs="Arial"/>
                      <w:sz w:val="18"/>
                    </w:rPr>
                    <w:t>96.0%</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60" w:after="60" w:line="240" w:lineRule="auto"/>
            </w:pPr>
            <w:r w:rsidRPr="00CB3A2C">
              <w:rPr>
                <w:rFonts w:cs="Arial"/>
                <w:i/>
                <w:iCs/>
                <w:sz w:val="16"/>
                <w:szCs w:val="14"/>
              </w:rPr>
              <w:t xml:space="preserve">Note: Calls offered refers to the number of calls waiting (at time zero) at the instant the </w:t>
            </w:r>
            <w:r>
              <w:rPr>
                <w:rFonts w:cs="Arial"/>
                <w:i/>
                <w:iCs/>
                <w:sz w:val="16"/>
                <w:szCs w:val="14"/>
              </w:rPr>
              <w:t>four</w:t>
            </w:r>
            <w:r w:rsidRPr="00CB3A2C">
              <w:rPr>
                <w:rFonts w:cs="Arial"/>
                <w:i/>
                <w:iCs/>
                <w:sz w:val="16"/>
                <w:szCs w:val="14"/>
              </w:rPr>
              <w:t>-second Recorded Voice Announcement (RVA)</w:t>
            </w:r>
            <w:r>
              <w:rPr>
                <w:rFonts w:cs="Arial"/>
                <w:i/>
                <w:iCs/>
                <w:sz w:val="16"/>
                <w:szCs w:val="14"/>
              </w:rPr>
              <w:t xml:space="preserve"> </w:t>
            </w:r>
            <w:r w:rsidRPr="00CB3A2C">
              <w:rPr>
                <w:rFonts w:cs="Arial"/>
                <w:i/>
                <w:iCs/>
                <w:sz w:val="16"/>
                <w:szCs w:val="14"/>
              </w:rPr>
              <w:t>finished</w:t>
            </w:r>
            <w:r>
              <w:rPr>
                <w:rFonts w:cs="Arial"/>
                <w:i/>
                <w:iCs/>
                <w:sz w:val="16"/>
                <w:szCs w:val="14"/>
              </w:rPr>
              <w:t>.</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r w:rsidRPr="00947322">
              <w:rPr>
                <w:rFonts w:cs="Arial"/>
                <w:color w:val="00709E"/>
              </w:rPr>
              <w:t>Cost to carriers and CSPs of maintaining interception capabilities</w:t>
            </w:r>
          </w:p>
        </w:tc>
      </w:tr>
      <w:tr w:rsidR="001E6FB8" w:rsidTr="001E6FB8">
        <w:trPr>
          <w:trHeight w:val="574"/>
        </w:trPr>
        <w:tc>
          <w:tcPr>
            <w:tcW w:w="9645" w:type="dxa"/>
            <w:shd w:val="clear" w:color="auto" w:fill="auto"/>
            <w:tcMar>
              <w:left w:w="28" w:type="dxa"/>
            </w:tcMar>
          </w:tcPr>
          <w:tbl>
            <w:tblPr>
              <w:tblW w:w="9629"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3675"/>
              <w:gridCol w:w="2677"/>
              <w:gridCol w:w="3277"/>
            </w:tblGrid>
            <w:tr w:rsidR="001E6FB8" w:rsidRPr="00CB3A2C" w:rsidTr="001E6FB8">
              <w:trPr>
                <w:trHeight w:val="284"/>
              </w:trPr>
              <w:tc>
                <w:tcPr>
                  <w:tcW w:w="3675" w:type="dxa"/>
                  <w:shd w:val="clear" w:color="auto" w:fill="00709E"/>
                  <w:tcMar>
                    <w:top w:w="34" w:type="dxa"/>
                    <w:left w:w="113" w:type="dxa"/>
                    <w:bottom w:w="0" w:type="dxa"/>
                    <w:right w:w="0" w:type="dxa"/>
                  </w:tcMar>
                  <w:hideMark/>
                </w:tcPr>
                <w:p w:rsidR="001E6FB8" w:rsidRPr="00CB3A2C" w:rsidRDefault="001E6FB8" w:rsidP="001E6FB8">
                  <w:pPr>
                    <w:pStyle w:val="TableHeading"/>
                    <w:ind w:right="150"/>
                    <w:rPr>
                      <w:rFonts w:cs="Arial"/>
                      <w:color w:val="FFFFFF" w:themeColor="background1"/>
                      <w:sz w:val="18"/>
                    </w:rPr>
                  </w:pPr>
                  <w:r w:rsidRPr="00CB3A2C">
                    <w:rPr>
                      <w:rFonts w:cs="Arial"/>
                      <w:color w:val="FFFFFF" w:themeColor="background1"/>
                      <w:sz w:val="18"/>
                    </w:rPr>
                    <w:t>2011–12</w:t>
                  </w:r>
                </w:p>
              </w:tc>
              <w:tc>
                <w:tcPr>
                  <w:tcW w:w="2677" w:type="dxa"/>
                  <w:shd w:val="clear" w:color="auto" w:fill="00709E"/>
                </w:tcPr>
                <w:p w:rsidR="001E6FB8" w:rsidRPr="00CB3A2C" w:rsidRDefault="001E6FB8" w:rsidP="001E6FB8">
                  <w:pPr>
                    <w:pStyle w:val="TableHeading"/>
                    <w:ind w:right="150"/>
                    <w:rPr>
                      <w:rFonts w:cs="Arial"/>
                      <w:color w:val="FFFFFF" w:themeColor="background1"/>
                      <w:sz w:val="18"/>
                    </w:rPr>
                  </w:pPr>
                  <w:r w:rsidRPr="00CB3A2C">
                    <w:rPr>
                      <w:rFonts w:cs="Arial"/>
                      <w:color w:val="FFFFFF" w:themeColor="background1"/>
                      <w:sz w:val="18"/>
                    </w:rPr>
                    <w:t>2012–13</w:t>
                  </w:r>
                </w:p>
              </w:tc>
              <w:tc>
                <w:tcPr>
                  <w:tcW w:w="3277"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 change</w:t>
                  </w:r>
                </w:p>
              </w:tc>
            </w:tr>
            <w:tr w:rsidR="001E6FB8" w:rsidRPr="00CB3A2C" w:rsidTr="001E6FB8">
              <w:trPr>
                <w:trHeight w:val="284"/>
              </w:trPr>
              <w:tc>
                <w:tcPr>
                  <w:tcW w:w="3675" w:type="dxa"/>
                  <w:tcMar>
                    <w:top w:w="0" w:type="dxa"/>
                    <w:left w:w="113" w:type="dxa"/>
                    <w:bottom w:w="0" w:type="dxa"/>
                    <w:right w:w="0" w:type="dxa"/>
                  </w:tcMar>
                  <w:vAlign w:val="center"/>
                  <w:hideMark/>
                </w:tcPr>
                <w:p w:rsidR="001E6FB8" w:rsidRPr="00CB3A2C" w:rsidRDefault="001E6FB8" w:rsidP="001E6FB8">
                  <w:pPr>
                    <w:pStyle w:val="TableBody"/>
                    <w:ind w:right="124"/>
                    <w:rPr>
                      <w:rFonts w:cs="Arial"/>
                      <w:sz w:val="18"/>
                    </w:rPr>
                  </w:pPr>
                  <w:r w:rsidRPr="00CB3A2C">
                    <w:rPr>
                      <w:rFonts w:cs="Arial"/>
                      <w:sz w:val="18"/>
                    </w:rPr>
                    <w:t>$16,841,846</w:t>
                  </w:r>
                </w:p>
              </w:tc>
              <w:tc>
                <w:tcPr>
                  <w:tcW w:w="2677" w:type="dxa"/>
                  <w:vAlign w:val="center"/>
                </w:tcPr>
                <w:p w:rsidR="001E6FB8" w:rsidRPr="00CB3A2C" w:rsidRDefault="001E6FB8" w:rsidP="001E6FB8">
                  <w:pPr>
                    <w:pStyle w:val="TableBody"/>
                    <w:ind w:right="124"/>
                    <w:rPr>
                      <w:rFonts w:cs="Arial"/>
                      <w:sz w:val="18"/>
                    </w:rPr>
                  </w:pPr>
                  <w:r w:rsidRPr="00CB3A2C">
                    <w:rPr>
                      <w:rFonts w:cs="Arial"/>
                      <w:sz w:val="18"/>
                    </w:rPr>
                    <w:t>$18,398,731</w:t>
                  </w:r>
                </w:p>
              </w:tc>
              <w:tc>
                <w:tcPr>
                  <w:tcW w:w="3277" w:type="dxa"/>
                  <w:vAlign w:val="center"/>
                </w:tcPr>
                <w:p w:rsidR="001E6FB8" w:rsidRPr="00CB3A2C" w:rsidRDefault="001E6FB8" w:rsidP="001E6FB8">
                  <w:pPr>
                    <w:pStyle w:val="TableBody"/>
                    <w:ind w:right="124"/>
                    <w:jc w:val="right"/>
                    <w:rPr>
                      <w:rFonts w:cs="Arial"/>
                    </w:rPr>
                  </w:pPr>
                  <w:r w:rsidRPr="00CB3A2C">
                    <w:rPr>
                      <w:rFonts w:cs="Arial"/>
                      <w:sz w:val="18"/>
                    </w:rPr>
                    <w:t>+9%</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pageBreakBefore/>
              <w:rPr>
                <w:color w:val="00709E"/>
              </w:rPr>
            </w:pPr>
            <w:r w:rsidRPr="00947322">
              <w:rPr>
                <w:rFonts w:cs="Arial"/>
                <w:color w:val="00709E"/>
              </w:rPr>
              <w:t>Disclosures of customer information by carriers and CSPs</w:t>
            </w:r>
          </w:p>
        </w:tc>
      </w:tr>
      <w:tr w:rsidR="001E6FB8" w:rsidTr="001E6FB8">
        <w:trPr>
          <w:trHeight w:val="574"/>
        </w:trPr>
        <w:tc>
          <w:tcPr>
            <w:tcW w:w="9645" w:type="dxa"/>
            <w:shd w:val="clear" w:color="auto" w:fill="auto"/>
            <w:tcMar>
              <w:left w:w="28" w:type="dxa"/>
            </w:tcMar>
          </w:tcPr>
          <w:tbl>
            <w:tblPr>
              <w:tblW w:w="961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3800"/>
              <w:gridCol w:w="2583"/>
              <w:gridCol w:w="3228"/>
            </w:tblGrid>
            <w:tr w:rsidR="001E6FB8" w:rsidRPr="00CB3A2C" w:rsidTr="001E6FB8">
              <w:trPr>
                <w:trHeight w:val="284"/>
              </w:trPr>
              <w:tc>
                <w:tcPr>
                  <w:tcW w:w="3800" w:type="dxa"/>
                  <w:shd w:val="clear" w:color="auto" w:fill="00709E"/>
                  <w:tcMar>
                    <w:top w:w="34" w:type="dxa"/>
                    <w:left w:w="113" w:type="dxa"/>
                    <w:bottom w:w="0" w:type="dxa"/>
                    <w:right w:w="0" w:type="dxa"/>
                  </w:tcMar>
                  <w:hideMark/>
                </w:tcPr>
                <w:p w:rsidR="001E6FB8" w:rsidRPr="00CB3A2C" w:rsidRDefault="001E6FB8" w:rsidP="001E6FB8">
                  <w:pPr>
                    <w:pStyle w:val="TableHeading"/>
                    <w:ind w:right="150"/>
                    <w:rPr>
                      <w:rFonts w:cs="Arial"/>
                      <w:color w:val="FFFFFF" w:themeColor="background1"/>
                      <w:sz w:val="18"/>
                    </w:rPr>
                  </w:pPr>
                  <w:r w:rsidRPr="00CB3A2C">
                    <w:rPr>
                      <w:rFonts w:cs="Arial"/>
                      <w:color w:val="FFFFFF" w:themeColor="background1"/>
                      <w:sz w:val="18"/>
                    </w:rPr>
                    <w:t>2011–12</w:t>
                  </w:r>
                </w:p>
              </w:tc>
              <w:tc>
                <w:tcPr>
                  <w:tcW w:w="2583" w:type="dxa"/>
                  <w:shd w:val="clear" w:color="auto" w:fill="00709E"/>
                </w:tcPr>
                <w:p w:rsidR="001E6FB8" w:rsidRPr="00CB3A2C" w:rsidRDefault="001E6FB8" w:rsidP="001E6FB8">
                  <w:pPr>
                    <w:pStyle w:val="TableHeading"/>
                    <w:ind w:right="150"/>
                    <w:rPr>
                      <w:rFonts w:cs="Arial"/>
                      <w:color w:val="FFFFFF" w:themeColor="background1"/>
                      <w:sz w:val="18"/>
                    </w:rPr>
                  </w:pPr>
                  <w:r w:rsidRPr="00CB3A2C">
                    <w:rPr>
                      <w:rFonts w:cs="Arial"/>
                      <w:color w:val="FFFFFF" w:themeColor="background1"/>
                      <w:sz w:val="18"/>
                    </w:rPr>
                    <w:t>2012–13</w:t>
                  </w:r>
                </w:p>
              </w:tc>
              <w:tc>
                <w:tcPr>
                  <w:tcW w:w="3228"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 change</w:t>
                  </w:r>
                </w:p>
              </w:tc>
            </w:tr>
            <w:tr w:rsidR="001E6FB8" w:rsidRPr="00CB3A2C" w:rsidTr="001E6FB8">
              <w:trPr>
                <w:trHeight w:val="284"/>
              </w:trPr>
              <w:tc>
                <w:tcPr>
                  <w:tcW w:w="3800" w:type="dxa"/>
                  <w:tcMar>
                    <w:top w:w="0" w:type="dxa"/>
                    <w:left w:w="113" w:type="dxa"/>
                    <w:bottom w:w="0" w:type="dxa"/>
                    <w:right w:w="0" w:type="dxa"/>
                  </w:tcMar>
                  <w:vAlign w:val="center"/>
                  <w:hideMark/>
                </w:tcPr>
                <w:p w:rsidR="001E6FB8" w:rsidRPr="00CB3A2C" w:rsidRDefault="001E6FB8" w:rsidP="001E6FB8">
                  <w:pPr>
                    <w:pStyle w:val="TableBody"/>
                    <w:ind w:right="124"/>
                    <w:rPr>
                      <w:rFonts w:cs="Arial"/>
                      <w:sz w:val="18"/>
                    </w:rPr>
                  </w:pPr>
                  <w:r w:rsidRPr="00CB3A2C">
                    <w:rPr>
                      <w:rFonts w:cs="Arial"/>
                      <w:sz w:val="18"/>
                    </w:rPr>
                    <w:t>697,431</w:t>
                  </w:r>
                </w:p>
              </w:tc>
              <w:tc>
                <w:tcPr>
                  <w:tcW w:w="2583" w:type="dxa"/>
                  <w:vAlign w:val="center"/>
                </w:tcPr>
                <w:p w:rsidR="001E6FB8" w:rsidRPr="00CB3A2C" w:rsidRDefault="001E6FB8" w:rsidP="001E6FB8">
                  <w:pPr>
                    <w:pStyle w:val="TableBody"/>
                    <w:ind w:right="124"/>
                    <w:rPr>
                      <w:rFonts w:cs="Arial"/>
                      <w:sz w:val="18"/>
                    </w:rPr>
                  </w:pPr>
                  <w:r w:rsidRPr="00CB3A2C">
                    <w:rPr>
                      <w:rFonts w:cs="Arial"/>
                      <w:sz w:val="18"/>
                    </w:rPr>
                    <w:t>685,727</w:t>
                  </w:r>
                </w:p>
              </w:tc>
              <w:tc>
                <w:tcPr>
                  <w:tcW w:w="3228" w:type="dxa"/>
                  <w:vAlign w:val="center"/>
                </w:tcPr>
                <w:p w:rsidR="001E6FB8" w:rsidRPr="00CB3A2C" w:rsidRDefault="001E6FB8" w:rsidP="001E6FB8">
                  <w:pPr>
                    <w:pStyle w:val="TableBody"/>
                    <w:ind w:right="124"/>
                    <w:jc w:val="right"/>
                    <w:rPr>
                      <w:rFonts w:cs="Arial"/>
                    </w:rPr>
                  </w:pPr>
                  <w:r>
                    <w:rPr>
                      <w:rFonts w:cs="Arial"/>
                      <w:sz w:val="18"/>
                    </w:rPr>
                    <w:t>–</w:t>
                  </w:r>
                  <w:r w:rsidRPr="00CB3A2C">
                    <w:rPr>
                      <w:rFonts w:cs="Arial"/>
                      <w:sz w:val="18"/>
                    </w:rPr>
                    <w:t>2%</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tc>
      </w:tr>
    </w:tbl>
    <w:p w:rsidR="001E6FB8" w:rsidRDefault="001E6FB8" w:rsidP="001E6FB8"/>
    <w:p w:rsidR="001E6FB8" w:rsidRDefault="001E6FB8" w:rsidP="001E6FB8"/>
    <w:p w:rsidR="001E6FB8" w:rsidRDefault="001E6FB8" w:rsidP="001E6FB8">
      <w:pPr>
        <w:pStyle w:val="Heading2"/>
      </w:pPr>
      <w:bookmarkStart w:id="83" w:name="_Toc287540088"/>
      <w:bookmarkStart w:id="84" w:name="_Toc308517088"/>
      <w:bookmarkStart w:id="85" w:name="_Toc308523548"/>
      <w:bookmarkStart w:id="86" w:name="_Toc310326775"/>
      <w:bookmarkStart w:id="87" w:name="_Toc341428276"/>
      <w:bookmarkStart w:id="88" w:name="_Toc370381857"/>
      <w:bookmarkStart w:id="89" w:name="_Toc371588971"/>
      <w:bookmarkStart w:id="90" w:name="_Toc373149033"/>
      <w:r w:rsidRPr="00CB3A2C">
        <w:t>Telecommunication</w:t>
      </w:r>
      <w:r>
        <w:t>s</w:t>
      </w:r>
      <w:r w:rsidRPr="00CB3A2C">
        <w:t xml:space="preserve"> and broadcasting service complaints and investigations</w:t>
      </w:r>
      <w:bookmarkEnd w:id="83"/>
      <w:bookmarkEnd w:id="84"/>
      <w:bookmarkEnd w:id="85"/>
      <w:bookmarkEnd w:id="86"/>
      <w:bookmarkEnd w:id="87"/>
      <w:bookmarkEnd w:id="88"/>
      <w:bookmarkEnd w:id="89"/>
      <w:bookmarkEnd w:id="90"/>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r w:rsidRPr="00947322">
              <w:rPr>
                <w:rFonts w:cs="Arial"/>
                <w:color w:val="00709E"/>
              </w:rPr>
              <w:t>TIO complaint statistics</w:t>
            </w:r>
          </w:p>
        </w:tc>
      </w:tr>
      <w:tr w:rsidR="001E6FB8" w:rsidTr="001E6FB8">
        <w:trPr>
          <w:trHeight w:val="2403"/>
        </w:trPr>
        <w:tc>
          <w:tcPr>
            <w:tcW w:w="9645" w:type="dxa"/>
            <w:shd w:val="clear" w:color="auto" w:fill="auto"/>
            <w:tcMar>
              <w:left w:w="28" w:type="dxa"/>
            </w:tcMar>
          </w:tcPr>
          <w:tbl>
            <w:tblPr>
              <w:tblW w:w="0" w:type="auto"/>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226"/>
              <w:gridCol w:w="1456"/>
              <w:gridCol w:w="1456"/>
              <w:gridCol w:w="1455"/>
            </w:tblGrid>
            <w:tr w:rsidR="001E6FB8" w:rsidRPr="00CB3A2C" w:rsidTr="001E6FB8">
              <w:trPr>
                <w:trHeight w:val="291"/>
              </w:trPr>
              <w:tc>
                <w:tcPr>
                  <w:tcW w:w="5226" w:type="dxa"/>
                  <w:shd w:val="clear" w:color="auto" w:fill="00709E"/>
                  <w:tcMar>
                    <w:top w:w="34" w:type="dxa"/>
                    <w:left w:w="113" w:type="dxa"/>
                  </w:tcMar>
                  <w:vAlign w:val="center"/>
                </w:tcPr>
                <w:p w:rsidR="001E6FB8" w:rsidRPr="00CB3A2C" w:rsidRDefault="001E6FB8" w:rsidP="001E6FB8">
                  <w:pPr>
                    <w:pStyle w:val="TableHeading"/>
                    <w:rPr>
                      <w:rFonts w:cs="Arial"/>
                      <w:color w:val="FFFFFF" w:themeColor="background1"/>
                      <w:sz w:val="18"/>
                    </w:rPr>
                  </w:pPr>
                </w:p>
              </w:tc>
              <w:tc>
                <w:tcPr>
                  <w:tcW w:w="1456"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2011–12</w:t>
                  </w:r>
                </w:p>
              </w:tc>
              <w:tc>
                <w:tcPr>
                  <w:tcW w:w="1456" w:type="dxa"/>
                  <w:shd w:val="clear" w:color="auto" w:fill="00709E"/>
                  <w:tcMar>
                    <w:left w:w="113" w:type="dxa"/>
                  </w:tcMar>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2012–13</w:t>
                  </w:r>
                </w:p>
              </w:tc>
              <w:tc>
                <w:tcPr>
                  <w:tcW w:w="1455" w:type="dxa"/>
                  <w:shd w:val="clear" w:color="auto" w:fill="00709E"/>
                  <w:tcMar>
                    <w:left w:w="113" w:type="dxa"/>
                  </w:tcMar>
                  <w:vAlign w:val="center"/>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 change</w:t>
                  </w:r>
                </w:p>
              </w:tc>
            </w:tr>
            <w:tr w:rsidR="001E6FB8" w:rsidRPr="00CB3A2C" w:rsidTr="001E6FB8">
              <w:trPr>
                <w:trHeight w:val="291"/>
              </w:trPr>
              <w:tc>
                <w:tcPr>
                  <w:tcW w:w="522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New complaints</w:t>
                  </w:r>
                </w:p>
              </w:tc>
              <w:tc>
                <w:tcPr>
                  <w:tcW w:w="1456" w:type="dxa"/>
                  <w:vAlign w:val="center"/>
                </w:tcPr>
                <w:p w:rsidR="001E6FB8" w:rsidRPr="00CB3A2C" w:rsidRDefault="001E6FB8" w:rsidP="001E6FB8">
                  <w:pPr>
                    <w:pStyle w:val="TableBody"/>
                    <w:ind w:right="124"/>
                    <w:jc w:val="right"/>
                    <w:rPr>
                      <w:rFonts w:cs="Arial"/>
                      <w:sz w:val="18"/>
                    </w:rPr>
                  </w:pPr>
                  <w:r w:rsidRPr="00CB3A2C">
                    <w:rPr>
                      <w:rFonts w:cs="Arial"/>
                      <w:sz w:val="18"/>
                    </w:rPr>
                    <w:t>193,702</w:t>
                  </w:r>
                </w:p>
              </w:tc>
              <w:tc>
                <w:tcPr>
                  <w:tcW w:w="1456" w:type="dxa"/>
                  <w:shd w:val="clear" w:color="auto" w:fill="auto"/>
                  <w:tcMar>
                    <w:left w:w="113" w:type="dxa"/>
                  </w:tcMar>
                  <w:vAlign w:val="center"/>
                </w:tcPr>
                <w:p w:rsidR="001E6FB8" w:rsidRPr="00CB3A2C" w:rsidRDefault="001E6FB8" w:rsidP="001E6FB8">
                  <w:pPr>
                    <w:pStyle w:val="TableBody"/>
                    <w:ind w:right="124"/>
                    <w:jc w:val="right"/>
                    <w:rPr>
                      <w:rFonts w:cs="Arial"/>
                      <w:sz w:val="18"/>
                    </w:rPr>
                  </w:pPr>
                  <w:r w:rsidRPr="00CB3A2C">
                    <w:rPr>
                      <w:rFonts w:cs="Arial"/>
                      <w:sz w:val="18"/>
                    </w:rPr>
                    <w:t>158,652</w:t>
                  </w:r>
                </w:p>
              </w:tc>
              <w:tc>
                <w:tcPr>
                  <w:tcW w:w="1455" w:type="dxa"/>
                  <w:shd w:val="clear" w:color="auto" w:fill="auto"/>
                  <w:tcMar>
                    <w:left w:w="113" w:type="dxa"/>
                  </w:tcMar>
                  <w:vAlign w:val="center"/>
                </w:tcPr>
                <w:p w:rsidR="001E6FB8" w:rsidRPr="00CB3A2C" w:rsidRDefault="001E6FB8" w:rsidP="001E6FB8">
                  <w:pPr>
                    <w:pStyle w:val="TableBody"/>
                    <w:ind w:right="124"/>
                    <w:jc w:val="right"/>
                    <w:rPr>
                      <w:rFonts w:cs="Arial"/>
                      <w:sz w:val="18"/>
                      <w:szCs w:val="18"/>
                    </w:rPr>
                  </w:pPr>
                  <w:r>
                    <w:rPr>
                      <w:rFonts w:cs="Arial"/>
                      <w:sz w:val="18"/>
                      <w:szCs w:val="18"/>
                    </w:rPr>
                    <w:t>–</w:t>
                  </w:r>
                  <w:r w:rsidRPr="00CB3A2C">
                    <w:rPr>
                      <w:rFonts w:cs="Arial"/>
                      <w:sz w:val="18"/>
                      <w:szCs w:val="18"/>
                    </w:rPr>
                    <w:t>18%</w:t>
                  </w:r>
                </w:p>
              </w:tc>
            </w:tr>
            <w:tr w:rsidR="001E6FB8" w:rsidRPr="00CB3A2C" w:rsidTr="001E6FB8">
              <w:trPr>
                <w:trHeight w:val="291"/>
              </w:trPr>
              <w:tc>
                <w:tcPr>
                  <w:tcW w:w="5226" w:type="dxa"/>
                  <w:shd w:val="clear" w:color="auto" w:fill="auto"/>
                  <w:tcMar>
                    <w:left w:w="113" w:type="dxa"/>
                  </w:tcMar>
                  <w:vAlign w:val="center"/>
                </w:tcPr>
                <w:p w:rsidR="001E6FB8" w:rsidRPr="00CB3A2C" w:rsidRDefault="001E6FB8" w:rsidP="001E6FB8">
                  <w:pPr>
                    <w:rPr>
                      <w:rFonts w:cs="Arial"/>
                      <w:sz w:val="18"/>
                    </w:rPr>
                  </w:pPr>
                  <w:r w:rsidRPr="00CB3A2C">
                    <w:rPr>
                      <w:rFonts w:cs="Arial"/>
                      <w:sz w:val="18"/>
                    </w:rPr>
                    <w:t>Complaint issue category</w:t>
                  </w:r>
                </w:p>
              </w:tc>
              <w:tc>
                <w:tcPr>
                  <w:tcW w:w="1456" w:type="dxa"/>
                  <w:vAlign w:val="center"/>
                </w:tcPr>
                <w:p w:rsidR="001E6FB8" w:rsidRPr="00CB3A2C" w:rsidRDefault="001E6FB8" w:rsidP="001E6FB8">
                  <w:pPr>
                    <w:pStyle w:val="TableBody"/>
                    <w:ind w:right="124"/>
                    <w:jc w:val="right"/>
                    <w:rPr>
                      <w:rFonts w:cs="Arial"/>
                      <w:sz w:val="18"/>
                    </w:rPr>
                  </w:pPr>
                </w:p>
              </w:tc>
              <w:tc>
                <w:tcPr>
                  <w:tcW w:w="1456" w:type="dxa"/>
                  <w:shd w:val="clear" w:color="auto" w:fill="auto"/>
                  <w:tcMar>
                    <w:left w:w="113" w:type="dxa"/>
                  </w:tcMar>
                  <w:vAlign w:val="center"/>
                </w:tcPr>
                <w:p w:rsidR="001E6FB8" w:rsidRPr="00CB3A2C" w:rsidRDefault="001E6FB8" w:rsidP="001E6FB8">
                  <w:pPr>
                    <w:pStyle w:val="TableBody"/>
                    <w:ind w:right="124"/>
                    <w:jc w:val="right"/>
                    <w:rPr>
                      <w:rFonts w:cs="Arial"/>
                      <w:sz w:val="18"/>
                    </w:rPr>
                  </w:pPr>
                </w:p>
              </w:tc>
              <w:tc>
                <w:tcPr>
                  <w:tcW w:w="1455" w:type="dxa"/>
                  <w:shd w:val="clear" w:color="auto" w:fill="auto"/>
                  <w:tcMar>
                    <w:left w:w="113" w:type="dxa"/>
                  </w:tcMar>
                  <w:vAlign w:val="center"/>
                </w:tcPr>
                <w:p w:rsidR="001E6FB8" w:rsidRPr="00CB3A2C" w:rsidRDefault="001E6FB8" w:rsidP="001E6FB8">
                  <w:pPr>
                    <w:pStyle w:val="TableBody"/>
                    <w:ind w:right="124"/>
                    <w:jc w:val="right"/>
                    <w:rPr>
                      <w:rFonts w:cs="Arial"/>
                      <w:sz w:val="18"/>
                      <w:szCs w:val="18"/>
                    </w:rPr>
                  </w:pPr>
                </w:p>
              </w:tc>
            </w:tr>
            <w:tr w:rsidR="001E6FB8" w:rsidRPr="00CB3A2C" w:rsidTr="001E6FB8">
              <w:trPr>
                <w:trHeight w:val="291"/>
              </w:trPr>
              <w:tc>
                <w:tcPr>
                  <w:tcW w:w="5226" w:type="dxa"/>
                  <w:shd w:val="clear" w:color="auto" w:fill="auto"/>
                  <w:tcMar>
                    <w:left w:w="113" w:type="dxa"/>
                  </w:tcMar>
                  <w:vAlign w:val="center"/>
                </w:tcPr>
                <w:p w:rsidR="001E6FB8" w:rsidRPr="00CB3A2C" w:rsidRDefault="001E6FB8" w:rsidP="001E6FB8">
                  <w:pPr>
                    <w:pStyle w:val="ACMATableText"/>
                    <w:tabs>
                      <w:tab w:val="left" w:pos="280"/>
                    </w:tabs>
                    <w:rPr>
                      <w:rFonts w:cs="Arial"/>
                      <w:sz w:val="18"/>
                      <w:lang w:eastAsia="en-AU"/>
                    </w:rPr>
                  </w:pPr>
                  <w:r w:rsidRPr="00CB3A2C">
                    <w:rPr>
                      <w:rFonts w:cs="Arial"/>
                      <w:sz w:val="18"/>
                      <w:lang w:eastAsia="en-AU"/>
                    </w:rPr>
                    <w:tab/>
                    <w:t>Customer service</w:t>
                  </w:r>
                </w:p>
              </w:tc>
              <w:tc>
                <w:tcPr>
                  <w:tcW w:w="1456" w:type="dxa"/>
                  <w:vAlign w:val="center"/>
                </w:tcPr>
                <w:p w:rsidR="001E6FB8" w:rsidRPr="00CB3A2C" w:rsidRDefault="001E6FB8" w:rsidP="001E6FB8">
                  <w:pPr>
                    <w:pStyle w:val="TableBody"/>
                    <w:ind w:right="124"/>
                    <w:jc w:val="right"/>
                    <w:rPr>
                      <w:rFonts w:cs="Arial"/>
                      <w:sz w:val="18"/>
                    </w:rPr>
                  </w:pPr>
                  <w:r w:rsidRPr="00CB3A2C">
                    <w:rPr>
                      <w:rFonts w:cs="Arial"/>
                      <w:sz w:val="18"/>
                    </w:rPr>
                    <w:t>109,502</w:t>
                  </w:r>
                </w:p>
              </w:tc>
              <w:tc>
                <w:tcPr>
                  <w:tcW w:w="1456" w:type="dxa"/>
                  <w:shd w:val="clear" w:color="auto" w:fill="auto"/>
                  <w:tcMar>
                    <w:left w:w="113" w:type="dxa"/>
                  </w:tcMar>
                  <w:vAlign w:val="center"/>
                </w:tcPr>
                <w:p w:rsidR="001E6FB8" w:rsidRPr="00CB3A2C" w:rsidRDefault="001E6FB8" w:rsidP="001E6FB8">
                  <w:pPr>
                    <w:pStyle w:val="TableBody"/>
                    <w:ind w:right="124"/>
                    <w:jc w:val="right"/>
                    <w:rPr>
                      <w:rFonts w:cs="Arial"/>
                      <w:sz w:val="18"/>
                    </w:rPr>
                  </w:pPr>
                  <w:r w:rsidRPr="00CB3A2C">
                    <w:rPr>
                      <w:rFonts w:cs="Arial"/>
                      <w:sz w:val="18"/>
                    </w:rPr>
                    <w:t>94,639</w:t>
                  </w:r>
                </w:p>
              </w:tc>
              <w:tc>
                <w:tcPr>
                  <w:tcW w:w="1455" w:type="dxa"/>
                  <w:shd w:val="clear" w:color="auto" w:fill="auto"/>
                  <w:tcMar>
                    <w:left w:w="113" w:type="dxa"/>
                  </w:tcMar>
                  <w:vAlign w:val="center"/>
                </w:tcPr>
                <w:p w:rsidR="001E6FB8" w:rsidRPr="00CB3A2C" w:rsidRDefault="001E6FB8" w:rsidP="001E6FB8">
                  <w:pPr>
                    <w:pStyle w:val="TableBody"/>
                    <w:ind w:right="124"/>
                    <w:jc w:val="right"/>
                    <w:rPr>
                      <w:rFonts w:cs="Arial"/>
                      <w:sz w:val="18"/>
                      <w:szCs w:val="18"/>
                    </w:rPr>
                  </w:pPr>
                  <w:r>
                    <w:rPr>
                      <w:rFonts w:cs="Arial"/>
                      <w:sz w:val="18"/>
                      <w:szCs w:val="18"/>
                    </w:rPr>
                    <w:t>–</w:t>
                  </w:r>
                  <w:r w:rsidRPr="00CB3A2C">
                    <w:rPr>
                      <w:rFonts w:cs="Arial"/>
                      <w:sz w:val="18"/>
                      <w:szCs w:val="18"/>
                    </w:rPr>
                    <w:t>14%</w:t>
                  </w:r>
                </w:p>
              </w:tc>
            </w:tr>
            <w:tr w:rsidR="001E6FB8" w:rsidRPr="00CB3A2C" w:rsidTr="001E6FB8">
              <w:trPr>
                <w:trHeight w:val="291"/>
              </w:trPr>
              <w:tc>
                <w:tcPr>
                  <w:tcW w:w="5226" w:type="dxa"/>
                  <w:shd w:val="clear" w:color="auto" w:fill="auto"/>
                  <w:tcMar>
                    <w:left w:w="113" w:type="dxa"/>
                  </w:tcMar>
                  <w:vAlign w:val="center"/>
                </w:tcPr>
                <w:p w:rsidR="001E6FB8" w:rsidRPr="00CB3A2C" w:rsidRDefault="001E6FB8" w:rsidP="001E6FB8">
                  <w:pPr>
                    <w:pStyle w:val="ACMATableText"/>
                    <w:tabs>
                      <w:tab w:val="left" w:pos="280"/>
                    </w:tabs>
                    <w:rPr>
                      <w:rFonts w:cs="Arial"/>
                      <w:sz w:val="18"/>
                      <w:lang w:eastAsia="en-AU"/>
                    </w:rPr>
                  </w:pPr>
                  <w:r w:rsidRPr="00CB3A2C">
                    <w:rPr>
                      <w:rFonts w:cs="Arial"/>
                      <w:sz w:val="18"/>
                      <w:lang w:eastAsia="en-AU"/>
                    </w:rPr>
                    <w:tab/>
                    <w:t>Billing and payments</w:t>
                  </w:r>
                </w:p>
              </w:tc>
              <w:tc>
                <w:tcPr>
                  <w:tcW w:w="1456" w:type="dxa"/>
                  <w:vAlign w:val="center"/>
                </w:tcPr>
                <w:p w:rsidR="001E6FB8" w:rsidRPr="00CB3A2C" w:rsidRDefault="001E6FB8" w:rsidP="001E6FB8">
                  <w:pPr>
                    <w:pStyle w:val="TableBody"/>
                    <w:ind w:right="124"/>
                    <w:jc w:val="right"/>
                    <w:rPr>
                      <w:rFonts w:cs="Arial"/>
                      <w:sz w:val="18"/>
                    </w:rPr>
                  </w:pPr>
                  <w:r w:rsidRPr="00CB3A2C">
                    <w:rPr>
                      <w:rFonts w:cs="Arial"/>
                      <w:sz w:val="18"/>
                    </w:rPr>
                    <w:t>93,941</w:t>
                  </w:r>
                </w:p>
              </w:tc>
              <w:tc>
                <w:tcPr>
                  <w:tcW w:w="1456" w:type="dxa"/>
                  <w:shd w:val="clear" w:color="auto" w:fill="auto"/>
                  <w:tcMar>
                    <w:left w:w="113" w:type="dxa"/>
                  </w:tcMar>
                  <w:vAlign w:val="center"/>
                </w:tcPr>
                <w:p w:rsidR="001E6FB8" w:rsidRPr="00CB3A2C" w:rsidRDefault="001E6FB8" w:rsidP="001E6FB8">
                  <w:pPr>
                    <w:pStyle w:val="TableBody"/>
                    <w:ind w:right="124"/>
                    <w:jc w:val="right"/>
                    <w:rPr>
                      <w:rFonts w:cs="Arial"/>
                      <w:sz w:val="18"/>
                    </w:rPr>
                  </w:pPr>
                  <w:r w:rsidRPr="00CB3A2C">
                    <w:rPr>
                      <w:rFonts w:cs="Arial"/>
                      <w:sz w:val="18"/>
                    </w:rPr>
                    <w:t>78,160</w:t>
                  </w:r>
                </w:p>
              </w:tc>
              <w:tc>
                <w:tcPr>
                  <w:tcW w:w="1455" w:type="dxa"/>
                  <w:shd w:val="clear" w:color="auto" w:fill="auto"/>
                  <w:tcMar>
                    <w:left w:w="113" w:type="dxa"/>
                  </w:tcMar>
                  <w:vAlign w:val="center"/>
                </w:tcPr>
                <w:p w:rsidR="001E6FB8" w:rsidRPr="00CB3A2C" w:rsidRDefault="001E6FB8" w:rsidP="001E6FB8">
                  <w:pPr>
                    <w:pStyle w:val="TableBody"/>
                    <w:ind w:right="124"/>
                    <w:jc w:val="right"/>
                    <w:rPr>
                      <w:rFonts w:cs="Arial"/>
                      <w:sz w:val="18"/>
                      <w:szCs w:val="18"/>
                    </w:rPr>
                  </w:pPr>
                  <w:r>
                    <w:rPr>
                      <w:rFonts w:cs="Arial"/>
                      <w:sz w:val="18"/>
                      <w:szCs w:val="18"/>
                    </w:rPr>
                    <w:t>–</w:t>
                  </w:r>
                  <w:r w:rsidRPr="00CB3A2C">
                    <w:rPr>
                      <w:rFonts w:cs="Arial"/>
                      <w:sz w:val="18"/>
                      <w:szCs w:val="18"/>
                    </w:rPr>
                    <w:t>17%</w:t>
                  </w:r>
                </w:p>
              </w:tc>
            </w:tr>
            <w:tr w:rsidR="001E6FB8" w:rsidRPr="00CB3A2C" w:rsidTr="001E6FB8">
              <w:trPr>
                <w:trHeight w:val="291"/>
              </w:trPr>
              <w:tc>
                <w:tcPr>
                  <w:tcW w:w="5226" w:type="dxa"/>
                  <w:shd w:val="clear" w:color="auto" w:fill="auto"/>
                  <w:tcMar>
                    <w:left w:w="113" w:type="dxa"/>
                  </w:tcMar>
                  <w:vAlign w:val="center"/>
                </w:tcPr>
                <w:p w:rsidR="001E6FB8" w:rsidRPr="00CB3A2C" w:rsidRDefault="001E6FB8" w:rsidP="001E6FB8">
                  <w:pPr>
                    <w:pStyle w:val="ACMATableText"/>
                    <w:tabs>
                      <w:tab w:val="left" w:pos="280"/>
                    </w:tabs>
                    <w:rPr>
                      <w:rFonts w:cs="Arial"/>
                      <w:sz w:val="18"/>
                      <w:lang w:eastAsia="en-AU"/>
                    </w:rPr>
                  </w:pPr>
                  <w:r w:rsidRPr="00CB3A2C">
                    <w:rPr>
                      <w:rFonts w:cs="Arial"/>
                      <w:sz w:val="18"/>
                      <w:lang w:eastAsia="en-AU"/>
                    </w:rPr>
                    <w:tab/>
                    <w:t>Faults</w:t>
                  </w:r>
                </w:p>
              </w:tc>
              <w:tc>
                <w:tcPr>
                  <w:tcW w:w="1456" w:type="dxa"/>
                  <w:vAlign w:val="center"/>
                </w:tcPr>
                <w:p w:rsidR="001E6FB8" w:rsidRPr="00CB3A2C" w:rsidRDefault="001E6FB8" w:rsidP="001E6FB8">
                  <w:pPr>
                    <w:pStyle w:val="TableBody"/>
                    <w:ind w:right="124"/>
                    <w:jc w:val="right"/>
                    <w:rPr>
                      <w:rFonts w:cs="Arial"/>
                      <w:sz w:val="18"/>
                    </w:rPr>
                  </w:pPr>
                  <w:r w:rsidRPr="00CB3A2C">
                    <w:rPr>
                      <w:rFonts w:cs="Arial"/>
                      <w:sz w:val="18"/>
                    </w:rPr>
                    <w:t>78,829</w:t>
                  </w:r>
                </w:p>
              </w:tc>
              <w:tc>
                <w:tcPr>
                  <w:tcW w:w="1456" w:type="dxa"/>
                  <w:shd w:val="clear" w:color="auto" w:fill="auto"/>
                  <w:tcMar>
                    <w:left w:w="113" w:type="dxa"/>
                  </w:tcMar>
                  <w:vAlign w:val="center"/>
                </w:tcPr>
                <w:p w:rsidR="001E6FB8" w:rsidRPr="00CB3A2C" w:rsidRDefault="001E6FB8" w:rsidP="001E6FB8">
                  <w:pPr>
                    <w:pStyle w:val="TableBody"/>
                    <w:ind w:right="124"/>
                    <w:jc w:val="right"/>
                    <w:rPr>
                      <w:rFonts w:cs="Arial"/>
                      <w:sz w:val="18"/>
                    </w:rPr>
                  </w:pPr>
                  <w:r w:rsidRPr="00CB3A2C">
                    <w:rPr>
                      <w:rFonts w:cs="Arial"/>
                      <w:sz w:val="18"/>
                    </w:rPr>
                    <w:t>75,325</w:t>
                  </w:r>
                </w:p>
              </w:tc>
              <w:tc>
                <w:tcPr>
                  <w:tcW w:w="1455" w:type="dxa"/>
                  <w:shd w:val="clear" w:color="auto" w:fill="auto"/>
                  <w:tcMar>
                    <w:left w:w="113" w:type="dxa"/>
                  </w:tcMar>
                  <w:vAlign w:val="center"/>
                </w:tcPr>
                <w:p w:rsidR="001E6FB8" w:rsidRPr="00CB3A2C" w:rsidRDefault="001E6FB8" w:rsidP="001E6FB8">
                  <w:pPr>
                    <w:pStyle w:val="TableBody"/>
                    <w:ind w:right="124"/>
                    <w:jc w:val="right"/>
                    <w:rPr>
                      <w:rFonts w:cs="Arial"/>
                      <w:sz w:val="18"/>
                      <w:szCs w:val="18"/>
                    </w:rPr>
                  </w:pPr>
                  <w:r>
                    <w:rPr>
                      <w:rFonts w:cs="Arial"/>
                      <w:sz w:val="18"/>
                      <w:szCs w:val="18"/>
                    </w:rPr>
                    <w:t>–</w:t>
                  </w:r>
                  <w:r w:rsidRPr="00CB3A2C">
                    <w:rPr>
                      <w:rFonts w:cs="Arial"/>
                      <w:sz w:val="18"/>
                      <w:szCs w:val="18"/>
                    </w:rPr>
                    <w:t>4%</w:t>
                  </w:r>
                </w:p>
              </w:tc>
            </w:tr>
            <w:tr w:rsidR="001E6FB8" w:rsidRPr="00CB3A2C" w:rsidTr="001E6FB8">
              <w:trPr>
                <w:trHeight w:val="291"/>
              </w:trPr>
              <w:tc>
                <w:tcPr>
                  <w:tcW w:w="5226" w:type="dxa"/>
                  <w:shd w:val="clear" w:color="auto" w:fill="auto"/>
                  <w:tcMar>
                    <w:left w:w="113" w:type="dxa"/>
                  </w:tcMar>
                  <w:vAlign w:val="center"/>
                </w:tcPr>
                <w:p w:rsidR="001E6FB8" w:rsidRPr="00CB3A2C" w:rsidRDefault="001E6FB8" w:rsidP="001E6FB8">
                  <w:pPr>
                    <w:pStyle w:val="ACMATableText"/>
                    <w:tabs>
                      <w:tab w:val="left" w:pos="280"/>
                    </w:tabs>
                    <w:rPr>
                      <w:rFonts w:cs="Arial"/>
                      <w:sz w:val="18"/>
                      <w:lang w:eastAsia="en-AU"/>
                    </w:rPr>
                  </w:pPr>
                  <w:r w:rsidRPr="00CB3A2C">
                    <w:rPr>
                      <w:rFonts w:cs="Arial"/>
                      <w:sz w:val="18"/>
                      <w:lang w:eastAsia="en-AU"/>
                    </w:rPr>
                    <w:tab/>
                    <w:t>Complaint</w:t>
                  </w:r>
                  <w:r>
                    <w:rPr>
                      <w:rFonts w:cs="Arial"/>
                      <w:sz w:val="18"/>
                      <w:lang w:eastAsia="en-AU"/>
                    </w:rPr>
                    <w:t>s-</w:t>
                  </w:r>
                  <w:r w:rsidRPr="00CB3A2C">
                    <w:rPr>
                      <w:rFonts w:cs="Arial"/>
                      <w:sz w:val="18"/>
                      <w:lang w:eastAsia="en-AU"/>
                    </w:rPr>
                    <w:t>handling</w:t>
                  </w:r>
                </w:p>
              </w:tc>
              <w:tc>
                <w:tcPr>
                  <w:tcW w:w="1456" w:type="dxa"/>
                  <w:vAlign w:val="center"/>
                </w:tcPr>
                <w:p w:rsidR="001E6FB8" w:rsidRPr="00CB3A2C" w:rsidRDefault="001E6FB8" w:rsidP="001E6FB8">
                  <w:pPr>
                    <w:pStyle w:val="TableBody"/>
                    <w:ind w:right="124"/>
                    <w:jc w:val="right"/>
                    <w:rPr>
                      <w:rFonts w:cs="Arial"/>
                      <w:sz w:val="18"/>
                    </w:rPr>
                  </w:pPr>
                  <w:r w:rsidRPr="00CB3A2C">
                    <w:rPr>
                      <w:rFonts w:cs="Arial"/>
                      <w:sz w:val="18"/>
                    </w:rPr>
                    <w:t>65,818</w:t>
                  </w:r>
                </w:p>
              </w:tc>
              <w:tc>
                <w:tcPr>
                  <w:tcW w:w="1456" w:type="dxa"/>
                  <w:shd w:val="clear" w:color="auto" w:fill="auto"/>
                  <w:tcMar>
                    <w:left w:w="113" w:type="dxa"/>
                  </w:tcMar>
                  <w:vAlign w:val="center"/>
                </w:tcPr>
                <w:p w:rsidR="001E6FB8" w:rsidRPr="00CB3A2C" w:rsidRDefault="001E6FB8" w:rsidP="001E6FB8">
                  <w:pPr>
                    <w:pStyle w:val="TableBody"/>
                    <w:ind w:right="124"/>
                    <w:jc w:val="right"/>
                    <w:rPr>
                      <w:rFonts w:cs="Arial"/>
                      <w:sz w:val="18"/>
                    </w:rPr>
                  </w:pPr>
                  <w:r w:rsidRPr="00CB3A2C">
                    <w:rPr>
                      <w:rFonts w:cs="Arial"/>
                      <w:sz w:val="18"/>
                    </w:rPr>
                    <w:t>50,504</w:t>
                  </w:r>
                </w:p>
              </w:tc>
              <w:tc>
                <w:tcPr>
                  <w:tcW w:w="1455" w:type="dxa"/>
                  <w:shd w:val="clear" w:color="auto" w:fill="auto"/>
                  <w:tcMar>
                    <w:left w:w="113" w:type="dxa"/>
                  </w:tcMar>
                  <w:vAlign w:val="center"/>
                </w:tcPr>
                <w:p w:rsidR="001E6FB8" w:rsidRPr="00CB3A2C" w:rsidRDefault="001E6FB8" w:rsidP="001E6FB8">
                  <w:pPr>
                    <w:pStyle w:val="TableBody"/>
                    <w:ind w:right="124"/>
                    <w:jc w:val="right"/>
                    <w:rPr>
                      <w:rFonts w:cs="Arial"/>
                      <w:sz w:val="18"/>
                      <w:szCs w:val="18"/>
                    </w:rPr>
                  </w:pPr>
                  <w:r>
                    <w:rPr>
                      <w:rFonts w:cs="Arial"/>
                      <w:sz w:val="18"/>
                      <w:szCs w:val="18"/>
                    </w:rPr>
                    <w:t>–</w:t>
                  </w:r>
                  <w:r w:rsidRPr="00CB3A2C">
                    <w:rPr>
                      <w:rFonts w:cs="Arial"/>
                      <w:sz w:val="18"/>
                      <w:szCs w:val="18"/>
                    </w:rPr>
                    <w:t>23%</w:t>
                  </w:r>
                </w:p>
              </w:tc>
            </w:tr>
            <w:tr w:rsidR="001E6FB8" w:rsidRPr="00CB3A2C" w:rsidTr="001E6FB8">
              <w:trPr>
                <w:trHeight w:val="291"/>
              </w:trPr>
              <w:tc>
                <w:tcPr>
                  <w:tcW w:w="5226" w:type="dxa"/>
                  <w:shd w:val="clear" w:color="auto" w:fill="auto"/>
                  <w:tcMar>
                    <w:left w:w="113" w:type="dxa"/>
                  </w:tcMar>
                  <w:vAlign w:val="center"/>
                </w:tcPr>
                <w:p w:rsidR="001E6FB8" w:rsidRPr="00CB3A2C" w:rsidRDefault="001E6FB8" w:rsidP="001E6FB8">
                  <w:pPr>
                    <w:pStyle w:val="ACMATableText"/>
                    <w:tabs>
                      <w:tab w:val="left" w:pos="280"/>
                    </w:tabs>
                    <w:rPr>
                      <w:rFonts w:cs="Arial"/>
                      <w:sz w:val="18"/>
                      <w:lang w:eastAsia="en-AU"/>
                    </w:rPr>
                  </w:pPr>
                  <w:r w:rsidRPr="00CB3A2C">
                    <w:rPr>
                      <w:rFonts w:cs="Arial"/>
                      <w:sz w:val="18"/>
                      <w:lang w:eastAsia="en-AU"/>
                    </w:rPr>
                    <w:tab/>
                    <w:t>Credit management</w:t>
                  </w:r>
                </w:p>
              </w:tc>
              <w:tc>
                <w:tcPr>
                  <w:tcW w:w="1456" w:type="dxa"/>
                  <w:vAlign w:val="center"/>
                </w:tcPr>
                <w:p w:rsidR="001E6FB8" w:rsidRPr="00CB3A2C" w:rsidRDefault="001E6FB8" w:rsidP="001E6FB8">
                  <w:pPr>
                    <w:pStyle w:val="TableBody"/>
                    <w:ind w:right="124"/>
                    <w:jc w:val="right"/>
                    <w:rPr>
                      <w:rFonts w:cs="Arial"/>
                      <w:sz w:val="18"/>
                    </w:rPr>
                  </w:pPr>
                  <w:r w:rsidRPr="00CB3A2C">
                    <w:rPr>
                      <w:rFonts w:cs="Arial"/>
                      <w:sz w:val="18"/>
                    </w:rPr>
                    <w:t>52,907</w:t>
                  </w:r>
                </w:p>
              </w:tc>
              <w:tc>
                <w:tcPr>
                  <w:tcW w:w="1456" w:type="dxa"/>
                  <w:shd w:val="clear" w:color="auto" w:fill="auto"/>
                  <w:tcMar>
                    <w:left w:w="113" w:type="dxa"/>
                  </w:tcMar>
                  <w:vAlign w:val="center"/>
                </w:tcPr>
                <w:p w:rsidR="001E6FB8" w:rsidRPr="00CB3A2C" w:rsidRDefault="001E6FB8" w:rsidP="001E6FB8">
                  <w:pPr>
                    <w:pStyle w:val="TableBody"/>
                    <w:ind w:right="124"/>
                    <w:jc w:val="right"/>
                    <w:rPr>
                      <w:rFonts w:cs="Arial"/>
                      <w:sz w:val="18"/>
                    </w:rPr>
                  </w:pPr>
                  <w:r w:rsidRPr="00CB3A2C">
                    <w:rPr>
                      <w:rFonts w:cs="Arial"/>
                      <w:sz w:val="18"/>
                    </w:rPr>
                    <w:t>46,138</w:t>
                  </w:r>
                </w:p>
              </w:tc>
              <w:tc>
                <w:tcPr>
                  <w:tcW w:w="1455" w:type="dxa"/>
                  <w:shd w:val="clear" w:color="auto" w:fill="auto"/>
                  <w:tcMar>
                    <w:left w:w="113" w:type="dxa"/>
                  </w:tcMar>
                  <w:vAlign w:val="center"/>
                </w:tcPr>
                <w:p w:rsidR="001E6FB8" w:rsidRPr="00CB3A2C" w:rsidRDefault="001E6FB8" w:rsidP="001E6FB8">
                  <w:pPr>
                    <w:pStyle w:val="TableBody"/>
                    <w:ind w:right="124"/>
                    <w:jc w:val="right"/>
                    <w:rPr>
                      <w:rFonts w:cs="Arial"/>
                      <w:sz w:val="18"/>
                      <w:szCs w:val="18"/>
                    </w:rPr>
                  </w:pPr>
                  <w:r>
                    <w:rPr>
                      <w:rFonts w:cs="Arial"/>
                      <w:sz w:val="18"/>
                      <w:szCs w:val="18"/>
                    </w:rPr>
                    <w:t>–</w:t>
                  </w:r>
                  <w:r w:rsidRPr="00CB3A2C">
                    <w:rPr>
                      <w:rFonts w:cs="Arial"/>
                      <w:sz w:val="18"/>
                      <w:szCs w:val="18"/>
                    </w:rPr>
                    <w:t>13%</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60" w:after="60"/>
            </w:pPr>
            <w:r w:rsidRPr="00CB3A2C">
              <w:rPr>
                <w:rFonts w:cs="Arial"/>
                <w:i/>
                <w:iCs/>
                <w:sz w:val="16"/>
                <w:szCs w:val="16"/>
              </w:rPr>
              <w:t>Source: TIO.</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r w:rsidRPr="00947322">
              <w:rPr>
                <w:rFonts w:cs="Arial"/>
                <w:color w:val="00709E"/>
              </w:rPr>
              <w:t>Telemarketing investigations</w:t>
            </w:r>
          </w:p>
        </w:tc>
      </w:tr>
      <w:tr w:rsidR="001E6FB8" w:rsidTr="001E6FB8">
        <w:trPr>
          <w:trHeight w:val="571"/>
        </w:trPr>
        <w:tc>
          <w:tcPr>
            <w:tcW w:w="9645" w:type="dxa"/>
            <w:shd w:val="clear" w:color="auto" w:fill="auto"/>
            <w:tcMar>
              <w:left w:w="28" w:type="dxa"/>
            </w:tcMar>
          </w:tcPr>
          <w:tbl>
            <w:tblPr>
              <w:tblW w:w="961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6091"/>
              <w:gridCol w:w="1160"/>
              <w:gridCol w:w="1160"/>
              <w:gridCol w:w="1200"/>
            </w:tblGrid>
            <w:tr w:rsidR="001E6FB8" w:rsidRPr="00CB3A2C" w:rsidTr="001E6FB8">
              <w:trPr>
                <w:trHeight w:val="284"/>
              </w:trPr>
              <w:tc>
                <w:tcPr>
                  <w:tcW w:w="6091" w:type="dxa"/>
                  <w:shd w:val="clear" w:color="auto" w:fill="00709E"/>
                  <w:tcMar>
                    <w:top w:w="34" w:type="dxa"/>
                    <w:left w:w="113" w:type="dxa"/>
                    <w:bottom w:w="0" w:type="dxa"/>
                    <w:right w:w="0" w:type="dxa"/>
                  </w:tcMar>
                </w:tcPr>
                <w:p w:rsidR="001E6FB8" w:rsidRPr="00CB3A2C" w:rsidRDefault="001E6FB8" w:rsidP="001E6FB8">
                  <w:pPr>
                    <w:pStyle w:val="TableHeading"/>
                    <w:rPr>
                      <w:rFonts w:cs="Arial"/>
                      <w:color w:val="FFFFFF" w:themeColor="background1"/>
                      <w:sz w:val="18"/>
                    </w:rPr>
                  </w:pPr>
                </w:p>
              </w:tc>
              <w:tc>
                <w:tcPr>
                  <w:tcW w:w="1160"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2011–12</w:t>
                  </w:r>
                </w:p>
              </w:tc>
              <w:tc>
                <w:tcPr>
                  <w:tcW w:w="1160" w:type="dxa"/>
                  <w:shd w:val="clear" w:color="auto" w:fill="00709E"/>
                  <w:tcMar>
                    <w:top w:w="0" w:type="dxa"/>
                    <w:left w:w="113" w:type="dxa"/>
                    <w:bottom w:w="0" w:type="dxa"/>
                    <w:right w:w="0" w:type="dxa"/>
                  </w:tcMar>
                  <w:hideMark/>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2012–13</w:t>
                  </w:r>
                </w:p>
              </w:tc>
              <w:tc>
                <w:tcPr>
                  <w:tcW w:w="1200" w:type="dxa"/>
                  <w:shd w:val="clear" w:color="auto" w:fill="00709E"/>
                  <w:vAlign w:val="center"/>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 change</w:t>
                  </w:r>
                </w:p>
              </w:tc>
            </w:tr>
            <w:tr w:rsidR="001E6FB8" w:rsidRPr="00CB3A2C" w:rsidTr="001E6FB8">
              <w:trPr>
                <w:trHeight w:val="284"/>
              </w:trPr>
              <w:tc>
                <w:tcPr>
                  <w:tcW w:w="6091"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Complaints received</w:t>
                  </w:r>
                </w:p>
              </w:tc>
              <w:tc>
                <w:tcPr>
                  <w:tcW w:w="1160" w:type="dxa"/>
                  <w:vAlign w:val="center"/>
                </w:tcPr>
                <w:p w:rsidR="001E6FB8" w:rsidRPr="00CB3A2C" w:rsidRDefault="001E6FB8" w:rsidP="001E6FB8">
                  <w:pPr>
                    <w:pStyle w:val="TableBody"/>
                    <w:ind w:right="124"/>
                    <w:jc w:val="right"/>
                    <w:rPr>
                      <w:rFonts w:cs="Arial"/>
                      <w:sz w:val="18"/>
                    </w:rPr>
                  </w:pPr>
                  <w:r w:rsidRPr="00CB3A2C">
                    <w:rPr>
                      <w:rFonts w:cs="Arial"/>
                      <w:sz w:val="18"/>
                    </w:rPr>
                    <w:t>21,969</w:t>
                  </w:r>
                </w:p>
              </w:tc>
              <w:tc>
                <w:tcPr>
                  <w:tcW w:w="1160"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sidRPr="00CB3A2C">
                    <w:rPr>
                      <w:rFonts w:cs="Arial"/>
                      <w:sz w:val="18"/>
                    </w:rPr>
                    <w:t>19,677</w:t>
                  </w:r>
                </w:p>
              </w:tc>
              <w:tc>
                <w:tcPr>
                  <w:tcW w:w="1200" w:type="dxa"/>
                  <w:vAlign w:val="center"/>
                </w:tcPr>
                <w:p w:rsidR="001E6FB8" w:rsidRPr="00CB3A2C" w:rsidRDefault="001E6FB8" w:rsidP="001E6FB8">
                  <w:pPr>
                    <w:pStyle w:val="TableBody"/>
                    <w:ind w:right="124"/>
                    <w:jc w:val="right"/>
                    <w:rPr>
                      <w:rFonts w:cs="Arial"/>
                      <w:sz w:val="18"/>
                    </w:rPr>
                  </w:pPr>
                  <w:r>
                    <w:rPr>
                      <w:rFonts w:cs="Arial"/>
                      <w:sz w:val="18"/>
                    </w:rPr>
                    <w:t>–</w:t>
                  </w:r>
                  <w:r w:rsidRPr="00CB3A2C">
                    <w:rPr>
                      <w:rFonts w:cs="Arial"/>
                      <w:sz w:val="18"/>
                    </w:rPr>
                    <w:t>10%</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r w:rsidRPr="00947322">
              <w:rPr>
                <w:rFonts w:cs="Arial"/>
                <w:color w:val="00709E"/>
              </w:rPr>
              <w:t>Number of broadcasting complaints and investigations*</w:t>
            </w:r>
          </w:p>
        </w:tc>
      </w:tr>
      <w:tr w:rsidR="001E6FB8" w:rsidTr="001E6FB8">
        <w:trPr>
          <w:trHeight w:val="1485"/>
        </w:trPr>
        <w:tc>
          <w:tcPr>
            <w:tcW w:w="9645" w:type="dxa"/>
            <w:shd w:val="clear" w:color="auto" w:fill="auto"/>
            <w:tcMar>
              <w:left w:w="28" w:type="dxa"/>
            </w:tcMar>
          </w:tcPr>
          <w:tbl>
            <w:tblPr>
              <w:tblW w:w="9585"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3900"/>
              <w:gridCol w:w="1137"/>
              <w:gridCol w:w="1137"/>
              <w:gridCol w:w="1137"/>
              <w:gridCol w:w="1137"/>
              <w:gridCol w:w="1137"/>
            </w:tblGrid>
            <w:tr w:rsidR="001E6FB8" w:rsidRPr="00CB3A2C" w:rsidTr="001E6FB8">
              <w:trPr>
                <w:trHeight w:val="284"/>
              </w:trPr>
              <w:tc>
                <w:tcPr>
                  <w:tcW w:w="3900" w:type="dxa"/>
                  <w:shd w:val="clear" w:color="auto" w:fill="00709E"/>
                  <w:tcMar>
                    <w:top w:w="34" w:type="dxa"/>
                    <w:left w:w="113" w:type="dxa"/>
                    <w:bottom w:w="0" w:type="dxa"/>
                    <w:right w:w="0" w:type="dxa"/>
                  </w:tcMar>
                </w:tcPr>
                <w:p w:rsidR="001E6FB8" w:rsidRPr="00CB3A2C" w:rsidRDefault="001E6FB8" w:rsidP="001E6FB8">
                  <w:pPr>
                    <w:pStyle w:val="TableHeading"/>
                    <w:rPr>
                      <w:rFonts w:cs="Arial"/>
                      <w:color w:val="FFFFFF" w:themeColor="background1"/>
                      <w:sz w:val="18"/>
                    </w:rPr>
                  </w:pPr>
                </w:p>
              </w:tc>
              <w:tc>
                <w:tcPr>
                  <w:tcW w:w="1137"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2008–09</w:t>
                  </w:r>
                </w:p>
              </w:tc>
              <w:tc>
                <w:tcPr>
                  <w:tcW w:w="1137"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2009–10</w:t>
                  </w:r>
                </w:p>
              </w:tc>
              <w:tc>
                <w:tcPr>
                  <w:tcW w:w="1137"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2010–11</w:t>
                  </w:r>
                </w:p>
              </w:tc>
              <w:tc>
                <w:tcPr>
                  <w:tcW w:w="1137"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2011–12</w:t>
                  </w:r>
                </w:p>
              </w:tc>
              <w:tc>
                <w:tcPr>
                  <w:tcW w:w="1137"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2012–13</w:t>
                  </w:r>
                </w:p>
              </w:tc>
            </w:tr>
            <w:tr w:rsidR="001E6FB8" w:rsidRPr="00CB3A2C" w:rsidTr="001E6FB8">
              <w:trPr>
                <w:trHeight w:val="284"/>
              </w:trPr>
              <w:tc>
                <w:tcPr>
                  <w:tcW w:w="3900"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Written enquiries and complaints</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1,464</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1,676</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1,512</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2,273</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2,178</w:t>
                  </w:r>
                  <w:r w:rsidRPr="00CB3A2C">
                    <w:rPr>
                      <w:rFonts w:cs="Arial"/>
                      <w:i/>
                      <w:iCs/>
                      <w:sz w:val="16"/>
                      <w:szCs w:val="16"/>
                      <w:vertAlign w:val="superscript"/>
                    </w:rPr>
                    <w:t>§</w:t>
                  </w:r>
                </w:p>
              </w:tc>
            </w:tr>
            <w:tr w:rsidR="001E6FB8" w:rsidRPr="00CB3A2C" w:rsidTr="001E6FB8">
              <w:trPr>
                <w:trHeight w:val="284"/>
              </w:trPr>
              <w:tc>
                <w:tcPr>
                  <w:tcW w:w="3900"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Investigations completed</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194</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189</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197</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231</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212</w:t>
                  </w:r>
                </w:p>
              </w:tc>
            </w:tr>
            <w:tr w:rsidR="001E6FB8" w:rsidRPr="00CB3A2C" w:rsidTr="001E6FB8">
              <w:trPr>
                <w:trHeight w:val="284"/>
              </w:trPr>
              <w:tc>
                <w:tcPr>
                  <w:tcW w:w="3900"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Investigations resulting in a breach finding*</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80</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74</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72</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71</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67</w:t>
                  </w:r>
                </w:p>
              </w:tc>
            </w:tr>
            <w:tr w:rsidR="001E6FB8" w:rsidRPr="00CB3A2C" w:rsidTr="001E6FB8">
              <w:trPr>
                <w:trHeight w:val="284"/>
              </w:trPr>
              <w:tc>
                <w:tcPr>
                  <w:tcW w:w="3900"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Investigations resulting in a non-breach finding*</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109</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111</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115</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155</w:t>
                  </w:r>
                </w:p>
              </w:tc>
              <w:tc>
                <w:tcPr>
                  <w:tcW w:w="1137" w:type="dxa"/>
                  <w:vAlign w:val="center"/>
                </w:tcPr>
                <w:p w:rsidR="001E6FB8" w:rsidRPr="00CB3A2C" w:rsidRDefault="001E6FB8" w:rsidP="001E6FB8">
                  <w:pPr>
                    <w:pStyle w:val="TableBody"/>
                    <w:tabs>
                      <w:tab w:val="left" w:pos="914"/>
                    </w:tabs>
                    <w:ind w:right="124"/>
                    <w:jc w:val="right"/>
                    <w:rPr>
                      <w:rFonts w:cs="Arial"/>
                      <w:sz w:val="18"/>
                    </w:rPr>
                  </w:pPr>
                  <w:r w:rsidRPr="00CB3A2C">
                    <w:rPr>
                      <w:rFonts w:cs="Arial"/>
                      <w:sz w:val="18"/>
                    </w:rPr>
                    <w:t>135</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CB3A2C" w:rsidRDefault="001E6FB8" w:rsidP="001E6FB8">
            <w:pPr>
              <w:spacing w:before="120" w:line="240" w:lineRule="auto"/>
              <w:rPr>
                <w:rFonts w:cs="Arial"/>
                <w:i/>
                <w:iCs/>
                <w:sz w:val="16"/>
                <w:szCs w:val="16"/>
              </w:rPr>
            </w:pPr>
            <w:r w:rsidRPr="006059C6">
              <w:rPr>
                <w:rFonts w:cs="Arial"/>
                <w:i/>
                <w:iCs/>
                <w:sz w:val="16"/>
                <w:szCs w:val="16"/>
                <w:vertAlign w:val="superscript"/>
              </w:rPr>
              <w:t>§</w:t>
            </w:r>
            <w:r w:rsidRPr="00CB3A2C">
              <w:rPr>
                <w:rFonts w:cs="Arial"/>
                <w:i/>
                <w:iCs/>
                <w:sz w:val="16"/>
                <w:szCs w:val="16"/>
              </w:rPr>
              <w:t xml:space="preserve">This does not include 2,680 complaints and enquiries received about 2DAY’s </w:t>
            </w:r>
            <w:r w:rsidRPr="00810E32">
              <w:rPr>
                <w:rFonts w:cs="Arial"/>
                <w:iCs/>
                <w:sz w:val="16"/>
                <w:szCs w:val="16"/>
              </w:rPr>
              <w:t>Summer 30</w:t>
            </w:r>
            <w:r w:rsidRPr="00CB3A2C">
              <w:rPr>
                <w:rFonts w:cs="Arial"/>
                <w:i/>
                <w:iCs/>
                <w:sz w:val="16"/>
                <w:szCs w:val="16"/>
              </w:rPr>
              <w:t xml:space="preserve"> program broadcast</w:t>
            </w:r>
            <w:r>
              <w:rPr>
                <w:rFonts w:cs="Arial"/>
                <w:i/>
                <w:iCs/>
                <w:sz w:val="16"/>
                <w:szCs w:val="16"/>
              </w:rPr>
              <w:t xml:space="preserve"> on 4 December 2012.</w:t>
            </w:r>
          </w:p>
          <w:p w:rsidR="001E6FB8" w:rsidRPr="00CB3A2C" w:rsidRDefault="001E6FB8" w:rsidP="001E6FB8">
            <w:pPr>
              <w:spacing w:line="240" w:lineRule="auto"/>
              <w:rPr>
                <w:rFonts w:cs="Arial"/>
                <w:i/>
                <w:iCs/>
                <w:sz w:val="16"/>
                <w:szCs w:val="16"/>
              </w:rPr>
            </w:pPr>
            <w:r w:rsidRPr="00CB3A2C">
              <w:rPr>
                <w:rFonts w:cs="Arial"/>
                <w:i/>
                <w:iCs/>
                <w:sz w:val="16"/>
                <w:szCs w:val="16"/>
              </w:rPr>
              <w:t xml:space="preserve">*Investigations against a code of practice, licence condition, standard and/or provision of the </w:t>
            </w:r>
            <w:r w:rsidRPr="002C0AC5">
              <w:rPr>
                <w:rFonts w:cs="Arial"/>
                <w:iCs/>
                <w:sz w:val="16"/>
                <w:szCs w:val="16"/>
              </w:rPr>
              <w:t>Broadcasting Services Act 1992</w:t>
            </w:r>
            <w:r w:rsidRPr="00CB3A2C">
              <w:rPr>
                <w:rFonts w:cs="Arial"/>
                <w:i/>
                <w:iCs/>
                <w:sz w:val="16"/>
                <w:szCs w:val="16"/>
              </w:rPr>
              <w:t>.</w:t>
            </w:r>
          </w:p>
          <w:p w:rsidR="001E6FB8" w:rsidRDefault="001E6FB8" w:rsidP="001E6FB8">
            <w:pPr>
              <w:spacing w:after="60" w:line="240" w:lineRule="auto"/>
            </w:pPr>
            <w:r w:rsidRPr="00CB3A2C">
              <w:rPr>
                <w:rFonts w:cs="Arial"/>
                <w:i/>
                <w:iCs/>
                <w:sz w:val="16"/>
                <w:szCs w:val="16"/>
              </w:rPr>
              <w:t>Sum of categories does not equal total number of investigations completed due to exclusion of completed investigations with no finding; for example, where the complaint is withdrawn.</w:t>
            </w:r>
          </w:p>
        </w:tc>
      </w:tr>
    </w:tbl>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keepNext/>
              <w:rPr>
                <w:color w:val="00709E"/>
              </w:rPr>
            </w:pPr>
            <w:r w:rsidRPr="00947322">
              <w:rPr>
                <w:rFonts w:cs="Arial"/>
                <w:color w:val="00709E"/>
              </w:rPr>
              <w:t>Internet content investigations</w:t>
            </w:r>
          </w:p>
        </w:tc>
      </w:tr>
      <w:tr w:rsidR="001E6FB8" w:rsidTr="001E6FB8">
        <w:trPr>
          <w:trHeight w:val="1700"/>
        </w:trPr>
        <w:tc>
          <w:tcPr>
            <w:tcW w:w="9645" w:type="dxa"/>
            <w:shd w:val="clear" w:color="auto" w:fill="auto"/>
            <w:tcMar>
              <w:left w:w="28" w:type="dxa"/>
            </w:tcMar>
          </w:tcPr>
          <w:tbl>
            <w:tblPr>
              <w:tblW w:w="9594"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3784"/>
              <w:gridCol w:w="1162"/>
              <w:gridCol w:w="1162"/>
              <w:gridCol w:w="1162"/>
              <w:gridCol w:w="1162"/>
              <w:gridCol w:w="1162"/>
            </w:tblGrid>
            <w:tr w:rsidR="001E6FB8" w:rsidRPr="00CB3A2C" w:rsidTr="001E6FB8">
              <w:trPr>
                <w:trHeight w:val="284"/>
              </w:trPr>
              <w:tc>
                <w:tcPr>
                  <w:tcW w:w="3784" w:type="dxa"/>
                  <w:shd w:val="clear" w:color="auto" w:fill="00709E"/>
                  <w:tcMar>
                    <w:top w:w="34" w:type="dxa"/>
                    <w:left w:w="113" w:type="dxa"/>
                    <w:bottom w:w="0" w:type="dxa"/>
                    <w:right w:w="0" w:type="dxa"/>
                  </w:tcMar>
                </w:tcPr>
                <w:p w:rsidR="001E6FB8" w:rsidRPr="00CB3A2C" w:rsidRDefault="001E6FB8" w:rsidP="001E6FB8">
                  <w:pPr>
                    <w:pStyle w:val="TableHeading"/>
                    <w:rPr>
                      <w:rFonts w:cs="Arial"/>
                      <w:color w:val="FFFFFF" w:themeColor="background1"/>
                      <w:sz w:val="18"/>
                    </w:rPr>
                  </w:pPr>
                </w:p>
              </w:tc>
              <w:tc>
                <w:tcPr>
                  <w:tcW w:w="1162"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2008–09</w:t>
                  </w:r>
                </w:p>
              </w:tc>
              <w:tc>
                <w:tcPr>
                  <w:tcW w:w="1162"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2009–10</w:t>
                  </w:r>
                </w:p>
              </w:tc>
              <w:tc>
                <w:tcPr>
                  <w:tcW w:w="1162"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2010–11</w:t>
                  </w:r>
                </w:p>
              </w:tc>
              <w:tc>
                <w:tcPr>
                  <w:tcW w:w="1162"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2011–12</w:t>
                  </w:r>
                </w:p>
              </w:tc>
              <w:tc>
                <w:tcPr>
                  <w:tcW w:w="1162" w:type="dxa"/>
                  <w:shd w:val="clear" w:color="auto" w:fill="00709E"/>
                  <w:vAlign w:val="center"/>
                </w:tcPr>
                <w:p w:rsidR="001E6FB8" w:rsidRPr="00CB3A2C" w:rsidRDefault="001E6FB8" w:rsidP="001E6FB8">
                  <w:pPr>
                    <w:pStyle w:val="TableHeading"/>
                    <w:tabs>
                      <w:tab w:val="left" w:pos="914"/>
                    </w:tabs>
                    <w:ind w:right="124"/>
                    <w:jc w:val="right"/>
                    <w:rPr>
                      <w:rFonts w:cs="Arial"/>
                      <w:color w:val="FFFFFF" w:themeColor="background1"/>
                      <w:sz w:val="18"/>
                    </w:rPr>
                  </w:pPr>
                  <w:r w:rsidRPr="00CB3A2C">
                    <w:rPr>
                      <w:rFonts w:cs="Arial"/>
                      <w:color w:val="FFFFFF" w:themeColor="background1"/>
                      <w:sz w:val="18"/>
                    </w:rPr>
                    <w:t>2012–13</w:t>
                  </w:r>
                </w:p>
              </w:tc>
            </w:tr>
            <w:tr w:rsidR="001E6FB8" w:rsidRPr="00CB3A2C" w:rsidTr="001E6FB8">
              <w:trPr>
                <w:trHeight w:val="284"/>
              </w:trPr>
              <w:tc>
                <w:tcPr>
                  <w:tcW w:w="3784"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Complaints received</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1,182</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3,212</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4,865</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5,026</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4,633</w:t>
                  </w:r>
                </w:p>
              </w:tc>
            </w:tr>
            <w:tr w:rsidR="001E6FB8" w:rsidRPr="00CB3A2C" w:rsidTr="001E6FB8">
              <w:trPr>
                <w:trHeight w:val="284"/>
              </w:trPr>
              <w:tc>
                <w:tcPr>
                  <w:tcW w:w="3784"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 xml:space="preserve">Investigations leading to finding </w:t>
                  </w:r>
                  <w:r w:rsidRPr="00CB3A2C">
                    <w:rPr>
                      <w:rFonts w:cs="Arial"/>
                      <w:sz w:val="18"/>
                    </w:rPr>
                    <w:br/>
                    <w:t>of prohibited content</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618</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1,328</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1,338</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2,011</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1,853</w:t>
                  </w:r>
                </w:p>
              </w:tc>
            </w:tr>
            <w:tr w:rsidR="001E6FB8" w:rsidRPr="00CB3A2C" w:rsidTr="001E6FB8">
              <w:trPr>
                <w:trHeight w:val="284"/>
              </w:trPr>
              <w:tc>
                <w:tcPr>
                  <w:tcW w:w="3784"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 xml:space="preserve">Items actioned (hosted in Australia) </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7</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25</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12</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7</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8*</w:t>
                  </w:r>
                </w:p>
              </w:tc>
            </w:tr>
            <w:tr w:rsidR="001E6FB8" w:rsidRPr="00CB3A2C" w:rsidTr="001E6FB8">
              <w:trPr>
                <w:trHeight w:val="284"/>
              </w:trPr>
              <w:tc>
                <w:tcPr>
                  <w:tcW w:w="3784"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Items actioned (overseas-hosted)</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1,356</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1,907</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1,945</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2,004</w:t>
                  </w:r>
                </w:p>
              </w:tc>
              <w:tc>
                <w:tcPr>
                  <w:tcW w:w="1162" w:type="dxa"/>
                  <w:vAlign w:val="center"/>
                </w:tcPr>
                <w:p w:rsidR="001E6FB8" w:rsidRPr="00CB3A2C" w:rsidRDefault="001E6FB8" w:rsidP="001E6FB8">
                  <w:pPr>
                    <w:pStyle w:val="TableBody"/>
                    <w:ind w:right="124"/>
                    <w:jc w:val="right"/>
                    <w:rPr>
                      <w:rFonts w:cs="Arial"/>
                      <w:sz w:val="18"/>
                    </w:rPr>
                  </w:pPr>
                  <w:r w:rsidRPr="00CB3A2C">
                    <w:rPr>
                      <w:rFonts w:cs="Arial"/>
                      <w:sz w:val="18"/>
                    </w:rPr>
                    <w:t>1,845</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60" w:after="60" w:line="240" w:lineRule="auto"/>
            </w:pPr>
            <w:r w:rsidRPr="00CB3A2C">
              <w:rPr>
                <w:rFonts w:cs="Arial"/>
                <w:i/>
                <w:iCs/>
                <w:sz w:val="16"/>
                <w:szCs w:val="16"/>
              </w:rPr>
              <w:t>*Three items of content were removed upon referral to law enforcement prior to any take-down notices being issued by the ACMA</w:t>
            </w:r>
            <w:r>
              <w:rPr>
                <w:rFonts w:cs="Arial"/>
                <w:i/>
                <w:iCs/>
                <w:sz w:val="16"/>
                <w:szCs w:val="16"/>
              </w:rPr>
              <w:t>.</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keepNext/>
              <w:rPr>
                <w:color w:val="00709E"/>
              </w:rPr>
            </w:pPr>
            <w:r w:rsidRPr="00947322">
              <w:rPr>
                <w:rFonts w:cs="Arial"/>
                <w:color w:val="00709E"/>
              </w:rPr>
              <w:t>Spam reports</w:t>
            </w:r>
          </w:p>
        </w:tc>
      </w:tr>
      <w:tr w:rsidR="001E6FB8" w:rsidTr="001E6FB8">
        <w:trPr>
          <w:trHeight w:val="712"/>
        </w:trPr>
        <w:tc>
          <w:tcPr>
            <w:tcW w:w="9645" w:type="dxa"/>
            <w:shd w:val="clear" w:color="auto" w:fill="auto"/>
            <w:tcMar>
              <w:left w:w="28" w:type="dxa"/>
            </w:tcMar>
          </w:tcPr>
          <w:tbl>
            <w:tblPr>
              <w:tblW w:w="9629"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6091"/>
              <w:gridCol w:w="1270"/>
              <w:gridCol w:w="1134"/>
              <w:gridCol w:w="1134"/>
            </w:tblGrid>
            <w:tr w:rsidR="001E6FB8" w:rsidRPr="00CB3A2C" w:rsidTr="001E6FB8">
              <w:trPr>
                <w:trHeight w:val="284"/>
              </w:trPr>
              <w:tc>
                <w:tcPr>
                  <w:tcW w:w="6091" w:type="dxa"/>
                  <w:shd w:val="clear" w:color="auto" w:fill="00709E"/>
                  <w:tcMar>
                    <w:top w:w="34" w:type="dxa"/>
                    <w:left w:w="113" w:type="dxa"/>
                    <w:bottom w:w="0" w:type="dxa"/>
                    <w:right w:w="0" w:type="dxa"/>
                  </w:tcMar>
                </w:tcPr>
                <w:p w:rsidR="001E6FB8" w:rsidRPr="00CB3A2C" w:rsidRDefault="001E6FB8" w:rsidP="001E6FB8">
                  <w:pPr>
                    <w:pStyle w:val="TableHeading"/>
                    <w:rPr>
                      <w:rFonts w:cs="Arial"/>
                      <w:b w:val="0"/>
                      <w:color w:val="FFFFFF" w:themeColor="background1"/>
                      <w:sz w:val="18"/>
                    </w:rPr>
                  </w:pPr>
                </w:p>
              </w:tc>
              <w:tc>
                <w:tcPr>
                  <w:tcW w:w="1270" w:type="dxa"/>
                  <w:shd w:val="clear" w:color="auto" w:fill="00709E"/>
                </w:tcPr>
                <w:p w:rsidR="001E6FB8" w:rsidRPr="00724C32" w:rsidRDefault="001E6FB8" w:rsidP="001E6FB8">
                  <w:pPr>
                    <w:pStyle w:val="TableHeading"/>
                    <w:ind w:right="124"/>
                    <w:jc w:val="right"/>
                    <w:rPr>
                      <w:rFonts w:cs="Arial"/>
                      <w:color w:val="FFFFFF" w:themeColor="background1"/>
                      <w:sz w:val="18"/>
                    </w:rPr>
                  </w:pPr>
                  <w:r w:rsidRPr="00724C32">
                    <w:rPr>
                      <w:rFonts w:cs="Arial"/>
                      <w:color w:val="FFFFFF" w:themeColor="background1"/>
                      <w:sz w:val="18"/>
                    </w:rPr>
                    <w:t>2011–12</w:t>
                  </w:r>
                </w:p>
              </w:tc>
              <w:tc>
                <w:tcPr>
                  <w:tcW w:w="1134" w:type="dxa"/>
                  <w:shd w:val="clear" w:color="auto" w:fill="00709E"/>
                  <w:tcMar>
                    <w:top w:w="0" w:type="dxa"/>
                    <w:left w:w="113" w:type="dxa"/>
                    <w:bottom w:w="0" w:type="dxa"/>
                    <w:right w:w="0" w:type="dxa"/>
                  </w:tcMar>
                  <w:hideMark/>
                </w:tcPr>
                <w:p w:rsidR="001E6FB8" w:rsidRPr="00724C32" w:rsidRDefault="001E6FB8" w:rsidP="001E6FB8">
                  <w:pPr>
                    <w:pStyle w:val="TableHeading"/>
                    <w:ind w:right="124"/>
                    <w:jc w:val="right"/>
                    <w:rPr>
                      <w:rFonts w:cs="Arial"/>
                      <w:color w:val="FFFFFF" w:themeColor="background1"/>
                      <w:sz w:val="18"/>
                    </w:rPr>
                  </w:pPr>
                  <w:r w:rsidRPr="00724C32">
                    <w:rPr>
                      <w:rFonts w:cs="Arial"/>
                      <w:color w:val="FFFFFF" w:themeColor="background1"/>
                      <w:sz w:val="18"/>
                    </w:rPr>
                    <w:t>2012–13</w:t>
                  </w:r>
                </w:p>
              </w:tc>
              <w:tc>
                <w:tcPr>
                  <w:tcW w:w="1134" w:type="dxa"/>
                  <w:shd w:val="clear" w:color="auto" w:fill="00709E"/>
                </w:tcPr>
                <w:p w:rsidR="001E6FB8" w:rsidRPr="00724C32" w:rsidRDefault="001E6FB8" w:rsidP="001E6FB8">
                  <w:pPr>
                    <w:pStyle w:val="TableHeading"/>
                    <w:ind w:right="124"/>
                    <w:jc w:val="right"/>
                    <w:rPr>
                      <w:rFonts w:cs="Arial"/>
                      <w:color w:val="FFFFFF" w:themeColor="background1"/>
                      <w:sz w:val="18"/>
                    </w:rPr>
                  </w:pPr>
                  <w:r w:rsidRPr="00724C32">
                    <w:rPr>
                      <w:rFonts w:cs="Arial"/>
                      <w:color w:val="FFFFFF" w:themeColor="background1"/>
                      <w:sz w:val="18"/>
                    </w:rPr>
                    <w:t>% change</w:t>
                  </w:r>
                </w:p>
              </w:tc>
            </w:tr>
            <w:tr w:rsidR="001E6FB8" w:rsidRPr="00CB3A2C" w:rsidTr="001E6FB8">
              <w:trPr>
                <w:trHeight w:val="284"/>
              </w:trPr>
              <w:tc>
                <w:tcPr>
                  <w:tcW w:w="6091"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r w:rsidRPr="00CB3A2C">
                    <w:rPr>
                      <w:rFonts w:cs="Arial"/>
                      <w:sz w:val="18"/>
                    </w:rPr>
                    <w:t>Number of complaints, reports and enquiries to the ACMA about spam</w:t>
                  </w:r>
                </w:p>
              </w:tc>
              <w:tc>
                <w:tcPr>
                  <w:tcW w:w="1270" w:type="dxa"/>
                  <w:vAlign w:val="center"/>
                </w:tcPr>
                <w:p w:rsidR="001E6FB8" w:rsidRPr="00CB3A2C" w:rsidRDefault="001E6FB8" w:rsidP="001E6FB8">
                  <w:pPr>
                    <w:pStyle w:val="TableBody"/>
                    <w:ind w:right="124"/>
                    <w:jc w:val="right"/>
                    <w:rPr>
                      <w:rFonts w:cs="Arial"/>
                      <w:sz w:val="18"/>
                    </w:rPr>
                  </w:pPr>
                  <w:r w:rsidRPr="00CB3A2C">
                    <w:rPr>
                      <w:rFonts w:cs="Arial"/>
                      <w:sz w:val="18"/>
                    </w:rPr>
                    <w:t>226,816</w:t>
                  </w:r>
                </w:p>
              </w:tc>
              <w:tc>
                <w:tcPr>
                  <w:tcW w:w="1134" w:type="dxa"/>
                  <w:tcMar>
                    <w:top w:w="0" w:type="dxa"/>
                    <w:left w:w="113" w:type="dxa"/>
                    <w:bottom w:w="0" w:type="dxa"/>
                    <w:right w:w="0" w:type="dxa"/>
                  </w:tcMar>
                  <w:vAlign w:val="center"/>
                  <w:hideMark/>
                </w:tcPr>
                <w:p w:rsidR="001E6FB8" w:rsidRPr="00CB3A2C" w:rsidRDefault="001E6FB8" w:rsidP="001E6FB8">
                  <w:pPr>
                    <w:pStyle w:val="TableBody"/>
                    <w:ind w:right="124"/>
                    <w:jc w:val="right"/>
                    <w:rPr>
                      <w:rFonts w:cs="Arial"/>
                      <w:sz w:val="18"/>
                    </w:rPr>
                  </w:pPr>
                  <w:r w:rsidRPr="00CB3A2C">
                    <w:rPr>
                      <w:rFonts w:cs="Arial"/>
                      <w:sz w:val="18"/>
                    </w:rPr>
                    <w:t>412,743</w:t>
                  </w:r>
                </w:p>
              </w:tc>
              <w:tc>
                <w:tcPr>
                  <w:tcW w:w="1134" w:type="dxa"/>
                  <w:vAlign w:val="center"/>
                </w:tcPr>
                <w:p w:rsidR="001E6FB8" w:rsidRPr="00CB3A2C" w:rsidRDefault="001E6FB8" w:rsidP="001E6FB8">
                  <w:pPr>
                    <w:pStyle w:val="TableBody"/>
                    <w:ind w:right="124"/>
                    <w:jc w:val="right"/>
                    <w:rPr>
                      <w:rFonts w:cs="Arial"/>
                      <w:sz w:val="18"/>
                    </w:rPr>
                  </w:pPr>
                  <w:r w:rsidRPr="00CB3A2C">
                    <w:rPr>
                      <w:rFonts w:cs="Arial"/>
                      <w:sz w:val="18"/>
                    </w:rPr>
                    <w:t>+</w:t>
                  </w:r>
                  <w:r>
                    <w:rPr>
                      <w:rFonts w:cs="Arial"/>
                      <w:sz w:val="18"/>
                    </w:rPr>
                    <w:t>82</w:t>
                  </w:r>
                  <w:r w:rsidRPr="00CB3A2C">
                    <w:rPr>
                      <w:rFonts w:cs="Arial"/>
                      <w:sz w:val="18"/>
                    </w:rPr>
                    <w:t>%</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60" w:after="60" w:line="240" w:lineRule="auto"/>
            </w:pPr>
            <w:r>
              <w:rPr>
                <w:rFonts w:cs="Arial"/>
                <w:i/>
                <w:iCs/>
                <w:sz w:val="16"/>
                <w:szCs w:val="16"/>
              </w:rPr>
              <w:t xml:space="preserve">Note: </w:t>
            </w:r>
            <w:r w:rsidRPr="003A14E0">
              <w:rPr>
                <w:rFonts w:cs="Arial"/>
                <w:i/>
                <w:iCs/>
                <w:sz w:val="16"/>
                <w:szCs w:val="16"/>
              </w:rPr>
              <w:t xml:space="preserve">Since the ACMA introduced a new reporting method in 2011, the number of contacts from members of public </w:t>
            </w:r>
            <w:r>
              <w:rPr>
                <w:rFonts w:cs="Arial"/>
                <w:i/>
                <w:iCs/>
                <w:sz w:val="16"/>
                <w:szCs w:val="16"/>
              </w:rPr>
              <w:t xml:space="preserve">in relation to </w:t>
            </w:r>
            <w:r w:rsidRPr="003A14E0">
              <w:rPr>
                <w:rFonts w:cs="Arial"/>
                <w:i/>
                <w:iCs/>
                <w:sz w:val="16"/>
                <w:szCs w:val="16"/>
              </w:rPr>
              <w:t xml:space="preserve">spam </w:t>
            </w:r>
            <w:r>
              <w:rPr>
                <w:rFonts w:cs="Arial"/>
                <w:i/>
                <w:iCs/>
                <w:sz w:val="16"/>
                <w:szCs w:val="16"/>
              </w:rPr>
              <w:t>has</w:t>
            </w:r>
            <w:r w:rsidRPr="003A14E0">
              <w:rPr>
                <w:rFonts w:cs="Arial"/>
                <w:i/>
                <w:iCs/>
                <w:sz w:val="16"/>
                <w:szCs w:val="16"/>
              </w:rPr>
              <w:t xml:space="preserve"> increased dramaticall</w:t>
            </w:r>
            <w:r>
              <w:rPr>
                <w:rFonts w:cs="Arial"/>
                <w:i/>
                <w:iCs/>
                <w:sz w:val="16"/>
                <w:szCs w:val="16"/>
              </w:rPr>
              <w:t xml:space="preserve">y. This reflects </w:t>
            </w:r>
            <w:r w:rsidRPr="003A14E0">
              <w:rPr>
                <w:rFonts w:cs="Arial"/>
                <w:i/>
                <w:iCs/>
                <w:sz w:val="16"/>
                <w:szCs w:val="16"/>
              </w:rPr>
              <w:t>an increase in e-marketing by businesse</w:t>
            </w:r>
            <w:r>
              <w:rPr>
                <w:rFonts w:cs="Arial"/>
                <w:i/>
                <w:iCs/>
                <w:sz w:val="16"/>
                <w:szCs w:val="16"/>
              </w:rPr>
              <w:t xml:space="preserve">s, increased </w:t>
            </w:r>
            <w:r w:rsidRPr="003A14E0">
              <w:rPr>
                <w:rFonts w:cs="Arial"/>
                <w:i/>
                <w:iCs/>
                <w:sz w:val="16"/>
                <w:szCs w:val="16"/>
              </w:rPr>
              <w:t xml:space="preserve">awareness of the ACMA’s role in spam regulation and </w:t>
            </w:r>
            <w:r>
              <w:rPr>
                <w:rFonts w:cs="Arial"/>
                <w:i/>
                <w:iCs/>
                <w:sz w:val="16"/>
                <w:szCs w:val="16"/>
              </w:rPr>
              <w:t xml:space="preserve">the provision of more </w:t>
            </w:r>
            <w:r w:rsidRPr="003A14E0">
              <w:rPr>
                <w:rFonts w:cs="Arial"/>
                <w:i/>
                <w:iCs/>
                <w:sz w:val="16"/>
                <w:szCs w:val="16"/>
              </w:rPr>
              <w:t>accessible and simple channels for the public to report spam</w:t>
            </w:r>
            <w:r>
              <w:rPr>
                <w:rFonts w:cs="Arial"/>
                <w:i/>
                <w:iCs/>
                <w:sz w:val="16"/>
                <w:szCs w:val="16"/>
              </w:rPr>
              <w:t>.</w:t>
            </w:r>
          </w:p>
        </w:tc>
      </w:tr>
    </w:tbl>
    <w:p w:rsidR="001E6FB8" w:rsidRDefault="001E6FB8" w:rsidP="001E6FB8"/>
    <w:p w:rsidR="001E6FB8" w:rsidRDefault="001E6FB8" w:rsidP="001E6FB8"/>
    <w:p w:rsidR="001E6FB8" w:rsidRDefault="001E6FB8" w:rsidP="001E6FB8">
      <w:pPr>
        <w:pStyle w:val="Heading2"/>
      </w:pPr>
      <w:bookmarkStart w:id="91" w:name="_Toc308517089"/>
      <w:bookmarkStart w:id="92" w:name="_Toc308523549"/>
      <w:bookmarkStart w:id="93" w:name="_Toc310326776"/>
      <w:bookmarkStart w:id="94" w:name="_Toc341428277"/>
      <w:bookmarkStart w:id="95" w:name="_Toc370381858"/>
      <w:bookmarkStart w:id="96" w:name="_Toc371588972"/>
      <w:bookmarkStart w:id="97" w:name="_Toc373149034"/>
      <w:r w:rsidRPr="00CB3A2C">
        <w:t>Digital television</w:t>
      </w:r>
      <w:bookmarkEnd w:id="91"/>
      <w:bookmarkEnd w:id="92"/>
      <w:bookmarkEnd w:id="93"/>
      <w:bookmarkEnd w:id="94"/>
      <w:bookmarkEnd w:id="95"/>
      <w:bookmarkEnd w:id="96"/>
      <w:bookmarkEnd w:id="97"/>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r w:rsidRPr="00947322">
              <w:rPr>
                <w:rFonts w:cs="Arial"/>
                <w:color w:val="00709E"/>
              </w:rPr>
              <w:t>Households that had converted their main TV set to digital television</w:t>
            </w:r>
          </w:p>
        </w:tc>
      </w:tr>
      <w:tr w:rsidR="001E6FB8" w:rsidTr="001E6FB8">
        <w:trPr>
          <w:trHeight w:val="614"/>
        </w:trPr>
        <w:tc>
          <w:tcPr>
            <w:tcW w:w="9645" w:type="dxa"/>
            <w:shd w:val="clear" w:color="auto" w:fill="auto"/>
            <w:tcMar>
              <w:left w:w="28" w:type="dxa"/>
            </w:tcMar>
          </w:tcPr>
          <w:tbl>
            <w:tblPr>
              <w:tblW w:w="9639"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6067"/>
              <w:gridCol w:w="1786"/>
              <w:gridCol w:w="1786"/>
            </w:tblGrid>
            <w:tr w:rsidR="001E6FB8" w:rsidRPr="00CB3A2C" w:rsidTr="001E6FB8">
              <w:trPr>
                <w:trHeight w:hRule="exact" w:val="284"/>
              </w:trPr>
              <w:tc>
                <w:tcPr>
                  <w:tcW w:w="6067" w:type="dxa"/>
                  <w:shd w:val="clear" w:color="auto" w:fill="00709E"/>
                  <w:tcMar>
                    <w:top w:w="34" w:type="dxa"/>
                    <w:left w:w="113" w:type="dxa"/>
                    <w:bottom w:w="0" w:type="dxa"/>
                    <w:right w:w="0" w:type="dxa"/>
                  </w:tcMar>
                  <w:hideMark/>
                </w:tcPr>
                <w:p w:rsidR="001E6FB8" w:rsidRPr="00CB3A2C" w:rsidRDefault="001E6FB8" w:rsidP="001E6FB8">
                  <w:pPr>
                    <w:pStyle w:val="TableHeading"/>
                    <w:rPr>
                      <w:rFonts w:cs="Arial"/>
                      <w:b w:val="0"/>
                      <w:color w:val="FFFFFF" w:themeColor="background1"/>
                      <w:sz w:val="18"/>
                    </w:rPr>
                  </w:pPr>
                </w:p>
              </w:tc>
              <w:tc>
                <w:tcPr>
                  <w:tcW w:w="1786" w:type="dxa"/>
                  <w:shd w:val="clear" w:color="auto" w:fill="00709E"/>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June 2012</w:t>
                  </w:r>
                </w:p>
              </w:tc>
              <w:tc>
                <w:tcPr>
                  <w:tcW w:w="1786" w:type="dxa"/>
                  <w:shd w:val="clear" w:color="auto" w:fill="00709E"/>
                  <w:hideMark/>
                </w:tcPr>
                <w:p w:rsidR="001E6FB8" w:rsidRPr="00CB3A2C" w:rsidRDefault="001E6FB8" w:rsidP="001E6FB8">
                  <w:pPr>
                    <w:pStyle w:val="TableHeading"/>
                    <w:ind w:right="124"/>
                    <w:jc w:val="right"/>
                    <w:rPr>
                      <w:rFonts w:cs="Arial"/>
                      <w:color w:val="FFFFFF" w:themeColor="background1"/>
                      <w:sz w:val="18"/>
                    </w:rPr>
                  </w:pPr>
                  <w:r w:rsidRPr="00CB3A2C">
                    <w:rPr>
                      <w:rFonts w:cs="Arial"/>
                      <w:color w:val="FFFFFF" w:themeColor="background1"/>
                      <w:sz w:val="18"/>
                    </w:rPr>
                    <w:t>June 2013</w:t>
                  </w:r>
                </w:p>
              </w:tc>
            </w:tr>
            <w:tr w:rsidR="001E6FB8" w:rsidRPr="00CB3A2C" w:rsidTr="001E6FB8">
              <w:trPr>
                <w:trHeight w:hRule="exact" w:val="284"/>
              </w:trPr>
              <w:tc>
                <w:tcPr>
                  <w:tcW w:w="6067" w:type="dxa"/>
                  <w:tcMar>
                    <w:top w:w="0" w:type="dxa"/>
                    <w:left w:w="113" w:type="dxa"/>
                    <w:bottom w:w="0" w:type="dxa"/>
                    <w:right w:w="0" w:type="dxa"/>
                  </w:tcMar>
                  <w:vAlign w:val="center"/>
                  <w:hideMark/>
                </w:tcPr>
                <w:p w:rsidR="001E6FB8" w:rsidRPr="00CB3A2C" w:rsidRDefault="001E6FB8" w:rsidP="001E6FB8">
                  <w:pPr>
                    <w:pStyle w:val="TableBody"/>
                    <w:rPr>
                      <w:rFonts w:cs="Arial"/>
                      <w:sz w:val="18"/>
                    </w:rPr>
                  </w:pPr>
                </w:p>
              </w:tc>
              <w:tc>
                <w:tcPr>
                  <w:tcW w:w="1786" w:type="dxa"/>
                  <w:vAlign w:val="center"/>
                </w:tcPr>
                <w:p w:rsidR="001E6FB8" w:rsidRPr="00CB3A2C" w:rsidRDefault="001E6FB8" w:rsidP="001E6FB8">
                  <w:pPr>
                    <w:pStyle w:val="TableBody"/>
                    <w:ind w:right="124"/>
                    <w:jc w:val="right"/>
                    <w:rPr>
                      <w:rFonts w:cs="Arial"/>
                      <w:sz w:val="18"/>
                    </w:rPr>
                  </w:pPr>
                  <w:r w:rsidRPr="00CB3A2C">
                    <w:rPr>
                      <w:rFonts w:cs="Arial"/>
                      <w:sz w:val="18"/>
                    </w:rPr>
                    <w:t>82%</w:t>
                  </w:r>
                </w:p>
              </w:tc>
              <w:tc>
                <w:tcPr>
                  <w:tcW w:w="1786" w:type="dxa"/>
                  <w:vAlign w:val="center"/>
                  <w:hideMark/>
                </w:tcPr>
                <w:p w:rsidR="001E6FB8" w:rsidRPr="00CB3A2C" w:rsidRDefault="001E6FB8" w:rsidP="001E6FB8">
                  <w:pPr>
                    <w:pStyle w:val="TableBody"/>
                    <w:ind w:right="124"/>
                    <w:jc w:val="right"/>
                    <w:rPr>
                      <w:rFonts w:cs="Arial"/>
                      <w:sz w:val="18"/>
                    </w:rPr>
                  </w:pPr>
                  <w:r w:rsidRPr="00CB3A2C">
                    <w:rPr>
                      <w:rFonts w:cs="Arial"/>
                      <w:sz w:val="18"/>
                    </w:rPr>
                    <w:t>98%</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60" w:after="60"/>
            </w:pPr>
            <w:r w:rsidRPr="00CB3A2C">
              <w:rPr>
                <w:rFonts w:cs="Arial"/>
                <w:i/>
                <w:iCs/>
                <w:sz w:val="16"/>
                <w:szCs w:val="16"/>
              </w:rPr>
              <w:t>Source: DBCDE, Digital Tracker Summary Report Quarter 2 April to June 2013.</w:t>
            </w:r>
          </w:p>
        </w:tc>
      </w:tr>
    </w:tbl>
    <w:p w:rsidR="001E6FB8" w:rsidRDefault="001E6FB8" w:rsidP="001E6FB8"/>
    <w:p w:rsidR="001E6FB8" w:rsidRDefault="001E6FB8" w:rsidP="001E6FB8"/>
    <w:p w:rsidR="001E6FB8" w:rsidRDefault="001E6FB8" w:rsidP="001E6FB8">
      <w:pPr>
        <w:pStyle w:val="Heading2"/>
        <w:keepLines/>
        <w:pageBreakBefore/>
      </w:pPr>
      <w:bookmarkStart w:id="98" w:name="_Toc370381859"/>
      <w:bookmarkStart w:id="99" w:name="_Toc371588973"/>
      <w:bookmarkStart w:id="100" w:name="_Toc373149035"/>
      <w:r w:rsidRPr="00CB3A2C">
        <w:t>Financial information</w:t>
      </w:r>
      <w:bookmarkEnd w:id="98"/>
      <w:bookmarkEnd w:id="99"/>
      <w:bookmarkEnd w:id="100"/>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proofErr w:type="spellStart"/>
            <w:r w:rsidRPr="00947322">
              <w:rPr>
                <w:rFonts w:cs="Arial"/>
                <w:color w:val="00709E"/>
              </w:rPr>
              <w:t>Radiocommunications</w:t>
            </w:r>
            <w:proofErr w:type="spellEnd"/>
            <w:r w:rsidRPr="00947322">
              <w:rPr>
                <w:rFonts w:cs="Arial"/>
                <w:color w:val="00709E"/>
              </w:rPr>
              <w:t xml:space="preserve"> apparatus licences revenue raised by the ACMA</w:t>
            </w:r>
          </w:p>
        </w:tc>
      </w:tr>
      <w:tr w:rsidR="001E6FB8" w:rsidTr="001E6FB8">
        <w:trPr>
          <w:trHeight w:val="3086"/>
        </w:trPr>
        <w:tc>
          <w:tcPr>
            <w:tcW w:w="9645" w:type="dxa"/>
            <w:shd w:val="clear" w:color="auto" w:fill="auto"/>
            <w:tcMar>
              <w:left w:w="28" w:type="dxa"/>
            </w:tcMar>
          </w:tcPr>
          <w:tbl>
            <w:tblPr>
              <w:tblW w:w="9588"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000"/>
              <w:gridCol w:w="2786"/>
              <w:gridCol w:w="1802"/>
            </w:tblGrid>
            <w:tr w:rsidR="001E6FB8" w:rsidRPr="00CB3A2C" w:rsidTr="001E6FB8">
              <w:trPr>
                <w:trHeight w:val="284"/>
              </w:trPr>
              <w:tc>
                <w:tcPr>
                  <w:tcW w:w="5000" w:type="dxa"/>
                  <w:shd w:val="clear" w:color="auto" w:fill="00709E"/>
                  <w:tcMar>
                    <w:top w:w="34" w:type="dxa"/>
                    <w:left w:w="113" w:type="dxa"/>
                    <w:bottom w:w="0" w:type="dxa"/>
                    <w:right w:w="0" w:type="dxa"/>
                  </w:tcMar>
                  <w:hideMark/>
                </w:tcPr>
                <w:p w:rsidR="001E6FB8" w:rsidRPr="00CB3A2C" w:rsidRDefault="001E6FB8" w:rsidP="001E6FB8">
                  <w:pPr>
                    <w:pStyle w:val="TableHeading"/>
                    <w:keepNext/>
                    <w:keepLines/>
                    <w:rPr>
                      <w:rFonts w:cs="Arial"/>
                      <w:color w:val="FFFFFF" w:themeColor="background1"/>
                      <w:sz w:val="18"/>
                      <w:szCs w:val="20"/>
                    </w:rPr>
                  </w:pPr>
                  <w:r w:rsidRPr="00CB3A2C">
                    <w:rPr>
                      <w:rFonts w:cs="Arial"/>
                      <w:color w:val="FFFFFF" w:themeColor="background1"/>
                      <w:sz w:val="18"/>
                      <w:szCs w:val="20"/>
                    </w:rPr>
                    <w:t>Type of licence</w:t>
                  </w:r>
                </w:p>
              </w:tc>
              <w:tc>
                <w:tcPr>
                  <w:tcW w:w="2786" w:type="dxa"/>
                  <w:shd w:val="clear" w:color="auto" w:fill="00709E"/>
                </w:tcPr>
                <w:p w:rsidR="001E6FB8" w:rsidRPr="00CB3A2C" w:rsidRDefault="001E6FB8" w:rsidP="001E6FB8">
                  <w:pPr>
                    <w:pStyle w:val="TableHeading"/>
                    <w:keepNext/>
                    <w:keepLines/>
                    <w:ind w:right="150"/>
                    <w:jc w:val="right"/>
                    <w:rPr>
                      <w:rFonts w:cs="Arial"/>
                      <w:color w:val="FFFFFF" w:themeColor="background1"/>
                      <w:sz w:val="18"/>
                    </w:rPr>
                  </w:pPr>
                  <w:r w:rsidRPr="00CB3A2C">
                    <w:rPr>
                      <w:rFonts w:cs="Arial"/>
                      <w:color w:val="FFFFFF" w:themeColor="background1"/>
                      <w:sz w:val="18"/>
                    </w:rPr>
                    <w:t>2011–12</w:t>
                  </w:r>
                </w:p>
                <w:p w:rsidR="001E6FB8" w:rsidRPr="00CB3A2C" w:rsidRDefault="001E6FB8" w:rsidP="001E6FB8">
                  <w:pPr>
                    <w:pStyle w:val="TableHeading"/>
                    <w:keepNext/>
                    <w:keepLines/>
                    <w:ind w:right="150"/>
                    <w:jc w:val="right"/>
                    <w:rPr>
                      <w:rFonts w:cs="Arial"/>
                      <w:color w:val="FFFFFF" w:themeColor="background1"/>
                      <w:sz w:val="18"/>
                    </w:rPr>
                  </w:pPr>
                  <w:r w:rsidRPr="00CB3A2C">
                    <w:rPr>
                      <w:rFonts w:cs="Arial"/>
                      <w:color w:val="FFFFFF" w:themeColor="background1"/>
                      <w:sz w:val="18"/>
                    </w:rPr>
                    <w:t>$million</w:t>
                  </w:r>
                </w:p>
              </w:tc>
              <w:tc>
                <w:tcPr>
                  <w:tcW w:w="1802" w:type="dxa"/>
                  <w:shd w:val="clear" w:color="auto" w:fill="00709E"/>
                </w:tcPr>
                <w:p w:rsidR="001E6FB8" w:rsidRPr="00CB3A2C" w:rsidRDefault="001E6FB8" w:rsidP="001E6FB8">
                  <w:pPr>
                    <w:pStyle w:val="TableHeading"/>
                    <w:keepNext/>
                    <w:keepLines/>
                    <w:ind w:right="150"/>
                    <w:jc w:val="right"/>
                    <w:rPr>
                      <w:rFonts w:cs="Arial"/>
                      <w:color w:val="FFFFFF" w:themeColor="background1"/>
                      <w:sz w:val="18"/>
                    </w:rPr>
                  </w:pPr>
                  <w:r w:rsidRPr="00CB3A2C">
                    <w:rPr>
                      <w:rFonts w:cs="Arial"/>
                      <w:color w:val="FFFFFF" w:themeColor="background1"/>
                      <w:sz w:val="18"/>
                    </w:rPr>
                    <w:t>2012–13</w:t>
                  </w:r>
                </w:p>
                <w:p w:rsidR="001E6FB8" w:rsidRPr="00CB3A2C" w:rsidRDefault="001E6FB8" w:rsidP="001E6FB8">
                  <w:pPr>
                    <w:pStyle w:val="TableHeading"/>
                    <w:keepNext/>
                    <w:keepLines/>
                    <w:ind w:right="150"/>
                    <w:jc w:val="right"/>
                    <w:rPr>
                      <w:rFonts w:cs="Arial"/>
                      <w:color w:val="FFFFFF" w:themeColor="background1"/>
                      <w:sz w:val="18"/>
                    </w:rPr>
                  </w:pPr>
                  <w:r w:rsidRPr="00CB3A2C">
                    <w:rPr>
                      <w:rFonts w:cs="Arial"/>
                      <w:color w:val="FFFFFF" w:themeColor="background1"/>
                      <w:sz w:val="18"/>
                    </w:rPr>
                    <w:t>$million</w:t>
                  </w: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rPr>
                      <w:rFonts w:cs="Arial"/>
                      <w:i/>
                      <w:iCs/>
                      <w:sz w:val="18"/>
                      <w:lang w:eastAsia="en-AU"/>
                    </w:rPr>
                  </w:pPr>
                  <w:r w:rsidRPr="00CB3A2C">
                    <w:rPr>
                      <w:rFonts w:cs="Arial"/>
                      <w:i/>
                      <w:iCs/>
                      <w:sz w:val="18"/>
                      <w:lang w:eastAsia="en-AU"/>
                    </w:rPr>
                    <w:t>Assigned licences</w:t>
                  </w:r>
                </w:p>
              </w:tc>
              <w:tc>
                <w:tcPr>
                  <w:tcW w:w="2786" w:type="dxa"/>
                  <w:vAlign w:val="center"/>
                </w:tcPr>
                <w:p w:rsidR="001E6FB8" w:rsidRPr="00CB3A2C" w:rsidRDefault="001E6FB8" w:rsidP="001E6FB8">
                  <w:pPr>
                    <w:pStyle w:val="ACMATableText"/>
                    <w:keepNext/>
                    <w:keepLines/>
                    <w:ind w:right="123"/>
                    <w:jc w:val="right"/>
                    <w:rPr>
                      <w:rFonts w:cs="Arial"/>
                      <w:sz w:val="18"/>
                      <w:lang w:eastAsia="en-AU"/>
                    </w:rPr>
                  </w:pPr>
                </w:p>
              </w:tc>
              <w:tc>
                <w:tcPr>
                  <w:tcW w:w="1802" w:type="dxa"/>
                  <w:vAlign w:val="center"/>
                </w:tcPr>
                <w:p w:rsidR="001E6FB8" w:rsidRPr="00CB3A2C" w:rsidRDefault="001E6FB8" w:rsidP="001E6FB8">
                  <w:pPr>
                    <w:pStyle w:val="ACMATableText"/>
                    <w:keepNext/>
                    <w:keepLines/>
                    <w:ind w:right="97"/>
                    <w:jc w:val="right"/>
                    <w:rPr>
                      <w:rFonts w:cs="Arial"/>
                      <w:sz w:val="18"/>
                      <w:lang w:eastAsia="en-AU"/>
                    </w:rPr>
                  </w:pP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tabs>
                      <w:tab w:val="left" w:pos="280"/>
                    </w:tabs>
                    <w:rPr>
                      <w:rFonts w:cs="Arial"/>
                      <w:sz w:val="18"/>
                      <w:lang w:eastAsia="en-AU"/>
                    </w:rPr>
                  </w:pPr>
                  <w:r w:rsidRPr="00CB3A2C">
                    <w:rPr>
                      <w:rFonts w:cs="Arial"/>
                      <w:sz w:val="18"/>
                      <w:lang w:eastAsia="en-AU"/>
                    </w:rPr>
                    <w:tab/>
                    <w:t>Public telecommunications service</w:t>
                  </w:r>
                </w:p>
              </w:tc>
              <w:tc>
                <w:tcPr>
                  <w:tcW w:w="2786" w:type="dxa"/>
                  <w:vAlign w:val="center"/>
                </w:tcPr>
                <w:p w:rsidR="001E6FB8" w:rsidRPr="00CB3A2C" w:rsidRDefault="001E6FB8" w:rsidP="001E6FB8">
                  <w:pPr>
                    <w:pStyle w:val="ACMATableText"/>
                    <w:keepNext/>
                    <w:keepLines/>
                    <w:ind w:right="123"/>
                    <w:jc w:val="right"/>
                    <w:rPr>
                      <w:rFonts w:cs="Arial"/>
                      <w:sz w:val="18"/>
                    </w:rPr>
                  </w:pPr>
                  <w:r w:rsidRPr="00CB3A2C">
                    <w:rPr>
                      <w:rFonts w:cs="Arial"/>
                      <w:sz w:val="18"/>
                    </w:rPr>
                    <w:t>56.25</w:t>
                  </w:r>
                </w:p>
              </w:tc>
              <w:tc>
                <w:tcPr>
                  <w:tcW w:w="1802" w:type="dxa"/>
                  <w:vAlign w:val="center"/>
                </w:tcPr>
                <w:p w:rsidR="001E6FB8" w:rsidRPr="00CB3A2C" w:rsidRDefault="001E6FB8" w:rsidP="001E6FB8">
                  <w:pPr>
                    <w:pStyle w:val="ACMATableText"/>
                    <w:keepNext/>
                    <w:keepLines/>
                    <w:ind w:right="123"/>
                    <w:jc w:val="right"/>
                    <w:rPr>
                      <w:rFonts w:cs="Arial"/>
                      <w:sz w:val="18"/>
                    </w:rPr>
                  </w:pPr>
                  <w:r w:rsidRPr="00CB3A2C">
                    <w:rPr>
                      <w:rFonts w:cs="Arial"/>
                      <w:sz w:val="18"/>
                    </w:rPr>
                    <w:t>55.86</w:t>
                  </w: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tabs>
                      <w:tab w:val="left" w:pos="280"/>
                    </w:tabs>
                    <w:rPr>
                      <w:rFonts w:cs="Arial"/>
                      <w:sz w:val="18"/>
                      <w:lang w:eastAsia="en-AU"/>
                    </w:rPr>
                  </w:pPr>
                  <w:r w:rsidRPr="00CB3A2C">
                    <w:rPr>
                      <w:rFonts w:cs="Arial"/>
                      <w:sz w:val="18"/>
                      <w:lang w:eastAsia="en-AU"/>
                    </w:rPr>
                    <w:tab/>
                    <w:t>Fixed</w:t>
                  </w:r>
                </w:p>
              </w:tc>
              <w:tc>
                <w:tcPr>
                  <w:tcW w:w="2786" w:type="dxa"/>
                  <w:vAlign w:val="center"/>
                </w:tcPr>
                <w:p w:rsidR="001E6FB8" w:rsidRPr="00CB3A2C" w:rsidRDefault="001E6FB8" w:rsidP="001E6FB8">
                  <w:pPr>
                    <w:pStyle w:val="ACMATableText"/>
                    <w:keepNext/>
                    <w:keepLines/>
                    <w:ind w:right="123"/>
                    <w:jc w:val="right"/>
                    <w:rPr>
                      <w:rFonts w:cs="Arial"/>
                      <w:sz w:val="18"/>
                    </w:rPr>
                  </w:pPr>
                  <w:r w:rsidRPr="00CB3A2C">
                    <w:rPr>
                      <w:rFonts w:cs="Arial"/>
                      <w:sz w:val="18"/>
                    </w:rPr>
                    <w:t>55.19</w:t>
                  </w:r>
                </w:p>
              </w:tc>
              <w:tc>
                <w:tcPr>
                  <w:tcW w:w="1802" w:type="dxa"/>
                  <w:vAlign w:val="center"/>
                </w:tcPr>
                <w:p w:rsidR="001E6FB8" w:rsidRPr="00CB3A2C" w:rsidRDefault="001E6FB8" w:rsidP="001E6FB8">
                  <w:pPr>
                    <w:pStyle w:val="ACMATableText"/>
                    <w:keepNext/>
                    <w:keepLines/>
                    <w:ind w:right="123"/>
                    <w:jc w:val="right"/>
                    <w:rPr>
                      <w:rFonts w:cs="Arial"/>
                      <w:sz w:val="18"/>
                    </w:rPr>
                  </w:pPr>
                  <w:r w:rsidRPr="00CB3A2C">
                    <w:rPr>
                      <w:rFonts w:cs="Arial"/>
                      <w:sz w:val="18"/>
                    </w:rPr>
                    <w:t>5</w:t>
                  </w:r>
                  <w:r>
                    <w:rPr>
                      <w:rFonts w:cs="Arial"/>
                      <w:sz w:val="18"/>
                    </w:rPr>
                    <w:t>6</w:t>
                  </w:r>
                  <w:r w:rsidRPr="00CB3A2C">
                    <w:rPr>
                      <w:rFonts w:cs="Arial"/>
                      <w:sz w:val="18"/>
                    </w:rPr>
                    <w:t>.53</w:t>
                  </w: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tabs>
                      <w:tab w:val="left" w:pos="280"/>
                    </w:tabs>
                    <w:rPr>
                      <w:rFonts w:cs="Arial"/>
                      <w:sz w:val="18"/>
                      <w:lang w:eastAsia="en-AU"/>
                    </w:rPr>
                  </w:pPr>
                  <w:r w:rsidRPr="00CB3A2C">
                    <w:rPr>
                      <w:rFonts w:cs="Arial"/>
                      <w:sz w:val="18"/>
                      <w:lang w:eastAsia="en-AU"/>
                    </w:rPr>
                    <w:tab/>
                    <w:t>Land mobile</w:t>
                  </w:r>
                </w:p>
              </w:tc>
              <w:tc>
                <w:tcPr>
                  <w:tcW w:w="2786"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18..40</w:t>
                  </w:r>
                </w:p>
              </w:tc>
              <w:tc>
                <w:tcPr>
                  <w:tcW w:w="1802"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21.25</w:t>
                  </w: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tabs>
                      <w:tab w:val="left" w:pos="280"/>
                    </w:tabs>
                    <w:rPr>
                      <w:rFonts w:cs="Arial"/>
                      <w:sz w:val="18"/>
                      <w:lang w:eastAsia="en-AU"/>
                    </w:rPr>
                  </w:pPr>
                  <w:r w:rsidRPr="00CB3A2C">
                    <w:rPr>
                      <w:rFonts w:cs="Arial"/>
                      <w:sz w:val="18"/>
                      <w:lang w:eastAsia="en-AU"/>
                    </w:rPr>
                    <w:tab/>
                    <w:t>Satellite*</w:t>
                  </w:r>
                </w:p>
              </w:tc>
              <w:tc>
                <w:tcPr>
                  <w:tcW w:w="2786"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6.52</w:t>
                  </w:r>
                </w:p>
              </w:tc>
              <w:tc>
                <w:tcPr>
                  <w:tcW w:w="1802"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4.46</w:t>
                  </w: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tabs>
                      <w:tab w:val="left" w:pos="280"/>
                    </w:tabs>
                    <w:rPr>
                      <w:rFonts w:cs="Arial"/>
                      <w:sz w:val="18"/>
                      <w:lang w:eastAsia="en-AU"/>
                    </w:rPr>
                  </w:pPr>
                  <w:r w:rsidRPr="00CB3A2C">
                    <w:rPr>
                      <w:rFonts w:cs="Arial"/>
                      <w:sz w:val="18"/>
                      <w:lang w:eastAsia="en-AU"/>
                    </w:rPr>
                    <w:tab/>
                    <w:t>Defence</w:t>
                  </w:r>
                </w:p>
              </w:tc>
              <w:tc>
                <w:tcPr>
                  <w:tcW w:w="2786"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10.22</w:t>
                  </w:r>
                </w:p>
              </w:tc>
              <w:tc>
                <w:tcPr>
                  <w:tcW w:w="1802"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10.85</w:t>
                  </w: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tabs>
                      <w:tab w:val="left" w:pos="280"/>
                    </w:tabs>
                    <w:rPr>
                      <w:rFonts w:cs="Arial"/>
                      <w:sz w:val="18"/>
                      <w:lang w:eastAsia="en-AU"/>
                    </w:rPr>
                  </w:pPr>
                  <w:r w:rsidRPr="00CB3A2C">
                    <w:rPr>
                      <w:rFonts w:cs="Arial"/>
                      <w:sz w:val="18"/>
                      <w:lang w:eastAsia="en-AU"/>
                    </w:rPr>
                    <w:tab/>
                    <w:t>Other</w:t>
                  </w:r>
                </w:p>
              </w:tc>
              <w:tc>
                <w:tcPr>
                  <w:tcW w:w="2786"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1.23</w:t>
                  </w:r>
                </w:p>
              </w:tc>
              <w:tc>
                <w:tcPr>
                  <w:tcW w:w="1802"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3.12</w:t>
                  </w: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rPr>
                      <w:rFonts w:cs="Arial"/>
                      <w:b/>
                      <w:bCs/>
                      <w:sz w:val="18"/>
                      <w:lang w:eastAsia="en-AU"/>
                    </w:rPr>
                  </w:pPr>
                  <w:r w:rsidRPr="00CB3A2C">
                    <w:rPr>
                      <w:rFonts w:cs="Arial"/>
                      <w:b/>
                      <w:bCs/>
                      <w:sz w:val="18"/>
                      <w:lang w:eastAsia="en-AU"/>
                    </w:rPr>
                    <w:t>Total assigned licences</w:t>
                  </w:r>
                </w:p>
              </w:tc>
              <w:tc>
                <w:tcPr>
                  <w:tcW w:w="2786" w:type="dxa"/>
                  <w:vAlign w:val="bottom"/>
                </w:tcPr>
                <w:p w:rsidR="001E6FB8" w:rsidRPr="00CB3A2C" w:rsidRDefault="001E6FB8" w:rsidP="001E6FB8">
                  <w:pPr>
                    <w:pStyle w:val="ACMATableText"/>
                    <w:keepNext/>
                    <w:keepLines/>
                    <w:ind w:right="123"/>
                    <w:jc w:val="right"/>
                    <w:rPr>
                      <w:rFonts w:cs="Arial"/>
                      <w:b/>
                      <w:sz w:val="18"/>
                    </w:rPr>
                  </w:pPr>
                  <w:r w:rsidRPr="00CB3A2C">
                    <w:rPr>
                      <w:rFonts w:cs="Arial"/>
                      <w:b/>
                      <w:sz w:val="18"/>
                    </w:rPr>
                    <w:t>147.82</w:t>
                  </w:r>
                </w:p>
              </w:tc>
              <w:tc>
                <w:tcPr>
                  <w:tcW w:w="1802" w:type="dxa"/>
                  <w:vAlign w:val="bottom"/>
                </w:tcPr>
                <w:p w:rsidR="001E6FB8" w:rsidRPr="00CB3A2C" w:rsidRDefault="001E6FB8" w:rsidP="001E6FB8">
                  <w:pPr>
                    <w:pStyle w:val="ACMATableText"/>
                    <w:keepNext/>
                    <w:keepLines/>
                    <w:ind w:right="123"/>
                    <w:jc w:val="right"/>
                    <w:rPr>
                      <w:rFonts w:cs="Arial"/>
                      <w:b/>
                      <w:sz w:val="18"/>
                    </w:rPr>
                  </w:pPr>
                  <w:r w:rsidRPr="00CB3A2C">
                    <w:rPr>
                      <w:rFonts w:cs="Arial"/>
                      <w:b/>
                      <w:sz w:val="18"/>
                    </w:rPr>
                    <w:t>152.07</w:t>
                  </w: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rPr>
                      <w:rFonts w:cs="Arial"/>
                      <w:i/>
                      <w:sz w:val="18"/>
                      <w:lang w:eastAsia="en-AU"/>
                    </w:rPr>
                  </w:pPr>
                  <w:r w:rsidRPr="00CB3A2C">
                    <w:rPr>
                      <w:rFonts w:cs="Arial"/>
                      <w:i/>
                      <w:sz w:val="18"/>
                      <w:lang w:eastAsia="en-AU"/>
                    </w:rPr>
                    <w:t>Non-assigned licences</w:t>
                  </w:r>
                </w:p>
              </w:tc>
              <w:tc>
                <w:tcPr>
                  <w:tcW w:w="2786"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1.24</w:t>
                  </w:r>
                </w:p>
              </w:tc>
              <w:tc>
                <w:tcPr>
                  <w:tcW w:w="1802" w:type="dxa"/>
                  <w:vAlign w:val="bottom"/>
                </w:tcPr>
                <w:p w:rsidR="001E6FB8" w:rsidRPr="00CB3A2C" w:rsidRDefault="001E6FB8" w:rsidP="001E6FB8">
                  <w:pPr>
                    <w:pStyle w:val="ACMATableText"/>
                    <w:keepNext/>
                    <w:keepLines/>
                    <w:ind w:right="123"/>
                    <w:jc w:val="right"/>
                    <w:rPr>
                      <w:rFonts w:cs="Arial"/>
                      <w:sz w:val="18"/>
                    </w:rPr>
                  </w:pPr>
                  <w:r w:rsidRPr="00CB3A2C">
                    <w:rPr>
                      <w:rFonts w:cs="Arial"/>
                      <w:sz w:val="18"/>
                    </w:rPr>
                    <w:t>1.63</w:t>
                  </w:r>
                </w:p>
              </w:tc>
            </w:tr>
            <w:tr w:rsidR="001E6FB8" w:rsidRPr="00CB3A2C" w:rsidTr="001E6FB8">
              <w:trPr>
                <w:trHeight w:val="284"/>
              </w:trPr>
              <w:tc>
                <w:tcPr>
                  <w:tcW w:w="5000" w:type="dxa"/>
                  <w:tcMar>
                    <w:top w:w="0" w:type="dxa"/>
                    <w:left w:w="113" w:type="dxa"/>
                    <w:bottom w:w="0" w:type="dxa"/>
                    <w:right w:w="0" w:type="dxa"/>
                  </w:tcMar>
                  <w:vAlign w:val="center"/>
                  <w:hideMark/>
                </w:tcPr>
                <w:p w:rsidR="001E6FB8" w:rsidRPr="00CB3A2C" w:rsidRDefault="001E6FB8" w:rsidP="001E6FB8">
                  <w:pPr>
                    <w:pStyle w:val="ACMATableText"/>
                    <w:keepNext/>
                    <w:keepLines/>
                    <w:rPr>
                      <w:rFonts w:cs="Arial"/>
                      <w:b/>
                      <w:bCs/>
                      <w:sz w:val="18"/>
                      <w:lang w:eastAsia="en-AU"/>
                    </w:rPr>
                  </w:pPr>
                  <w:r w:rsidRPr="00CB3A2C">
                    <w:rPr>
                      <w:rFonts w:cs="Arial"/>
                      <w:b/>
                      <w:bCs/>
                      <w:sz w:val="18"/>
                      <w:lang w:eastAsia="en-AU"/>
                    </w:rPr>
                    <w:t xml:space="preserve">Total </w:t>
                  </w:r>
                </w:p>
              </w:tc>
              <w:tc>
                <w:tcPr>
                  <w:tcW w:w="2786" w:type="dxa"/>
                  <w:vAlign w:val="bottom"/>
                </w:tcPr>
                <w:p w:rsidR="001E6FB8" w:rsidRPr="00CB3A2C" w:rsidRDefault="001E6FB8" w:rsidP="001E6FB8">
                  <w:pPr>
                    <w:pStyle w:val="ACMATableText"/>
                    <w:keepNext/>
                    <w:keepLines/>
                    <w:ind w:right="123"/>
                    <w:jc w:val="right"/>
                    <w:rPr>
                      <w:rFonts w:cs="Arial"/>
                      <w:b/>
                      <w:sz w:val="18"/>
                    </w:rPr>
                  </w:pPr>
                  <w:r w:rsidRPr="00CB3A2C">
                    <w:rPr>
                      <w:rFonts w:cs="Arial"/>
                      <w:b/>
                      <w:sz w:val="18"/>
                    </w:rPr>
                    <w:t>149.06</w:t>
                  </w:r>
                </w:p>
              </w:tc>
              <w:tc>
                <w:tcPr>
                  <w:tcW w:w="1802" w:type="dxa"/>
                  <w:vAlign w:val="bottom"/>
                </w:tcPr>
                <w:p w:rsidR="001E6FB8" w:rsidRPr="00CB3A2C" w:rsidRDefault="001E6FB8" w:rsidP="001E6FB8">
                  <w:pPr>
                    <w:pStyle w:val="ACMATableText"/>
                    <w:keepNext/>
                    <w:keepLines/>
                    <w:ind w:right="123"/>
                    <w:jc w:val="right"/>
                    <w:rPr>
                      <w:rFonts w:cs="Arial"/>
                      <w:b/>
                      <w:sz w:val="18"/>
                    </w:rPr>
                  </w:pPr>
                  <w:r w:rsidRPr="00CB3A2C">
                    <w:rPr>
                      <w:rFonts w:cs="Arial"/>
                      <w:b/>
                      <w:sz w:val="18"/>
                    </w:rPr>
                    <w:t>153.70</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60" w:after="60" w:line="240" w:lineRule="auto"/>
            </w:pPr>
            <w:r w:rsidRPr="00CB3A2C">
              <w:rPr>
                <w:rFonts w:cs="Arial"/>
                <w:i/>
                <w:iCs/>
                <w:sz w:val="16"/>
                <w:szCs w:val="16"/>
              </w:rPr>
              <w:t>*Includes Earth, space, Earth receive and space receive licences.</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keepNext/>
              <w:rPr>
                <w:color w:val="00709E"/>
              </w:rPr>
            </w:pPr>
            <w:r w:rsidRPr="00947322">
              <w:rPr>
                <w:rFonts w:cs="Arial"/>
                <w:color w:val="00709E"/>
              </w:rPr>
              <w:t>Select revenue raised by the ACMA</w:t>
            </w:r>
          </w:p>
        </w:tc>
      </w:tr>
      <w:tr w:rsidR="001E6FB8" w:rsidTr="001E6FB8">
        <w:trPr>
          <w:trHeight w:val="2550"/>
        </w:trPr>
        <w:tc>
          <w:tcPr>
            <w:tcW w:w="9645" w:type="dxa"/>
            <w:shd w:val="clear" w:color="auto" w:fill="auto"/>
            <w:tcMar>
              <w:left w:w="28" w:type="dxa"/>
            </w:tcMar>
          </w:tcPr>
          <w:tbl>
            <w:tblPr>
              <w:tblW w:w="9565"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4911"/>
              <w:gridCol w:w="2733"/>
              <w:gridCol w:w="1921"/>
            </w:tblGrid>
            <w:tr w:rsidR="001E6FB8" w:rsidRPr="00CB3A2C" w:rsidTr="001E6FB8">
              <w:trPr>
                <w:trHeight w:val="284"/>
              </w:trPr>
              <w:tc>
                <w:tcPr>
                  <w:tcW w:w="4911" w:type="dxa"/>
                  <w:shd w:val="clear" w:color="auto" w:fill="00709E"/>
                  <w:tcMar>
                    <w:top w:w="34" w:type="dxa"/>
                    <w:left w:w="113" w:type="dxa"/>
                    <w:bottom w:w="0" w:type="dxa"/>
                    <w:right w:w="0" w:type="dxa"/>
                  </w:tcMar>
                </w:tcPr>
                <w:p w:rsidR="001E6FB8" w:rsidRPr="00CB3A2C" w:rsidRDefault="001E6FB8" w:rsidP="001E6FB8">
                  <w:pPr>
                    <w:pStyle w:val="TableHeading"/>
                    <w:keepNext/>
                    <w:rPr>
                      <w:rFonts w:cs="Arial"/>
                      <w:color w:val="FFFFFF" w:themeColor="background1"/>
                      <w:sz w:val="18"/>
                    </w:rPr>
                  </w:pPr>
                  <w:r w:rsidRPr="00CB3A2C">
                    <w:rPr>
                      <w:rFonts w:cs="Arial"/>
                      <w:color w:val="FFFFFF" w:themeColor="background1"/>
                      <w:sz w:val="18"/>
                    </w:rPr>
                    <w:br w:type="page"/>
                  </w:r>
                </w:p>
              </w:tc>
              <w:tc>
                <w:tcPr>
                  <w:tcW w:w="2733" w:type="dxa"/>
                  <w:shd w:val="clear" w:color="auto" w:fill="00709E"/>
                </w:tcPr>
                <w:p w:rsidR="001E6FB8" w:rsidRPr="00CB3A2C" w:rsidRDefault="001E6FB8" w:rsidP="001E6FB8">
                  <w:pPr>
                    <w:pStyle w:val="TableHeading"/>
                    <w:keepNext/>
                    <w:ind w:right="150"/>
                    <w:jc w:val="right"/>
                    <w:rPr>
                      <w:rFonts w:cs="Arial"/>
                      <w:color w:val="FFFFFF" w:themeColor="background1"/>
                      <w:sz w:val="18"/>
                    </w:rPr>
                  </w:pPr>
                  <w:r w:rsidRPr="00CB3A2C">
                    <w:rPr>
                      <w:rFonts w:cs="Arial"/>
                      <w:color w:val="FFFFFF" w:themeColor="background1"/>
                      <w:sz w:val="18"/>
                    </w:rPr>
                    <w:t>2011–12</w:t>
                  </w:r>
                </w:p>
                <w:p w:rsidR="001E6FB8" w:rsidRPr="00CB3A2C" w:rsidRDefault="001E6FB8" w:rsidP="001E6FB8">
                  <w:pPr>
                    <w:pStyle w:val="TableHeading"/>
                    <w:keepNext/>
                    <w:ind w:right="150"/>
                    <w:jc w:val="right"/>
                    <w:rPr>
                      <w:rFonts w:cs="Arial"/>
                      <w:color w:val="FFFFFF" w:themeColor="background1"/>
                      <w:sz w:val="18"/>
                    </w:rPr>
                  </w:pPr>
                  <w:r w:rsidRPr="00CB3A2C">
                    <w:rPr>
                      <w:rFonts w:cs="Arial"/>
                      <w:color w:val="FFFFFF" w:themeColor="background1"/>
                      <w:sz w:val="18"/>
                    </w:rPr>
                    <w:t>$million</w:t>
                  </w:r>
                </w:p>
              </w:tc>
              <w:tc>
                <w:tcPr>
                  <w:tcW w:w="1921" w:type="dxa"/>
                  <w:shd w:val="clear" w:color="auto" w:fill="00709E"/>
                </w:tcPr>
                <w:p w:rsidR="001E6FB8" w:rsidRPr="00CB3A2C" w:rsidRDefault="001E6FB8" w:rsidP="001E6FB8">
                  <w:pPr>
                    <w:pStyle w:val="TableHeading"/>
                    <w:keepNext/>
                    <w:ind w:right="150"/>
                    <w:jc w:val="right"/>
                    <w:rPr>
                      <w:rFonts w:cs="Arial"/>
                      <w:color w:val="FFFFFF" w:themeColor="background1"/>
                      <w:sz w:val="18"/>
                    </w:rPr>
                  </w:pPr>
                  <w:r w:rsidRPr="00CB3A2C">
                    <w:rPr>
                      <w:rFonts w:cs="Arial"/>
                      <w:color w:val="FFFFFF" w:themeColor="background1"/>
                      <w:sz w:val="18"/>
                    </w:rPr>
                    <w:t>2012–13</w:t>
                  </w:r>
                </w:p>
                <w:p w:rsidR="001E6FB8" w:rsidRPr="00CB3A2C" w:rsidRDefault="001E6FB8" w:rsidP="001E6FB8">
                  <w:pPr>
                    <w:pStyle w:val="TableHeading"/>
                    <w:keepNext/>
                    <w:ind w:right="150"/>
                    <w:jc w:val="right"/>
                    <w:rPr>
                      <w:rFonts w:cs="Arial"/>
                      <w:color w:val="FFFFFF" w:themeColor="background1"/>
                      <w:sz w:val="18"/>
                    </w:rPr>
                  </w:pPr>
                  <w:r w:rsidRPr="00CB3A2C">
                    <w:rPr>
                      <w:rFonts w:cs="Arial"/>
                      <w:color w:val="FFFFFF" w:themeColor="background1"/>
                      <w:sz w:val="18"/>
                    </w:rPr>
                    <w:t>$million</w:t>
                  </w:r>
                </w:p>
              </w:tc>
            </w:tr>
            <w:tr w:rsidR="001E6FB8" w:rsidRPr="00CB3A2C" w:rsidTr="001E6FB8">
              <w:trPr>
                <w:trHeight w:val="284"/>
              </w:trPr>
              <w:tc>
                <w:tcPr>
                  <w:tcW w:w="4911" w:type="dxa"/>
                  <w:tcMar>
                    <w:top w:w="0" w:type="dxa"/>
                    <w:left w:w="113" w:type="dxa"/>
                    <w:bottom w:w="0" w:type="dxa"/>
                    <w:right w:w="0" w:type="dxa"/>
                  </w:tcMar>
                  <w:vAlign w:val="center"/>
                  <w:hideMark/>
                </w:tcPr>
                <w:p w:rsidR="001E6FB8" w:rsidRPr="00CB3A2C" w:rsidRDefault="001E6FB8" w:rsidP="001E6FB8">
                  <w:pPr>
                    <w:pStyle w:val="TableHeading"/>
                    <w:keepNext/>
                    <w:rPr>
                      <w:rFonts w:cs="Arial"/>
                      <w:b w:val="0"/>
                      <w:sz w:val="18"/>
                    </w:rPr>
                  </w:pPr>
                  <w:r w:rsidRPr="00CB3A2C">
                    <w:rPr>
                      <w:rFonts w:cs="Arial"/>
                      <w:b w:val="0"/>
                      <w:sz w:val="18"/>
                    </w:rPr>
                    <w:t>Spectrum auctions</w:t>
                  </w:r>
                  <w:r>
                    <w:rPr>
                      <w:rFonts w:cs="Arial"/>
                      <w:b w:val="0"/>
                      <w:sz w:val="18"/>
                    </w:rPr>
                    <w:t>/reissue</w:t>
                  </w:r>
                </w:p>
              </w:tc>
              <w:tc>
                <w:tcPr>
                  <w:tcW w:w="2733" w:type="dxa"/>
                  <w:vAlign w:val="center"/>
                </w:tcPr>
                <w:p w:rsidR="001E6FB8" w:rsidRPr="00CB3A2C" w:rsidRDefault="001E6FB8" w:rsidP="001E6FB8">
                  <w:pPr>
                    <w:pStyle w:val="TableHeading"/>
                    <w:keepNext/>
                    <w:jc w:val="right"/>
                    <w:rPr>
                      <w:rFonts w:cs="Arial"/>
                      <w:b w:val="0"/>
                      <w:sz w:val="18"/>
                    </w:rPr>
                  </w:pPr>
                  <w:r w:rsidRPr="00CB3A2C">
                    <w:rPr>
                      <w:rFonts w:cs="Arial"/>
                      <w:b w:val="0"/>
                      <w:sz w:val="18"/>
                    </w:rPr>
                    <w:t>1.78</w:t>
                  </w:r>
                </w:p>
              </w:tc>
              <w:tc>
                <w:tcPr>
                  <w:tcW w:w="1921" w:type="dxa"/>
                  <w:vAlign w:val="center"/>
                </w:tcPr>
                <w:p w:rsidR="001E6FB8" w:rsidRPr="00CB3A2C" w:rsidRDefault="001E6FB8" w:rsidP="001E6FB8">
                  <w:pPr>
                    <w:pStyle w:val="TableHeading"/>
                    <w:keepNext/>
                    <w:ind w:right="95"/>
                    <w:jc w:val="right"/>
                    <w:rPr>
                      <w:rFonts w:cs="Arial"/>
                      <w:b w:val="0"/>
                      <w:sz w:val="18"/>
                    </w:rPr>
                  </w:pPr>
                  <w:r w:rsidRPr="00CB3A2C">
                    <w:rPr>
                      <w:rFonts w:cs="Arial"/>
                      <w:b w:val="0"/>
                      <w:sz w:val="18"/>
                    </w:rPr>
                    <w:t>1,481.65</w:t>
                  </w:r>
                  <w:r>
                    <w:rPr>
                      <w:rFonts w:cs="Arial"/>
                      <w:b w:val="0"/>
                      <w:sz w:val="18"/>
                    </w:rPr>
                    <w:t>*</w:t>
                  </w:r>
                </w:p>
              </w:tc>
            </w:tr>
            <w:tr w:rsidR="001E6FB8" w:rsidRPr="00CB3A2C" w:rsidTr="001E6FB8">
              <w:trPr>
                <w:trHeight w:val="284"/>
              </w:trPr>
              <w:tc>
                <w:tcPr>
                  <w:tcW w:w="4911" w:type="dxa"/>
                  <w:tcMar>
                    <w:top w:w="0" w:type="dxa"/>
                    <w:left w:w="113" w:type="dxa"/>
                    <w:bottom w:w="0" w:type="dxa"/>
                    <w:right w:w="0" w:type="dxa"/>
                  </w:tcMar>
                  <w:vAlign w:val="center"/>
                  <w:hideMark/>
                </w:tcPr>
                <w:p w:rsidR="001E6FB8" w:rsidRPr="00CB3A2C" w:rsidRDefault="001E6FB8" w:rsidP="001E6FB8">
                  <w:pPr>
                    <w:pStyle w:val="TableHeading"/>
                    <w:keepNext/>
                    <w:rPr>
                      <w:rFonts w:cs="Arial"/>
                      <w:b w:val="0"/>
                      <w:sz w:val="18"/>
                    </w:rPr>
                  </w:pPr>
                  <w:r w:rsidRPr="00CB3A2C">
                    <w:rPr>
                      <w:rFonts w:cs="Arial"/>
                      <w:b w:val="0"/>
                      <w:sz w:val="18"/>
                    </w:rPr>
                    <w:t>Apparatus auctions</w:t>
                  </w:r>
                </w:p>
              </w:tc>
              <w:tc>
                <w:tcPr>
                  <w:tcW w:w="2733" w:type="dxa"/>
                  <w:vAlign w:val="center"/>
                </w:tcPr>
                <w:p w:rsidR="001E6FB8" w:rsidRPr="00CB3A2C" w:rsidRDefault="001E6FB8" w:rsidP="001E6FB8">
                  <w:pPr>
                    <w:pStyle w:val="TableHeading"/>
                    <w:keepNext/>
                    <w:jc w:val="right"/>
                    <w:rPr>
                      <w:rFonts w:cs="Arial"/>
                      <w:b w:val="0"/>
                      <w:sz w:val="18"/>
                    </w:rPr>
                  </w:pPr>
                  <w:r w:rsidRPr="00CB3A2C">
                    <w:rPr>
                      <w:rFonts w:cs="Arial"/>
                      <w:b w:val="0"/>
                      <w:sz w:val="18"/>
                    </w:rPr>
                    <w:t>0.04</w:t>
                  </w:r>
                </w:p>
              </w:tc>
              <w:tc>
                <w:tcPr>
                  <w:tcW w:w="1921" w:type="dxa"/>
                  <w:vAlign w:val="center"/>
                </w:tcPr>
                <w:p w:rsidR="001E6FB8" w:rsidRPr="00CB3A2C" w:rsidRDefault="001E6FB8" w:rsidP="001E6FB8">
                  <w:pPr>
                    <w:pStyle w:val="TableHeading"/>
                    <w:keepNext/>
                    <w:ind w:right="95"/>
                    <w:jc w:val="right"/>
                    <w:rPr>
                      <w:rFonts w:cs="Arial"/>
                      <w:b w:val="0"/>
                      <w:sz w:val="18"/>
                    </w:rPr>
                  </w:pPr>
                  <w:r w:rsidRPr="00CB3A2C">
                    <w:rPr>
                      <w:rFonts w:cs="Arial"/>
                      <w:b w:val="0"/>
                      <w:sz w:val="18"/>
                    </w:rPr>
                    <w:t>0.06</w:t>
                  </w:r>
                </w:p>
              </w:tc>
            </w:tr>
            <w:tr w:rsidR="001E6FB8" w:rsidRPr="00CB3A2C" w:rsidTr="001E6FB8">
              <w:trPr>
                <w:trHeight w:val="284"/>
              </w:trPr>
              <w:tc>
                <w:tcPr>
                  <w:tcW w:w="4911" w:type="dxa"/>
                  <w:tcMar>
                    <w:top w:w="0" w:type="dxa"/>
                    <w:left w:w="113" w:type="dxa"/>
                    <w:bottom w:w="0" w:type="dxa"/>
                    <w:right w:w="0" w:type="dxa"/>
                  </w:tcMar>
                  <w:vAlign w:val="center"/>
                  <w:hideMark/>
                </w:tcPr>
                <w:p w:rsidR="001E6FB8" w:rsidRPr="00CB3A2C" w:rsidRDefault="001E6FB8" w:rsidP="001E6FB8">
                  <w:pPr>
                    <w:keepNext/>
                    <w:rPr>
                      <w:rFonts w:cs="Arial"/>
                      <w:b/>
                      <w:sz w:val="18"/>
                    </w:rPr>
                  </w:pPr>
                  <w:r w:rsidRPr="00CB3A2C">
                    <w:rPr>
                      <w:rFonts w:cs="Arial"/>
                      <w:sz w:val="18"/>
                    </w:rPr>
                    <w:t>Apparatus licence tax</w:t>
                  </w:r>
                </w:p>
              </w:tc>
              <w:tc>
                <w:tcPr>
                  <w:tcW w:w="2733" w:type="dxa"/>
                  <w:vAlign w:val="center"/>
                </w:tcPr>
                <w:p w:rsidR="001E6FB8" w:rsidRPr="00CB3A2C" w:rsidRDefault="001E6FB8" w:rsidP="001E6FB8">
                  <w:pPr>
                    <w:pStyle w:val="TableHeading"/>
                    <w:keepNext/>
                    <w:jc w:val="right"/>
                    <w:rPr>
                      <w:rFonts w:cs="Arial"/>
                      <w:b w:val="0"/>
                      <w:sz w:val="18"/>
                    </w:rPr>
                  </w:pPr>
                  <w:r w:rsidRPr="00CB3A2C">
                    <w:rPr>
                      <w:rFonts w:cs="Arial"/>
                      <w:b w:val="0"/>
                      <w:sz w:val="18"/>
                    </w:rPr>
                    <w:t>146.05</w:t>
                  </w:r>
                </w:p>
              </w:tc>
              <w:tc>
                <w:tcPr>
                  <w:tcW w:w="1921" w:type="dxa"/>
                  <w:vAlign w:val="center"/>
                </w:tcPr>
                <w:p w:rsidR="001E6FB8" w:rsidRPr="00CB3A2C" w:rsidRDefault="001E6FB8" w:rsidP="001E6FB8">
                  <w:pPr>
                    <w:pStyle w:val="TableHeading"/>
                    <w:keepNext/>
                    <w:ind w:right="95"/>
                    <w:jc w:val="right"/>
                    <w:rPr>
                      <w:rFonts w:cs="Arial"/>
                      <w:b w:val="0"/>
                      <w:sz w:val="18"/>
                    </w:rPr>
                  </w:pPr>
                  <w:r w:rsidRPr="00CB3A2C">
                    <w:rPr>
                      <w:rFonts w:cs="Arial"/>
                      <w:b w:val="0"/>
                      <w:sz w:val="18"/>
                    </w:rPr>
                    <w:t>118.99</w:t>
                  </w:r>
                  <w:r w:rsidRPr="00FE5460">
                    <w:rPr>
                      <w:rFonts w:cs="Arial"/>
                      <w:b w:val="0"/>
                      <w:i/>
                      <w:iCs/>
                      <w:sz w:val="16"/>
                      <w:szCs w:val="16"/>
                      <w:vertAlign w:val="superscript"/>
                    </w:rPr>
                    <w:t>§</w:t>
                  </w:r>
                </w:p>
              </w:tc>
            </w:tr>
            <w:tr w:rsidR="001E6FB8" w:rsidRPr="00CB3A2C" w:rsidTr="001E6FB8">
              <w:trPr>
                <w:trHeight w:val="284"/>
              </w:trPr>
              <w:tc>
                <w:tcPr>
                  <w:tcW w:w="4911" w:type="dxa"/>
                  <w:tcMar>
                    <w:top w:w="0" w:type="dxa"/>
                    <w:left w:w="113" w:type="dxa"/>
                    <w:bottom w:w="0" w:type="dxa"/>
                    <w:right w:w="0" w:type="dxa"/>
                  </w:tcMar>
                  <w:vAlign w:val="center"/>
                  <w:hideMark/>
                </w:tcPr>
                <w:p w:rsidR="001E6FB8" w:rsidRPr="00CB3A2C" w:rsidRDefault="001E6FB8" w:rsidP="001E6FB8">
                  <w:pPr>
                    <w:pStyle w:val="TableHeading"/>
                    <w:keepNext/>
                    <w:rPr>
                      <w:rFonts w:cs="Arial"/>
                      <w:b w:val="0"/>
                      <w:sz w:val="18"/>
                    </w:rPr>
                  </w:pPr>
                  <w:r w:rsidRPr="00CB3A2C">
                    <w:rPr>
                      <w:rFonts w:cs="Arial"/>
                      <w:b w:val="0"/>
                      <w:sz w:val="18"/>
                    </w:rPr>
                    <w:t xml:space="preserve">Telephone numbering revenue </w:t>
                  </w:r>
                </w:p>
              </w:tc>
              <w:tc>
                <w:tcPr>
                  <w:tcW w:w="2733" w:type="dxa"/>
                  <w:vAlign w:val="center"/>
                </w:tcPr>
                <w:p w:rsidR="001E6FB8" w:rsidRPr="00CB3A2C" w:rsidRDefault="001E6FB8" w:rsidP="001E6FB8">
                  <w:pPr>
                    <w:pStyle w:val="TableHeading"/>
                    <w:keepNext/>
                    <w:jc w:val="right"/>
                    <w:rPr>
                      <w:rFonts w:cs="Arial"/>
                      <w:b w:val="0"/>
                      <w:sz w:val="18"/>
                    </w:rPr>
                  </w:pPr>
                </w:p>
              </w:tc>
              <w:tc>
                <w:tcPr>
                  <w:tcW w:w="1921" w:type="dxa"/>
                  <w:vAlign w:val="center"/>
                </w:tcPr>
                <w:p w:rsidR="001E6FB8" w:rsidRPr="00CB3A2C" w:rsidRDefault="001E6FB8" w:rsidP="001E6FB8">
                  <w:pPr>
                    <w:pStyle w:val="TableHeading"/>
                    <w:keepNext/>
                    <w:ind w:right="95"/>
                    <w:jc w:val="right"/>
                    <w:rPr>
                      <w:rFonts w:cs="Arial"/>
                      <w:b w:val="0"/>
                      <w:sz w:val="18"/>
                    </w:rPr>
                  </w:pPr>
                </w:p>
              </w:tc>
            </w:tr>
            <w:tr w:rsidR="001E6FB8" w:rsidRPr="00CB3A2C" w:rsidTr="001E6FB8">
              <w:trPr>
                <w:trHeight w:val="284"/>
              </w:trPr>
              <w:tc>
                <w:tcPr>
                  <w:tcW w:w="4911" w:type="dxa"/>
                  <w:tcMar>
                    <w:top w:w="0" w:type="dxa"/>
                    <w:left w:w="113" w:type="dxa"/>
                    <w:bottom w:w="0" w:type="dxa"/>
                    <w:right w:w="0" w:type="dxa"/>
                  </w:tcMar>
                  <w:vAlign w:val="center"/>
                  <w:hideMark/>
                </w:tcPr>
                <w:p w:rsidR="001E6FB8" w:rsidRPr="00CB3A2C" w:rsidRDefault="001E6FB8" w:rsidP="001E6FB8">
                  <w:pPr>
                    <w:pStyle w:val="TableBody"/>
                    <w:keepNext/>
                    <w:tabs>
                      <w:tab w:val="left" w:pos="280"/>
                    </w:tabs>
                    <w:rPr>
                      <w:rFonts w:cs="Arial"/>
                      <w:b/>
                      <w:sz w:val="18"/>
                    </w:rPr>
                  </w:pPr>
                  <w:r w:rsidRPr="00CB3A2C">
                    <w:rPr>
                      <w:rFonts w:cs="Arial"/>
                      <w:sz w:val="18"/>
                    </w:rPr>
                    <w:tab/>
                    <w:t>Revenue from numbering</w:t>
                  </w:r>
                  <w:r w:rsidRPr="00CB3A2C">
                    <w:rPr>
                      <w:rFonts w:cs="Arial"/>
                      <w:sz w:val="18"/>
                      <w:vertAlign w:val="superscript"/>
                    </w:rPr>
                    <w:t xml:space="preserve"> </w:t>
                  </w:r>
                  <w:r w:rsidRPr="00CB3A2C">
                    <w:rPr>
                      <w:rFonts w:cs="Arial"/>
                      <w:sz w:val="18"/>
                    </w:rPr>
                    <w:t xml:space="preserve">auctions </w:t>
                  </w:r>
                </w:p>
              </w:tc>
              <w:tc>
                <w:tcPr>
                  <w:tcW w:w="2733" w:type="dxa"/>
                  <w:vAlign w:val="center"/>
                </w:tcPr>
                <w:p w:rsidR="001E6FB8" w:rsidRPr="00CB3A2C" w:rsidRDefault="001E6FB8" w:rsidP="001E6FB8">
                  <w:pPr>
                    <w:pStyle w:val="TableBody"/>
                    <w:keepNext/>
                    <w:ind w:right="100"/>
                    <w:jc w:val="right"/>
                    <w:rPr>
                      <w:rFonts w:cs="Arial"/>
                      <w:sz w:val="18"/>
                      <w:szCs w:val="20"/>
                    </w:rPr>
                  </w:pPr>
                  <w:r w:rsidRPr="00CB3A2C">
                    <w:rPr>
                      <w:rFonts w:cs="Arial"/>
                      <w:sz w:val="18"/>
                      <w:szCs w:val="20"/>
                    </w:rPr>
                    <w:t>1.74</w:t>
                  </w:r>
                </w:p>
              </w:tc>
              <w:tc>
                <w:tcPr>
                  <w:tcW w:w="1921" w:type="dxa"/>
                  <w:vAlign w:val="center"/>
                </w:tcPr>
                <w:p w:rsidR="001E6FB8" w:rsidRPr="00CB3A2C" w:rsidRDefault="001E6FB8" w:rsidP="001E6FB8">
                  <w:pPr>
                    <w:pStyle w:val="TableBody"/>
                    <w:keepNext/>
                    <w:ind w:right="95"/>
                    <w:jc w:val="right"/>
                    <w:rPr>
                      <w:rFonts w:cs="Arial"/>
                      <w:sz w:val="18"/>
                      <w:szCs w:val="20"/>
                    </w:rPr>
                  </w:pPr>
                  <w:r w:rsidRPr="00CB3A2C">
                    <w:rPr>
                      <w:rFonts w:cs="Arial"/>
                      <w:sz w:val="18"/>
                      <w:szCs w:val="20"/>
                    </w:rPr>
                    <w:t>1.66</w:t>
                  </w:r>
                </w:p>
              </w:tc>
            </w:tr>
            <w:tr w:rsidR="001E6FB8" w:rsidRPr="00CB3A2C" w:rsidTr="001E6FB8">
              <w:trPr>
                <w:trHeight w:val="284"/>
              </w:trPr>
              <w:tc>
                <w:tcPr>
                  <w:tcW w:w="4911" w:type="dxa"/>
                  <w:tcMar>
                    <w:top w:w="0" w:type="dxa"/>
                    <w:left w:w="113" w:type="dxa"/>
                    <w:bottom w:w="0" w:type="dxa"/>
                    <w:right w:w="0" w:type="dxa"/>
                  </w:tcMar>
                  <w:vAlign w:val="center"/>
                  <w:hideMark/>
                </w:tcPr>
                <w:p w:rsidR="001E6FB8" w:rsidRPr="00CB3A2C" w:rsidRDefault="001E6FB8" w:rsidP="001E6FB8">
                  <w:pPr>
                    <w:pStyle w:val="TableBody"/>
                    <w:keepNext/>
                    <w:tabs>
                      <w:tab w:val="left" w:pos="280"/>
                    </w:tabs>
                    <w:rPr>
                      <w:rFonts w:cs="Arial"/>
                      <w:sz w:val="18"/>
                    </w:rPr>
                  </w:pPr>
                  <w:r w:rsidRPr="00CB3A2C">
                    <w:rPr>
                      <w:rFonts w:cs="Arial"/>
                      <w:sz w:val="18"/>
                    </w:rPr>
                    <w:tab/>
                    <w:t>Revenue from annual numbering charge</w:t>
                  </w:r>
                </w:p>
              </w:tc>
              <w:tc>
                <w:tcPr>
                  <w:tcW w:w="2733" w:type="dxa"/>
                  <w:vAlign w:val="center"/>
                </w:tcPr>
                <w:p w:rsidR="001E6FB8" w:rsidRPr="00CB3A2C" w:rsidRDefault="001E6FB8" w:rsidP="001E6FB8">
                  <w:pPr>
                    <w:pStyle w:val="TableBody"/>
                    <w:keepNext/>
                    <w:ind w:right="100"/>
                    <w:jc w:val="right"/>
                    <w:rPr>
                      <w:rFonts w:cs="Arial"/>
                      <w:sz w:val="18"/>
                      <w:szCs w:val="20"/>
                    </w:rPr>
                  </w:pPr>
                  <w:r w:rsidRPr="00CB3A2C">
                    <w:rPr>
                      <w:rFonts w:cs="Arial"/>
                      <w:sz w:val="18"/>
                    </w:rPr>
                    <w:t>60.00</w:t>
                  </w:r>
                </w:p>
              </w:tc>
              <w:tc>
                <w:tcPr>
                  <w:tcW w:w="1921" w:type="dxa"/>
                  <w:vAlign w:val="center"/>
                </w:tcPr>
                <w:p w:rsidR="001E6FB8" w:rsidRPr="00CB3A2C" w:rsidRDefault="001E6FB8" w:rsidP="001E6FB8">
                  <w:pPr>
                    <w:pStyle w:val="TableBody"/>
                    <w:keepNext/>
                    <w:ind w:right="95"/>
                    <w:jc w:val="right"/>
                    <w:rPr>
                      <w:rFonts w:cs="Arial"/>
                      <w:sz w:val="18"/>
                      <w:szCs w:val="20"/>
                    </w:rPr>
                  </w:pPr>
                  <w:r w:rsidRPr="00CB3A2C">
                    <w:rPr>
                      <w:rFonts w:cs="Arial"/>
                      <w:sz w:val="18"/>
                      <w:szCs w:val="20"/>
                    </w:rPr>
                    <w:t>60.00</w:t>
                  </w:r>
                </w:p>
              </w:tc>
            </w:tr>
            <w:tr w:rsidR="001E6FB8" w:rsidRPr="00CB3A2C" w:rsidTr="001E6FB8">
              <w:trPr>
                <w:trHeight w:val="284"/>
              </w:trPr>
              <w:tc>
                <w:tcPr>
                  <w:tcW w:w="4911" w:type="dxa"/>
                  <w:tcMar>
                    <w:top w:w="0" w:type="dxa"/>
                    <w:left w:w="113" w:type="dxa"/>
                    <w:bottom w:w="0" w:type="dxa"/>
                    <w:right w:w="0" w:type="dxa"/>
                  </w:tcMar>
                  <w:vAlign w:val="center"/>
                  <w:hideMark/>
                </w:tcPr>
                <w:p w:rsidR="001E6FB8" w:rsidRPr="00CB3A2C" w:rsidRDefault="001E6FB8" w:rsidP="001E6FB8">
                  <w:pPr>
                    <w:pStyle w:val="TableBody"/>
                    <w:keepNext/>
                    <w:rPr>
                      <w:rFonts w:cs="Arial"/>
                      <w:sz w:val="18"/>
                    </w:rPr>
                  </w:pPr>
                  <w:r w:rsidRPr="00CB3A2C">
                    <w:rPr>
                      <w:rFonts w:cs="Arial"/>
                      <w:sz w:val="18"/>
                    </w:rPr>
                    <w:t xml:space="preserve">Broadcasting licence fees and </w:t>
                  </w:r>
                  <w:proofErr w:type="spellStart"/>
                  <w:r w:rsidRPr="00CB3A2C">
                    <w:rPr>
                      <w:rFonts w:cs="Arial"/>
                      <w:sz w:val="18"/>
                    </w:rPr>
                    <w:t>datacasting</w:t>
                  </w:r>
                  <w:proofErr w:type="spellEnd"/>
                  <w:r w:rsidRPr="00CB3A2C">
                    <w:rPr>
                      <w:rFonts w:cs="Arial"/>
                      <w:sz w:val="18"/>
                    </w:rPr>
                    <w:t xml:space="preserve"> charge</w:t>
                  </w:r>
                </w:p>
              </w:tc>
              <w:tc>
                <w:tcPr>
                  <w:tcW w:w="2733" w:type="dxa"/>
                  <w:vAlign w:val="center"/>
                </w:tcPr>
                <w:p w:rsidR="001E6FB8" w:rsidRPr="00CB3A2C" w:rsidRDefault="001E6FB8" w:rsidP="001E6FB8">
                  <w:pPr>
                    <w:pStyle w:val="TableBody"/>
                    <w:keepNext/>
                    <w:ind w:right="100"/>
                    <w:jc w:val="right"/>
                    <w:rPr>
                      <w:rFonts w:cs="Arial"/>
                      <w:sz w:val="18"/>
                      <w:szCs w:val="20"/>
                    </w:rPr>
                  </w:pPr>
                  <w:r w:rsidRPr="00CB3A2C">
                    <w:rPr>
                      <w:rFonts w:cs="Arial"/>
                      <w:sz w:val="18"/>
                    </w:rPr>
                    <w:t>231.19</w:t>
                  </w:r>
                </w:p>
              </w:tc>
              <w:tc>
                <w:tcPr>
                  <w:tcW w:w="1921" w:type="dxa"/>
                  <w:vAlign w:val="center"/>
                </w:tcPr>
                <w:p w:rsidR="001E6FB8" w:rsidRPr="00CB3A2C" w:rsidRDefault="001E6FB8" w:rsidP="001E6FB8">
                  <w:pPr>
                    <w:pStyle w:val="TableBody"/>
                    <w:keepNext/>
                    <w:ind w:right="95"/>
                    <w:jc w:val="right"/>
                    <w:rPr>
                      <w:rFonts w:cs="Arial"/>
                      <w:sz w:val="18"/>
                      <w:szCs w:val="20"/>
                    </w:rPr>
                  </w:pPr>
                  <w:r w:rsidRPr="00CB3A2C">
                    <w:rPr>
                      <w:rFonts w:cs="Arial"/>
                      <w:sz w:val="18"/>
                      <w:szCs w:val="20"/>
                    </w:rPr>
                    <w:t>167.39</w:t>
                  </w:r>
                  <w:r w:rsidRPr="00CB3A2C">
                    <w:rPr>
                      <w:rFonts w:cs="Arial"/>
                      <w:sz w:val="18"/>
                      <w:vertAlign w:val="superscript"/>
                    </w:rPr>
                    <w:t>†</w:t>
                  </w:r>
                </w:p>
              </w:tc>
            </w:tr>
          </w:tbl>
          <w:p w:rsidR="001E6FB8" w:rsidRDefault="001E6FB8" w:rsidP="001E6FB8">
            <w:pPr>
              <w:keepNext/>
            </w:pPr>
          </w:p>
        </w:tc>
      </w:tr>
      <w:tr w:rsidR="001E6FB8" w:rsidTr="001E6FB8">
        <w:trPr>
          <w:trHeight w:val="291"/>
        </w:trPr>
        <w:tc>
          <w:tcPr>
            <w:tcW w:w="9645" w:type="dxa"/>
            <w:tcBorders>
              <w:bottom w:val="single" w:sz="2" w:space="0" w:color="505050"/>
            </w:tcBorders>
            <w:shd w:val="clear" w:color="auto" w:fill="auto"/>
          </w:tcPr>
          <w:p w:rsidR="001E6FB8" w:rsidRDefault="001E6FB8" w:rsidP="001E6FB8">
            <w:pPr>
              <w:keepNext/>
              <w:spacing w:before="120" w:line="240" w:lineRule="auto"/>
              <w:rPr>
                <w:rFonts w:cs="Arial"/>
                <w:i/>
                <w:iCs/>
                <w:sz w:val="16"/>
                <w:szCs w:val="16"/>
              </w:rPr>
            </w:pPr>
            <w:r>
              <w:rPr>
                <w:rFonts w:cs="Arial"/>
                <w:i/>
                <w:iCs/>
                <w:sz w:val="16"/>
                <w:szCs w:val="16"/>
              </w:rPr>
              <w:t>*</w:t>
            </w:r>
            <w:r w:rsidRPr="00592696">
              <w:rPr>
                <w:rFonts w:cs="Arial"/>
                <w:i/>
                <w:iCs/>
                <w:sz w:val="16"/>
                <w:szCs w:val="16"/>
              </w:rPr>
              <w:t>Does not include revenue obtained from the digital dividend spectrum auctions.</w:t>
            </w:r>
          </w:p>
          <w:p w:rsidR="001E6FB8" w:rsidRPr="00A21A25" w:rsidRDefault="001E6FB8" w:rsidP="001E6FB8">
            <w:pPr>
              <w:keepNext/>
              <w:spacing w:line="240" w:lineRule="auto"/>
              <w:rPr>
                <w:rFonts w:cs="Arial"/>
                <w:i/>
                <w:iCs/>
                <w:sz w:val="16"/>
                <w:szCs w:val="16"/>
              </w:rPr>
            </w:pPr>
            <w:r w:rsidRPr="00592696">
              <w:rPr>
                <w:rFonts w:cs="Arial"/>
                <w:i/>
                <w:iCs/>
                <w:sz w:val="16"/>
                <w:szCs w:val="16"/>
                <w:vertAlign w:val="superscript"/>
              </w:rPr>
              <w:t>§</w:t>
            </w:r>
            <w:r>
              <w:rPr>
                <w:rFonts w:cs="Arial"/>
                <w:i/>
                <w:iCs/>
                <w:sz w:val="16"/>
                <w:szCs w:val="16"/>
              </w:rPr>
              <w:t>E</w:t>
            </w:r>
            <w:r w:rsidRPr="00A21A25">
              <w:rPr>
                <w:rFonts w:cs="Arial"/>
                <w:i/>
                <w:iCs/>
                <w:sz w:val="16"/>
                <w:szCs w:val="16"/>
              </w:rPr>
              <w:t>xcludes pre-paid amounts covering licensing periods outside the financial year.</w:t>
            </w:r>
          </w:p>
          <w:p w:rsidR="001E6FB8" w:rsidRDefault="001E6FB8" w:rsidP="001E6FB8">
            <w:pPr>
              <w:keepNext/>
              <w:spacing w:after="60" w:line="240" w:lineRule="auto"/>
            </w:pPr>
            <w:r w:rsidRPr="00CB3A2C">
              <w:rPr>
                <w:rFonts w:cs="Arial"/>
                <w:sz w:val="18"/>
                <w:vertAlign w:val="superscript"/>
              </w:rPr>
              <w:t>†</w:t>
            </w:r>
            <w:r>
              <w:rPr>
                <w:rFonts w:cs="Arial"/>
                <w:i/>
                <w:iCs/>
                <w:sz w:val="16"/>
                <w:szCs w:val="16"/>
              </w:rPr>
              <w:t xml:space="preserve">The </w:t>
            </w:r>
            <w:r w:rsidRPr="00DE00F7">
              <w:rPr>
                <w:rFonts w:cs="Arial"/>
                <w:i/>
                <w:iCs/>
                <w:sz w:val="16"/>
                <w:szCs w:val="16"/>
              </w:rPr>
              <w:t>decline in revenue is a result of a reduc</w:t>
            </w:r>
            <w:r>
              <w:rPr>
                <w:rFonts w:cs="Arial"/>
                <w:i/>
                <w:iCs/>
                <w:sz w:val="16"/>
                <w:szCs w:val="16"/>
              </w:rPr>
              <w:t>tion in the</w:t>
            </w:r>
            <w:r w:rsidRPr="00DE00F7">
              <w:rPr>
                <w:rFonts w:cs="Arial"/>
                <w:i/>
                <w:iCs/>
                <w:sz w:val="16"/>
                <w:szCs w:val="16"/>
              </w:rPr>
              <w:t xml:space="preserve"> broadcasting licence renewal fee.</w:t>
            </w:r>
          </w:p>
        </w:tc>
      </w:tr>
    </w:tbl>
    <w:p w:rsidR="001E6FB8" w:rsidRDefault="001E6FB8" w:rsidP="001E6FB8"/>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947322" w:rsidRDefault="001E6FB8" w:rsidP="001E6FB8">
            <w:pPr>
              <w:pStyle w:val="Caption"/>
              <w:rPr>
                <w:color w:val="00709E"/>
              </w:rPr>
            </w:pPr>
            <w:r w:rsidRPr="00947322">
              <w:rPr>
                <w:rFonts w:cs="Arial"/>
                <w:color w:val="00709E"/>
              </w:rPr>
              <w:t>Telecommunications revenue</w:t>
            </w:r>
          </w:p>
        </w:tc>
      </w:tr>
      <w:tr w:rsidR="001E6FB8" w:rsidTr="001E6FB8">
        <w:trPr>
          <w:trHeight w:val="962"/>
        </w:trPr>
        <w:tc>
          <w:tcPr>
            <w:tcW w:w="9645" w:type="dxa"/>
            <w:shd w:val="clear" w:color="auto" w:fill="auto"/>
            <w:tcMar>
              <w:left w:w="28" w:type="dxa"/>
            </w:tcMar>
          </w:tcPr>
          <w:tbl>
            <w:tblPr>
              <w:tblW w:w="9545"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4050"/>
              <w:gridCol w:w="1099"/>
              <w:gridCol w:w="1099"/>
              <w:gridCol w:w="1099"/>
              <w:gridCol w:w="1099"/>
              <w:gridCol w:w="1099"/>
            </w:tblGrid>
            <w:tr w:rsidR="001E6FB8" w:rsidRPr="00CB3A2C" w:rsidTr="001E6FB8">
              <w:trPr>
                <w:trHeight w:val="284"/>
              </w:trPr>
              <w:tc>
                <w:tcPr>
                  <w:tcW w:w="4050" w:type="dxa"/>
                  <w:tcBorders>
                    <w:bottom w:val="single" w:sz="4" w:space="0" w:color="C8C8C8"/>
                  </w:tcBorders>
                  <w:shd w:val="clear" w:color="auto" w:fill="00709E"/>
                  <w:tcMar>
                    <w:top w:w="34" w:type="dxa"/>
                    <w:left w:w="113" w:type="dxa"/>
                    <w:bottom w:w="0" w:type="dxa"/>
                    <w:right w:w="0" w:type="dxa"/>
                  </w:tcMar>
                </w:tcPr>
                <w:p w:rsidR="001E6FB8" w:rsidRPr="00CB3A2C" w:rsidRDefault="001E6FB8" w:rsidP="001E6FB8">
                  <w:pPr>
                    <w:pStyle w:val="TableHeading"/>
                    <w:rPr>
                      <w:rFonts w:cs="Arial"/>
                      <w:color w:val="FFFFFF" w:themeColor="background1"/>
                      <w:sz w:val="18"/>
                    </w:rPr>
                  </w:pPr>
                </w:p>
              </w:tc>
              <w:tc>
                <w:tcPr>
                  <w:tcW w:w="1099" w:type="dxa"/>
                  <w:tcBorders>
                    <w:bottom w:val="single" w:sz="4" w:space="0" w:color="C8C8C8"/>
                  </w:tcBorders>
                  <w:shd w:val="clear" w:color="auto" w:fill="00709E"/>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2008–09</w:t>
                  </w:r>
                </w:p>
              </w:tc>
              <w:tc>
                <w:tcPr>
                  <w:tcW w:w="1099" w:type="dxa"/>
                  <w:tcBorders>
                    <w:bottom w:val="single" w:sz="4" w:space="0" w:color="C8C8C8"/>
                  </w:tcBorders>
                  <w:shd w:val="clear" w:color="auto" w:fill="00709E"/>
                </w:tcPr>
                <w:p w:rsidR="001E6FB8" w:rsidRPr="00CB3A2C" w:rsidRDefault="001E6FB8" w:rsidP="001E6FB8">
                  <w:pPr>
                    <w:pStyle w:val="TableHeading"/>
                    <w:ind w:right="115"/>
                    <w:jc w:val="right"/>
                    <w:rPr>
                      <w:rFonts w:cs="Arial"/>
                      <w:color w:val="FFFFFF" w:themeColor="background1"/>
                      <w:sz w:val="18"/>
                    </w:rPr>
                  </w:pPr>
                  <w:r w:rsidRPr="00CB3A2C">
                    <w:rPr>
                      <w:rFonts w:cs="Arial"/>
                      <w:color w:val="FFFFFF" w:themeColor="background1"/>
                      <w:sz w:val="18"/>
                    </w:rPr>
                    <w:t>2009–10</w:t>
                  </w:r>
                </w:p>
              </w:tc>
              <w:tc>
                <w:tcPr>
                  <w:tcW w:w="1099" w:type="dxa"/>
                  <w:tcBorders>
                    <w:bottom w:val="single" w:sz="4" w:space="0" w:color="C8C8C8"/>
                  </w:tcBorders>
                  <w:shd w:val="clear" w:color="auto" w:fill="00709E"/>
                </w:tcPr>
                <w:p w:rsidR="001E6FB8" w:rsidRPr="00CB3A2C" w:rsidRDefault="001E6FB8" w:rsidP="001E6FB8">
                  <w:pPr>
                    <w:pStyle w:val="TableHeading"/>
                    <w:ind w:right="80"/>
                    <w:jc w:val="right"/>
                    <w:rPr>
                      <w:rFonts w:cs="Arial"/>
                      <w:color w:val="FFFFFF" w:themeColor="background1"/>
                      <w:sz w:val="18"/>
                    </w:rPr>
                  </w:pPr>
                  <w:r w:rsidRPr="00CB3A2C">
                    <w:rPr>
                      <w:rFonts w:cs="Arial"/>
                      <w:color w:val="FFFFFF" w:themeColor="background1"/>
                      <w:sz w:val="18"/>
                    </w:rPr>
                    <w:t xml:space="preserve"> 2010–11</w:t>
                  </w:r>
                </w:p>
              </w:tc>
              <w:tc>
                <w:tcPr>
                  <w:tcW w:w="1099" w:type="dxa"/>
                  <w:tcBorders>
                    <w:bottom w:val="single" w:sz="4" w:space="0" w:color="C8C8C8"/>
                  </w:tcBorders>
                  <w:shd w:val="clear" w:color="auto" w:fill="00709E"/>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2011–12</w:t>
                  </w:r>
                </w:p>
              </w:tc>
              <w:tc>
                <w:tcPr>
                  <w:tcW w:w="1099" w:type="dxa"/>
                  <w:tcBorders>
                    <w:bottom w:val="single" w:sz="4" w:space="0" w:color="C8C8C8"/>
                  </w:tcBorders>
                  <w:shd w:val="clear" w:color="auto" w:fill="00709E"/>
                </w:tcPr>
                <w:p w:rsidR="001E6FB8" w:rsidRPr="00CB3A2C" w:rsidRDefault="001E6FB8" w:rsidP="001E6FB8">
                  <w:pPr>
                    <w:pStyle w:val="TableHeading"/>
                    <w:ind w:right="150"/>
                    <w:jc w:val="right"/>
                    <w:rPr>
                      <w:rFonts w:cs="Arial"/>
                      <w:color w:val="FFFFFF" w:themeColor="background1"/>
                      <w:sz w:val="18"/>
                    </w:rPr>
                  </w:pPr>
                  <w:r w:rsidRPr="00CB3A2C">
                    <w:rPr>
                      <w:rFonts w:cs="Arial"/>
                      <w:color w:val="FFFFFF" w:themeColor="background1"/>
                      <w:sz w:val="18"/>
                    </w:rPr>
                    <w:t>2012–13</w:t>
                  </w:r>
                </w:p>
              </w:tc>
            </w:tr>
            <w:tr w:rsidR="001E6FB8" w:rsidRPr="00CB3A2C" w:rsidTr="001E6FB8">
              <w:trPr>
                <w:trHeight w:val="284"/>
              </w:trPr>
              <w:tc>
                <w:tcPr>
                  <w:tcW w:w="4050" w:type="dxa"/>
                  <w:shd w:val="clear" w:color="auto" w:fill="auto"/>
                  <w:tcMar>
                    <w:top w:w="0" w:type="dxa"/>
                    <w:left w:w="113" w:type="dxa"/>
                    <w:bottom w:w="0" w:type="dxa"/>
                    <w:right w:w="0" w:type="dxa"/>
                  </w:tcMar>
                  <w:vAlign w:val="center"/>
                  <w:hideMark/>
                </w:tcPr>
                <w:p w:rsidR="001E6FB8" w:rsidRPr="00CB3A2C" w:rsidRDefault="001E6FB8" w:rsidP="001E6FB8">
                  <w:pPr>
                    <w:pStyle w:val="TableBody"/>
                    <w:rPr>
                      <w:rFonts w:cs="Arial"/>
                      <w:sz w:val="18"/>
                      <w:lang w:val="en-US"/>
                    </w:rPr>
                  </w:pPr>
                  <w:r w:rsidRPr="00CB3A2C">
                    <w:rPr>
                      <w:rFonts w:cs="Arial"/>
                      <w:sz w:val="18"/>
                      <w:lang w:val="en-US"/>
                    </w:rPr>
                    <w:t>Total eligible revenue of carriers</w:t>
                  </w:r>
                </w:p>
              </w:tc>
              <w:tc>
                <w:tcPr>
                  <w:tcW w:w="1099" w:type="dxa"/>
                  <w:shd w:val="clear" w:color="auto" w:fill="auto"/>
                  <w:vAlign w:val="center"/>
                </w:tcPr>
                <w:p w:rsidR="001E6FB8" w:rsidRPr="00CB3A2C" w:rsidRDefault="001E6FB8" w:rsidP="001E6FB8">
                  <w:pPr>
                    <w:pStyle w:val="TableBody"/>
                    <w:ind w:right="150"/>
                    <w:jc w:val="right"/>
                    <w:rPr>
                      <w:rFonts w:cs="Arial"/>
                      <w:sz w:val="18"/>
                    </w:rPr>
                  </w:pPr>
                  <w:r w:rsidRPr="00CB3A2C">
                    <w:rPr>
                      <w:rFonts w:cs="Arial"/>
                      <w:sz w:val="18"/>
                    </w:rPr>
                    <w:t>$28.1 b</w:t>
                  </w:r>
                </w:p>
              </w:tc>
              <w:tc>
                <w:tcPr>
                  <w:tcW w:w="1099" w:type="dxa"/>
                  <w:shd w:val="clear" w:color="auto" w:fill="auto"/>
                  <w:vAlign w:val="center"/>
                </w:tcPr>
                <w:p w:rsidR="001E6FB8" w:rsidRPr="00CB3A2C" w:rsidRDefault="001E6FB8" w:rsidP="001E6FB8">
                  <w:pPr>
                    <w:pStyle w:val="TableBody"/>
                    <w:ind w:right="150"/>
                    <w:jc w:val="right"/>
                    <w:rPr>
                      <w:rFonts w:cs="Arial"/>
                      <w:sz w:val="18"/>
                    </w:rPr>
                  </w:pPr>
                  <w:r w:rsidRPr="00CB3A2C">
                    <w:rPr>
                      <w:rFonts w:cs="Arial"/>
                      <w:sz w:val="18"/>
                    </w:rPr>
                    <w:t>$28.6 b</w:t>
                  </w:r>
                </w:p>
              </w:tc>
              <w:tc>
                <w:tcPr>
                  <w:tcW w:w="1099" w:type="dxa"/>
                  <w:shd w:val="clear" w:color="auto" w:fill="auto"/>
                  <w:vAlign w:val="center"/>
                </w:tcPr>
                <w:p w:rsidR="001E6FB8" w:rsidRPr="00CB3A2C" w:rsidRDefault="001E6FB8" w:rsidP="001E6FB8">
                  <w:pPr>
                    <w:pStyle w:val="TableBody"/>
                    <w:ind w:right="150"/>
                    <w:jc w:val="right"/>
                    <w:rPr>
                      <w:rFonts w:cs="Arial"/>
                      <w:sz w:val="18"/>
                    </w:rPr>
                  </w:pPr>
                  <w:r w:rsidRPr="00CB3A2C">
                    <w:rPr>
                      <w:rFonts w:cs="Arial"/>
                      <w:sz w:val="18"/>
                    </w:rPr>
                    <w:t>$28.8</w:t>
                  </w:r>
                  <w:r>
                    <w:rPr>
                      <w:rFonts w:cs="Arial"/>
                      <w:sz w:val="18"/>
                    </w:rPr>
                    <w:t xml:space="preserve"> </w:t>
                  </w:r>
                  <w:r w:rsidRPr="00CB3A2C">
                    <w:rPr>
                      <w:rFonts w:cs="Arial"/>
                      <w:sz w:val="18"/>
                    </w:rPr>
                    <w:t>b</w:t>
                  </w:r>
                </w:p>
              </w:tc>
              <w:tc>
                <w:tcPr>
                  <w:tcW w:w="1099" w:type="dxa"/>
                  <w:shd w:val="clear" w:color="auto" w:fill="auto"/>
                  <w:vAlign w:val="center"/>
                </w:tcPr>
                <w:p w:rsidR="001E6FB8" w:rsidRPr="00CB3A2C" w:rsidRDefault="001E6FB8" w:rsidP="001E6FB8">
                  <w:pPr>
                    <w:pStyle w:val="TableBody"/>
                    <w:ind w:right="150"/>
                    <w:jc w:val="right"/>
                    <w:rPr>
                      <w:rFonts w:cs="Arial"/>
                      <w:sz w:val="18"/>
                    </w:rPr>
                  </w:pPr>
                  <w:r w:rsidRPr="00CB3A2C">
                    <w:rPr>
                      <w:rFonts w:cs="Arial"/>
                      <w:sz w:val="18"/>
                    </w:rPr>
                    <w:t>$28.6</w:t>
                  </w:r>
                  <w:r>
                    <w:rPr>
                      <w:rFonts w:cs="Arial"/>
                      <w:sz w:val="18"/>
                    </w:rPr>
                    <w:t xml:space="preserve"> </w:t>
                  </w:r>
                  <w:r w:rsidRPr="00CB3A2C">
                    <w:rPr>
                      <w:rFonts w:cs="Arial"/>
                      <w:sz w:val="18"/>
                    </w:rPr>
                    <w:t>b</w:t>
                  </w:r>
                </w:p>
              </w:tc>
              <w:tc>
                <w:tcPr>
                  <w:tcW w:w="1099" w:type="dxa"/>
                  <w:shd w:val="clear" w:color="auto" w:fill="auto"/>
                  <w:vAlign w:val="center"/>
                </w:tcPr>
                <w:p w:rsidR="001E6FB8" w:rsidRPr="00CB3A2C" w:rsidRDefault="001E6FB8" w:rsidP="001E6FB8">
                  <w:pPr>
                    <w:pStyle w:val="TableBody"/>
                    <w:ind w:right="150"/>
                    <w:jc w:val="right"/>
                    <w:rPr>
                      <w:rFonts w:cs="Arial"/>
                      <w:sz w:val="18"/>
                    </w:rPr>
                  </w:pPr>
                  <w:r w:rsidRPr="00CB3A2C">
                    <w:rPr>
                      <w:rFonts w:cs="Arial"/>
                      <w:sz w:val="18"/>
                    </w:rPr>
                    <w:t>n/a</w:t>
                  </w:r>
                </w:p>
              </w:tc>
            </w:tr>
            <w:tr w:rsidR="001E6FB8" w:rsidRPr="00CB3A2C" w:rsidTr="001E6FB8">
              <w:trPr>
                <w:trHeight w:val="284"/>
              </w:trPr>
              <w:tc>
                <w:tcPr>
                  <w:tcW w:w="4050" w:type="dxa"/>
                  <w:tcMar>
                    <w:top w:w="0" w:type="dxa"/>
                    <w:left w:w="113" w:type="dxa"/>
                    <w:bottom w:w="0" w:type="dxa"/>
                    <w:right w:w="0" w:type="dxa"/>
                  </w:tcMar>
                  <w:vAlign w:val="center"/>
                  <w:hideMark/>
                </w:tcPr>
                <w:p w:rsidR="001E6FB8" w:rsidRPr="00CB3A2C" w:rsidRDefault="001E6FB8" w:rsidP="001E6FB8">
                  <w:pPr>
                    <w:pStyle w:val="TableBody"/>
                    <w:rPr>
                      <w:rFonts w:cs="Arial"/>
                      <w:sz w:val="18"/>
                      <w:lang w:val="en-US"/>
                    </w:rPr>
                  </w:pPr>
                  <w:r w:rsidRPr="00CB3A2C">
                    <w:rPr>
                      <w:rFonts w:cs="Arial"/>
                      <w:sz w:val="18"/>
                      <w:lang w:val="en-US"/>
                    </w:rPr>
                    <w:t xml:space="preserve">Annual carrier </w:t>
                  </w:r>
                  <w:proofErr w:type="spellStart"/>
                  <w:r w:rsidRPr="00CB3A2C">
                    <w:rPr>
                      <w:rFonts w:cs="Arial"/>
                      <w:sz w:val="18"/>
                      <w:lang w:val="en-US"/>
                    </w:rPr>
                    <w:t>licence</w:t>
                  </w:r>
                  <w:proofErr w:type="spellEnd"/>
                  <w:r w:rsidRPr="00CB3A2C">
                    <w:rPr>
                      <w:rFonts w:cs="Arial"/>
                      <w:sz w:val="18"/>
                      <w:lang w:val="en-US"/>
                    </w:rPr>
                    <w:t xml:space="preserve"> charge </w:t>
                  </w:r>
                </w:p>
              </w:tc>
              <w:tc>
                <w:tcPr>
                  <w:tcW w:w="1099" w:type="dxa"/>
                  <w:vAlign w:val="center"/>
                </w:tcPr>
                <w:p w:rsidR="001E6FB8" w:rsidRPr="00CB3A2C" w:rsidRDefault="001E6FB8" w:rsidP="001E6FB8">
                  <w:pPr>
                    <w:pStyle w:val="TableBody"/>
                    <w:ind w:right="150"/>
                    <w:jc w:val="right"/>
                    <w:rPr>
                      <w:rFonts w:cs="Arial"/>
                      <w:sz w:val="18"/>
                    </w:rPr>
                  </w:pPr>
                  <w:r w:rsidRPr="00CB3A2C">
                    <w:rPr>
                      <w:rFonts w:cs="Arial"/>
                      <w:sz w:val="18"/>
                    </w:rPr>
                    <w:t>$36.21 m</w:t>
                  </w:r>
                </w:p>
              </w:tc>
              <w:tc>
                <w:tcPr>
                  <w:tcW w:w="1099" w:type="dxa"/>
                  <w:vAlign w:val="center"/>
                </w:tcPr>
                <w:p w:rsidR="001E6FB8" w:rsidRPr="00CB3A2C" w:rsidRDefault="001E6FB8" w:rsidP="001E6FB8">
                  <w:pPr>
                    <w:pStyle w:val="TableBody"/>
                    <w:ind w:right="150"/>
                    <w:jc w:val="right"/>
                    <w:rPr>
                      <w:rFonts w:cs="Arial"/>
                      <w:sz w:val="18"/>
                    </w:rPr>
                  </w:pPr>
                  <w:r w:rsidRPr="00CB3A2C">
                    <w:rPr>
                      <w:rFonts w:cs="Arial"/>
                      <w:sz w:val="18"/>
                    </w:rPr>
                    <w:t>$39.55 m</w:t>
                  </w:r>
                </w:p>
              </w:tc>
              <w:tc>
                <w:tcPr>
                  <w:tcW w:w="1099" w:type="dxa"/>
                  <w:vAlign w:val="center"/>
                </w:tcPr>
                <w:p w:rsidR="001E6FB8" w:rsidRPr="00CB3A2C" w:rsidRDefault="001E6FB8" w:rsidP="001E6FB8">
                  <w:pPr>
                    <w:pStyle w:val="TableBody"/>
                    <w:ind w:right="150"/>
                    <w:jc w:val="right"/>
                    <w:rPr>
                      <w:rFonts w:cs="Arial"/>
                      <w:sz w:val="18"/>
                    </w:rPr>
                  </w:pPr>
                  <w:r w:rsidRPr="00CB3A2C">
                    <w:rPr>
                      <w:rFonts w:cs="Arial"/>
                      <w:sz w:val="18"/>
                    </w:rPr>
                    <w:t>$37.70 m</w:t>
                  </w:r>
                </w:p>
              </w:tc>
              <w:tc>
                <w:tcPr>
                  <w:tcW w:w="1099" w:type="dxa"/>
                  <w:vAlign w:val="center"/>
                </w:tcPr>
                <w:p w:rsidR="001E6FB8" w:rsidRPr="00CB3A2C" w:rsidRDefault="001E6FB8" w:rsidP="001E6FB8">
                  <w:pPr>
                    <w:pStyle w:val="TableBody"/>
                    <w:ind w:right="150"/>
                    <w:jc w:val="right"/>
                    <w:rPr>
                      <w:rFonts w:cs="Arial"/>
                      <w:sz w:val="18"/>
                    </w:rPr>
                  </w:pPr>
                  <w:r w:rsidRPr="00CB3A2C">
                    <w:rPr>
                      <w:rFonts w:cs="Arial"/>
                      <w:sz w:val="18"/>
                    </w:rPr>
                    <w:t>$38.05 m</w:t>
                  </w:r>
                </w:p>
              </w:tc>
              <w:tc>
                <w:tcPr>
                  <w:tcW w:w="1099" w:type="dxa"/>
                  <w:vAlign w:val="center"/>
                </w:tcPr>
                <w:p w:rsidR="001E6FB8" w:rsidRPr="00CB3A2C" w:rsidRDefault="001E6FB8" w:rsidP="001E6FB8">
                  <w:pPr>
                    <w:pStyle w:val="TableBody"/>
                    <w:ind w:right="150"/>
                    <w:jc w:val="right"/>
                    <w:rPr>
                      <w:rFonts w:cs="Arial"/>
                      <w:sz w:val="18"/>
                    </w:rPr>
                  </w:pPr>
                  <w:r w:rsidRPr="00CB3A2C">
                    <w:rPr>
                      <w:rFonts w:cs="Arial"/>
                      <w:sz w:val="18"/>
                    </w:rPr>
                    <w:t>$38.89 m</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60" w:line="240" w:lineRule="auto"/>
              <w:rPr>
                <w:rFonts w:cs="Arial"/>
                <w:i/>
                <w:iCs/>
                <w:sz w:val="16"/>
                <w:szCs w:val="16"/>
              </w:rPr>
            </w:pPr>
            <w:r w:rsidRPr="00CB3A2C">
              <w:rPr>
                <w:rFonts w:cs="Arial"/>
                <w:i/>
                <w:iCs/>
                <w:sz w:val="16"/>
                <w:szCs w:val="16"/>
              </w:rPr>
              <w:t>b=billion. m=million.</w:t>
            </w:r>
          </w:p>
          <w:p w:rsidR="001E6FB8" w:rsidRPr="00A8565C" w:rsidRDefault="001E6FB8" w:rsidP="001E6FB8">
            <w:pPr>
              <w:spacing w:after="60" w:line="240" w:lineRule="auto"/>
              <w:rPr>
                <w:rFonts w:cs="Arial"/>
                <w:i/>
                <w:iCs/>
                <w:sz w:val="16"/>
                <w:szCs w:val="16"/>
              </w:rPr>
            </w:pPr>
            <w:r w:rsidRPr="001330D5">
              <w:rPr>
                <w:rFonts w:cs="Arial"/>
                <w:i/>
                <w:iCs/>
                <w:sz w:val="16"/>
                <w:szCs w:val="16"/>
              </w:rPr>
              <w:t>n/a=not available. This data is not available until 2013–14.</w:t>
            </w:r>
          </w:p>
        </w:tc>
      </w:tr>
    </w:tbl>
    <w:p w:rsidR="001E6FB8" w:rsidRDefault="001E6FB8" w:rsidP="001E6FB8">
      <w:pPr>
        <w:rPr>
          <w:rFonts w:cs="Arial"/>
        </w:rPr>
      </w:pPr>
    </w:p>
    <w:p w:rsidR="001E6FB8" w:rsidRDefault="001E6FB8" w:rsidP="001E6FB8">
      <w:pPr>
        <w:rPr>
          <w:rFonts w:cs="Arial"/>
        </w:rPr>
      </w:pPr>
    </w:p>
    <w:p w:rsidR="001E6FB8" w:rsidRDefault="001E6FB8" w:rsidP="001E6FB8">
      <w:pPr>
        <w:rPr>
          <w:rFonts w:cs="Arial"/>
        </w:rPr>
        <w:sectPr w:rsidR="001E6FB8" w:rsidSect="00A651A8">
          <w:headerReference w:type="even" r:id="rId31"/>
          <w:headerReference w:type="default" r:id="rId32"/>
          <w:footerReference w:type="even" r:id="rId33"/>
          <w:footerReference w:type="default" r:id="rId34"/>
          <w:endnotePr>
            <w:numFmt w:val="decimal"/>
            <w:numRestart w:val="eachSect"/>
          </w:endnotePr>
          <w:pgSz w:w="11906" w:h="16838" w:code="9"/>
          <w:pgMar w:top="1418" w:right="3101" w:bottom="709" w:left="1134" w:header="709" w:footer="119" w:gutter="0"/>
          <w:pgNumType w:start="1"/>
          <w:cols w:space="708"/>
          <w:docGrid w:linePitch="360"/>
        </w:sectPr>
      </w:pPr>
    </w:p>
    <w:p w:rsidR="001E6FB8" w:rsidRPr="00E141F1" w:rsidRDefault="001E6FB8" w:rsidP="001E6FB8">
      <w:pPr>
        <w:pStyle w:val="Heading1"/>
      </w:pPr>
      <w:bookmarkStart w:id="101" w:name="_Toc312157075"/>
      <w:bookmarkStart w:id="102" w:name="_Toc371588974"/>
      <w:bookmarkStart w:id="103" w:name="_Toc373149036"/>
      <w:bookmarkStart w:id="104" w:name="_Toc301165152"/>
      <w:r w:rsidRPr="00E141F1">
        <w:t>Chapter 1</w:t>
      </w:r>
      <w:r w:rsidRPr="00E141F1">
        <w:br/>
        <w:t>The Australian communications and media market</w:t>
      </w:r>
      <w:bookmarkEnd w:id="101"/>
      <w:bookmarkEnd w:id="102"/>
      <w:bookmarkEnd w:id="103"/>
    </w:p>
    <w:p w:rsidR="001E6FB8" w:rsidRPr="00E141F1" w:rsidRDefault="001E6FB8" w:rsidP="001E6FB8">
      <w:pPr>
        <w:pStyle w:val="Heading2"/>
      </w:pPr>
      <w:bookmarkStart w:id="105" w:name="_Toc308517103"/>
      <w:bookmarkStart w:id="106" w:name="_Toc308523563"/>
      <w:bookmarkStart w:id="107" w:name="_Toc312157076"/>
      <w:bookmarkStart w:id="108" w:name="_Toc371588975"/>
      <w:bookmarkStart w:id="109" w:name="_Toc373149037"/>
      <w:r w:rsidRPr="00E141F1">
        <w:t>Overview</w:t>
      </w:r>
      <w:bookmarkEnd w:id="104"/>
      <w:bookmarkEnd w:id="105"/>
      <w:bookmarkEnd w:id="106"/>
      <w:bookmarkEnd w:id="107"/>
      <w:bookmarkEnd w:id="108"/>
      <w:bookmarkEnd w:id="109"/>
    </w:p>
    <w:p w:rsidR="001E6FB8" w:rsidRPr="00E141F1" w:rsidRDefault="001E6FB8" w:rsidP="001E6FB8">
      <w:pPr>
        <w:spacing w:after="80"/>
        <w:rPr>
          <w:rFonts w:cs="Arial"/>
        </w:rPr>
      </w:pPr>
      <w:bookmarkStart w:id="110" w:name="_Toc301165153"/>
      <w:r w:rsidRPr="00E141F1">
        <w:rPr>
          <w:rFonts w:cs="Arial"/>
        </w:rPr>
        <w:t>Chapter 1 examines the major developments in the availability and use of communications and media services in Australia including service provider offerings, provision and take-up of services, and communications infrastructure developments. Growth in the digital economy continues to be a major catalyst for change in the Australian communications and media market, providing both new growth opportunities and challenges fo</w:t>
      </w:r>
      <w:r>
        <w:rPr>
          <w:rFonts w:cs="Arial"/>
        </w:rPr>
        <w:t xml:space="preserve">r traditional revenue streams. </w:t>
      </w:r>
      <w:r w:rsidRPr="00E141F1">
        <w:rPr>
          <w:rFonts w:cs="Arial"/>
        </w:rPr>
        <w:t xml:space="preserve">Key developments during 2012–13 confirmed the ongoing role of the internet in driving the development of the digital economy and transformation of communications and media services including: </w:t>
      </w:r>
    </w:p>
    <w:p w:rsidR="001E6FB8" w:rsidRPr="00E141F1" w:rsidRDefault="001E6FB8" w:rsidP="001E6FB8">
      <w:pPr>
        <w:pStyle w:val="ListBullet"/>
        <w:tabs>
          <w:tab w:val="clear" w:pos="295"/>
          <w:tab w:val="num" w:pos="0"/>
        </w:tabs>
        <w:spacing w:line="240" w:lineRule="auto"/>
        <w:rPr>
          <w:rFonts w:cs="Arial"/>
        </w:rPr>
      </w:pPr>
      <w:r w:rsidRPr="00E141F1">
        <w:rPr>
          <w:rFonts w:cs="Arial"/>
        </w:rPr>
        <w:t>reduced dependency on fixed-voice communications and growth in use of multiple online and IP communications services with mobile phone services pre-eminent</w:t>
      </w:r>
    </w:p>
    <w:p w:rsidR="001E6FB8" w:rsidRPr="00E141F1" w:rsidRDefault="001E6FB8" w:rsidP="001E6FB8">
      <w:pPr>
        <w:pStyle w:val="ListBullet"/>
        <w:tabs>
          <w:tab w:val="clear" w:pos="295"/>
          <w:tab w:val="num" w:pos="0"/>
        </w:tabs>
        <w:spacing w:before="120" w:line="240" w:lineRule="auto"/>
        <w:rPr>
          <w:rFonts w:cs="Arial"/>
        </w:rPr>
      </w:pPr>
      <w:r w:rsidRPr="00E141F1">
        <w:rPr>
          <w:rFonts w:cs="Arial"/>
        </w:rPr>
        <w:t>significant increases in the number of users of OTT communications such as VoIP via mobile phones and tablets</w:t>
      </w:r>
      <w:r>
        <w:rPr>
          <w:rFonts w:cs="Arial"/>
        </w:rPr>
        <w:t xml:space="preserve">, </w:t>
      </w:r>
      <w:r w:rsidRPr="00E141F1">
        <w:rPr>
          <w:rFonts w:cs="Arial"/>
        </w:rPr>
        <w:t>providing a growing challenge to fixed and mobile voice revenue streams</w:t>
      </w:r>
    </w:p>
    <w:p w:rsidR="001E6FB8" w:rsidRPr="00E141F1" w:rsidRDefault="001E6FB8" w:rsidP="001E6FB8">
      <w:pPr>
        <w:pStyle w:val="ListBullet"/>
        <w:tabs>
          <w:tab w:val="clear" w:pos="295"/>
          <w:tab w:val="num" w:pos="0"/>
        </w:tabs>
        <w:spacing w:line="240" w:lineRule="auto"/>
        <w:rPr>
          <w:rFonts w:cs="Arial"/>
        </w:rPr>
      </w:pPr>
      <w:r w:rsidRPr="00E141F1">
        <w:rPr>
          <w:rFonts w:cs="Arial"/>
        </w:rPr>
        <w:t xml:space="preserve">continued growth in use of smart devices such as </w:t>
      </w:r>
      <w:proofErr w:type="spellStart"/>
      <w:r w:rsidRPr="00E141F1">
        <w:rPr>
          <w:rFonts w:cs="Arial"/>
        </w:rPr>
        <w:t>smartphones</w:t>
      </w:r>
      <w:proofErr w:type="spellEnd"/>
      <w:r w:rsidRPr="00E141F1">
        <w:rPr>
          <w:rFonts w:cs="Arial"/>
        </w:rPr>
        <w:t xml:space="preserve"> and tablets and related applications and services</w:t>
      </w:r>
    </w:p>
    <w:p w:rsidR="001E6FB8" w:rsidRPr="00E141F1" w:rsidRDefault="001E6FB8" w:rsidP="001E6FB8">
      <w:pPr>
        <w:pStyle w:val="ListBullet"/>
        <w:tabs>
          <w:tab w:val="clear" w:pos="295"/>
          <w:tab w:val="num" w:pos="0"/>
        </w:tabs>
        <w:spacing w:line="240" w:lineRule="auto"/>
        <w:rPr>
          <w:rFonts w:cs="Arial"/>
        </w:rPr>
      </w:pPr>
      <w:r w:rsidRPr="00E141F1">
        <w:rPr>
          <w:rFonts w:cs="Arial"/>
        </w:rPr>
        <w:t>internet services delivered over mobile networks</w:t>
      </w:r>
      <w:r>
        <w:rPr>
          <w:rFonts w:cs="Arial"/>
        </w:rPr>
        <w:t>,</w:t>
      </w:r>
      <w:r w:rsidRPr="00E141F1">
        <w:rPr>
          <w:rFonts w:cs="Arial"/>
        </w:rPr>
        <w:t xml:space="preserve"> providing </w:t>
      </w:r>
      <w:r>
        <w:rPr>
          <w:rFonts w:cs="Arial"/>
        </w:rPr>
        <w:t xml:space="preserve">ongoing </w:t>
      </w:r>
      <w:r w:rsidRPr="00E141F1">
        <w:rPr>
          <w:rFonts w:cs="Arial"/>
        </w:rPr>
        <w:t xml:space="preserve">growth opportunities in </w:t>
      </w:r>
      <w:r>
        <w:rPr>
          <w:rFonts w:cs="Arial"/>
        </w:rPr>
        <w:t>the</w:t>
      </w:r>
      <w:r w:rsidRPr="00E141F1">
        <w:rPr>
          <w:rFonts w:cs="Arial"/>
        </w:rPr>
        <w:t xml:space="preserve"> internet access market </w:t>
      </w:r>
    </w:p>
    <w:p w:rsidR="001E6FB8" w:rsidRPr="00E141F1" w:rsidRDefault="001E6FB8" w:rsidP="001E6FB8">
      <w:pPr>
        <w:pStyle w:val="ListBullet"/>
        <w:tabs>
          <w:tab w:val="clear" w:pos="295"/>
          <w:tab w:val="num" w:pos="0"/>
        </w:tabs>
        <w:spacing w:line="240" w:lineRule="auto"/>
        <w:rPr>
          <w:rFonts w:cs="Arial"/>
        </w:rPr>
      </w:pPr>
      <w:r w:rsidRPr="00E141F1">
        <w:rPr>
          <w:rFonts w:cs="Arial"/>
        </w:rPr>
        <w:t>growth in the delivery and use of content services across multiple networks and consumer devices</w:t>
      </w:r>
    </w:p>
    <w:p w:rsidR="001E6FB8" w:rsidRPr="00E141F1" w:rsidRDefault="001E6FB8" w:rsidP="001E6FB8">
      <w:pPr>
        <w:pStyle w:val="ListBullet"/>
        <w:tabs>
          <w:tab w:val="clear" w:pos="295"/>
          <w:tab w:val="num" w:pos="0"/>
        </w:tabs>
        <w:spacing w:line="240" w:lineRule="auto"/>
        <w:rPr>
          <w:rFonts w:cs="Arial"/>
        </w:rPr>
      </w:pPr>
      <w:r w:rsidRPr="00E141F1">
        <w:rPr>
          <w:rFonts w:cs="Arial"/>
        </w:rPr>
        <w:t>surge in the volume of data being downloaded in Australia</w:t>
      </w:r>
      <w:r>
        <w:rPr>
          <w:rFonts w:cs="Arial"/>
        </w:rPr>
        <w:t xml:space="preserve">, </w:t>
      </w:r>
      <w:r w:rsidRPr="00E141F1">
        <w:rPr>
          <w:rFonts w:cs="Arial"/>
        </w:rPr>
        <w:t>driven by fixed-</w:t>
      </w:r>
      <w:r>
        <w:rPr>
          <w:rFonts w:cs="Arial"/>
        </w:rPr>
        <w:t xml:space="preserve">line </w:t>
      </w:r>
      <w:r w:rsidRPr="00E141F1">
        <w:rPr>
          <w:rFonts w:cs="Arial"/>
        </w:rPr>
        <w:t>broadband subscribers</w:t>
      </w:r>
    </w:p>
    <w:p w:rsidR="001E6FB8" w:rsidRPr="00E141F1" w:rsidRDefault="001E6FB8" w:rsidP="001E6FB8">
      <w:pPr>
        <w:pStyle w:val="ListBullet"/>
        <w:tabs>
          <w:tab w:val="clear" w:pos="295"/>
          <w:tab w:val="num" w:pos="0"/>
        </w:tabs>
        <w:spacing w:line="240" w:lineRule="auto"/>
        <w:rPr>
          <w:rFonts w:cs="Arial"/>
        </w:rPr>
      </w:pPr>
      <w:r w:rsidRPr="00E141F1">
        <w:rPr>
          <w:rFonts w:cs="Arial"/>
        </w:rPr>
        <w:t>increased use of professionally produced online content services such as catch-up TV, complementing viewing of traditional broadcast services</w:t>
      </w:r>
    </w:p>
    <w:p w:rsidR="001E6FB8" w:rsidRPr="00E141F1" w:rsidRDefault="001E6FB8" w:rsidP="001E6FB8">
      <w:pPr>
        <w:pStyle w:val="ListBullet"/>
        <w:tabs>
          <w:tab w:val="clear" w:pos="295"/>
          <w:tab w:val="num" w:pos="0"/>
        </w:tabs>
        <w:spacing w:line="240" w:lineRule="auto"/>
        <w:rPr>
          <w:rFonts w:cs="Arial"/>
        </w:rPr>
      </w:pPr>
      <w:r w:rsidRPr="00E141F1">
        <w:rPr>
          <w:rFonts w:cs="Arial"/>
        </w:rPr>
        <w:t>the expansion of key digital economy infrastructure such as 4G mobile networks and the NBN</w:t>
      </w:r>
    </w:p>
    <w:p w:rsidR="001E6FB8" w:rsidRPr="00E141F1" w:rsidRDefault="001E6FB8" w:rsidP="001E6FB8">
      <w:pPr>
        <w:pStyle w:val="ListBullet"/>
        <w:tabs>
          <w:tab w:val="clear" w:pos="295"/>
          <w:tab w:val="num" w:pos="590"/>
        </w:tabs>
        <w:spacing w:after="240" w:line="240" w:lineRule="auto"/>
        <w:rPr>
          <w:rFonts w:cs="Arial"/>
        </w:rPr>
      </w:pPr>
      <w:r w:rsidRPr="00E141F1">
        <w:rPr>
          <w:rFonts w:cs="Arial"/>
        </w:rPr>
        <w:t>ongoing attempts to monetise growth in online participation as evidenced by the development of pay-p</w:t>
      </w:r>
      <w:r>
        <w:rPr>
          <w:rFonts w:cs="Arial"/>
        </w:rPr>
        <w:t>er-</w:t>
      </w:r>
      <w:r w:rsidRPr="00E141F1">
        <w:rPr>
          <w:rFonts w:cs="Arial"/>
        </w:rPr>
        <w:t>view business models for select online content and news services and growth in online advertising.</w:t>
      </w:r>
      <w:r>
        <w:rPr>
          <w:rFonts w:cs="Arial"/>
        </w:rPr>
        <w:t xml:space="preserve"> </w:t>
      </w:r>
    </w:p>
    <w:p w:rsidR="001E6FB8" w:rsidRPr="00E141F1" w:rsidRDefault="001E6FB8" w:rsidP="001E6FB8">
      <w:pPr>
        <w:pStyle w:val="Heading2"/>
      </w:pPr>
      <w:bookmarkStart w:id="111" w:name="_Toc371588976"/>
      <w:bookmarkStart w:id="112" w:name="_Toc373149038"/>
      <w:bookmarkEnd w:id="110"/>
      <w:r w:rsidRPr="00E141F1">
        <w:t>Fixed-line service availability</w:t>
      </w:r>
      <w:bookmarkEnd w:id="111"/>
      <w:bookmarkEnd w:id="112"/>
      <w:r w:rsidRPr="00E141F1">
        <w:t xml:space="preserve"> </w:t>
      </w:r>
    </w:p>
    <w:p w:rsidR="001E6FB8" w:rsidRPr="00E141F1" w:rsidRDefault="001E6FB8" w:rsidP="001E6FB8">
      <w:pPr>
        <w:pStyle w:val="Heading3"/>
      </w:pPr>
      <w:bookmarkStart w:id="113" w:name="_Toc371588977"/>
      <w:bookmarkStart w:id="114" w:name="_Toc373149039"/>
      <w:r>
        <w:t>Number of services in operation</w:t>
      </w:r>
      <w:bookmarkEnd w:id="113"/>
      <w:bookmarkEnd w:id="114"/>
    </w:p>
    <w:p w:rsidR="001E6FB8" w:rsidRPr="00E141F1" w:rsidRDefault="001E6FB8" w:rsidP="001E6FB8">
      <w:pPr>
        <w:rPr>
          <w:rFonts w:cs="Arial"/>
        </w:rPr>
      </w:pPr>
      <w:r w:rsidRPr="00E141F1">
        <w:rPr>
          <w:rFonts w:cs="Arial"/>
        </w:rPr>
        <w:t xml:space="preserve">There were 10.32 million fixed-line telephone services in operation at June 2013 compared to10.44 million services at June 2012, a net decline of around one per cent for the second year in a row. Telstra accounted for 75 per cent of all fixed-line telephone services at June 2013.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number of Telstra’s fixed-line telephone services in operation declined by 3.6 per cent during 2012–13 (285,000 services) similar to declines seen during 2011–12 (Table 1.1). Telstra also reported a 9.5 per cent reduction ($460 million) in its </w:t>
      </w:r>
      <w:r w:rsidRPr="00E141F1">
        <w:rPr>
          <w:rFonts w:cs="Arial"/>
          <w:bCs/>
          <w:szCs w:val="26"/>
        </w:rPr>
        <w:t>Public Switched Telecommunications Network</w:t>
      </w:r>
      <w:r w:rsidRPr="00E141F1">
        <w:rPr>
          <w:rFonts w:cs="Arial"/>
        </w:rPr>
        <w:t xml:space="preserve"> (PSTN) product revenue during 2012–13, compared to a fall of $538 million during 2011–12.</w:t>
      </w:r>
      <w:r w:rsidRPr="00E141F1">
        <w:rPr>
          <w:rStyle w:val="EndnoteReference"/>
          <w:rFonts w:cs="Arial"/>
        </w:rPr>
        <w:endnoteReference w:id="1"/>
      </w:r>
      <w:r w:rsidRPr="00E141F1">
        <w:rPr>
          <w:rFonts w:cs="Arial"/>
        </w:rPr>
        <w:t xml:space="preserve"> </w:t>
      </w:r>
    </w:p>
    <w:p w:rsidR="001E6FB8" w:rsidRPr="00E141F1" w:rsidRDefault="001E6FB8" w:rsidP="001E6FB8">
      <w:pPr>
        <w:rPr>
          <w:rFonts w:cs="Arial"/>
        </w:rPr>
      </w:pPr>
    </w:p>
    <w:tbl>
      <w:tblPr>
        <w:tblW w:w="9765" w:type="dxa"/>
        <w:tblLayout w:type="fixed"/>
        <w:tblCellMar>
          <w:left w:w="0" w:type="dxa"/>
          <w:right w:w="0" w:type="dxa"/>
        </w:tblCellMar>
        <w:tblLook w:val="01E0"/>
      </w:tblPr>
      <w:tblGrid>
        <w:gridCol w:w="9479"/>
        <w:gridCol w:w="286"/>
      </w:tblGrid>
      <w:tr w:rsidR="001E6FB8" w:rsidRPr="00E141F1" w:rsidTr="001E6FB8">
        <w:trPr>
          <w:trHeight w:val="573"/>
        </w:trPr>
        <w:tc>
          <w:tcPr>
            <w:tcW w:w="9765" w:type="dxa"/>
            <w:gridSpan w:val="2"/>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Table 1.</w:t>
            </w:r>
            <w:r w:rsidR="00421002" w:rsidRPr="00E141F1">
              <w:rPr>
                <w:rFonts w:cs="Arial"/>
              </w:rPr>
              <w:fldChar w:fldCharType="begin"/>
            </w:r>
            <w:r w:rsidRPr="00E141F1">
              <w:rPr>
                <w:rFonts w:cs="Arial"/>
              </w:rPr>
              <w:instrText xml:space="preserve"> SEQ Table \* ARABIC </w:instrText>
            </w:r>
            <w:r w:rsidR="00421002" w:rsidRPr="00E141F1">
              <w:rPr>
                <w:rFonts w:cs="Arial"/>
              </w:rPr>
              <w:fldChar w:fldCharType="separate"/>
            </w:r>
            <w:r>
              <w:rPr>
                <w:rFonts w:cs="Arial"/>
                <w:noProof/>
              </w:rPr>
              <w:t>1</w:t>
            </w:r>
            <w:r w:rsidR="00421002" w:rsidRPr="00E141F1">
              <w:rPr>
                <w:rFonts w:cs="Arial"/>
              </w:rPr>
              <w:fldChar w:fldCharType="end"/>
            </w:r>
            <w:r w:rsidRPr="00E141F1">
              <w:rPr>
                <w:rFonts w:cs="Arial"/>
              </w:rPr>
              <w:t xml:space="preserve"> </w:t>
            </w:r>
            <w:r w:rsidRPr="000B4953">
              <w:rPr>
                <w:rFonts w:cs="Arial"/>
              </w:rPr>
              <w:t>Number</w:t>
            </w:r>
            <w:r w:rsidRPr="00E141F1">
              <w:rPr>
                <w:rFonts w:cs="Arial"/>
              </w:rPr>
              <w:t xml:space="preserve"> of fixed-line telephone services in operation*</w:t>
            </w:r>
          </w:p>
        </w:tc>
      </w:tr>
      <w:tr w:rsidR="001E6FB8" w:rsidRPr="00E141F1" w:rsidTr="001E6FB8">
        <w:trPr>
          <w:trHeight w:val="2874"/>
        </w:trPr>
        <w:tc>
          <w:tcPr>
            <w:tcW w:w="9765" w:type="dxa"/>
            <w:gridSpan w:val="2"/>
            <w:shd w:val="clear" w:color="auto" w:fill="auto"/>
            <w:tcMar>
              <w:left w:w="28" w:type="dxa"/>
            </w:tcMar>
          </w:tcPr>
          <w:tbl>
            <w:tblPr>
              <w:tblW w:w="9649" w:type="dxa"/>
              <w:tblInd w:w="6"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2313"/>
              <w:gridCol w:w="1079"/>
              <w:gridCol w:w="1079"/>
              <w:gridCol w:w="1079"/>
              <w:gridCol w:w="1079"/>
              <w:gridCol w:w="1080"/>
              <w:gridCol w:w="1913"/>
              <w:gridCol w:w="27"/>
            </w:tblGrid>
            <w:tr w:rsidR="001E6FB8" w:rsidRPr="00E141F1" w:rsidTr="001E6FB8">
              <w:trPr>
                <w:trHeight w:val="150"/>
              </w:trPr>
              <w:tc>
                <w:tcPr>
                  <w:tcW w:w="2313" w:type="dxa"/>
                  <w:shd w:val="clear" w:color="auto" w:fill="00709E"/>
                  <w:tcMar>
                    <w:top w:w="34" w:type="dxa"/>
                    <w:left w:w="113" w:type="dxa"/>
                    <w:bottom w:w="0" w:type="dxa"/>
                    <w:right w:w="0" w:type="dxa"/>
                  </w:tcMar>
                  <w:hideMark/>
                </w:tcPr>
                <w:p w:rsidR="001E6FB8" w:rsidRPr="00E141F1" w:rsidRDefault="001E6FB8" w:rsidP="001E6FB8">
                  <w:pPr>
                    <w:keepNext/>
                    <w:keepLines/>
                    <w:rPr>
                      <w:rFonts w:cs="Arial"/>
                      <w:b/>
                      <w:color w:val="FFFFFF" w:themeColor="background1"/>
                      <w:sz w:val="18"/>
                      <w:szCs w:val="18"/>
                    </w:rPr>
                  </w:pPr>
                  <w:r w:rsidRPr="00E141F1">
                    <w:rPr>
                      <w:rFonts w:cs="Arial"/>
                      <w:b/>
                      <w:color w:val="FFFFFF" w:themeColor="background1"/>
                      <w:sz w:val="18"/>
                      <w:szCs w:val="18"/>
                    </w:rPr>
                    <w:t xml:space="preserve">All </w:t>
                  </w:r>
                  <w:r>
                    <w:rPr>
                      <w:rFonts w:cs="Arial"/>
                      <w:b/>
                      <w:color w:val="FFFFFF" w:themeColor="background1"/>
                      <w:sz w:val="18"/>
                      <w:szCs w:val="18"/>
                    </w:rPr>
                    <w:t>CSPs</w:t>
                  </w:r>
                </w:p>
              </w:tc>
              <w:tc>
                <w:tcPr>
                  <w:tcW w:w="1079" w:type="dxa"/>
                  <w:shd w:val="clear" w:color="auto" w:fill="00709E"/>
                  <w:hideMark/>
                </w:tcPr>
                <w:p w:rsidR="001E6FB8" w:rsidRPr="00E141F1" w:rsidRDefault="001E6FB8" w:rsidP="001E6FB8">
                  <w:pPr>
                    <w:pStyle w:val="TableHeading"/>
                    <w:keepNext/>
                    <w:keepLines/>
                    <w:ind w:right="40"/>
                    <w:jc w:val="right"/>
                    <w:rPr>
                      <w:rFonts w:cs="Arial"/>
                      <w:color w:val="FFFFFF" w:themeColor="background1"/>
                      <w:sz w:val="18"/>
                      <w:szCs w:val="18"/>
                    </w:rPr>
                  </w:pPr>
                  <w:r w:rsidRPr="00E141F1">
                    <w:rPr>
                      <w:rFonts w:cs="Arial"/>
                      <w:color w:val="FFFFFF" w:themeColor="background1"/>
                      <w:sz w:val="18"/>
                      <w:szCs w:val="18"/>
                    </w:rPr>
                    <w:t>Jun-09</w:t>
                  </w:r>
                </w:p>
              </w:tc>
              <w:tc>
                <w:tcPr>
                  <w:tcW w:w="1079" w:type="dxa"/>
                  <w:shd w:val="clear" w:color="auto" w:fill="00709E"/>
                  <w:tcMar>
                    <w:top w:w="0" w:type="dxa"/>
                    <w:left w:w="113" w:type="dxa"/>
                    <w:bottom w:w="0" w:type="dxa"/>
                    <w:right w:w="0" w:type="dxa"/>
                  </w:tcMar>
                  <w:hideMark/>
                </w:tcPr>
                <w:p w:rsidR="001E6FB8" w:rsidRPr="00E141F1" w:rsidRDefault="001E6FB8" w:rsidP="001E6FB8">
                  <w:pPr>
                    <w:pStyle w:val="TableHeading"/>
                    <w:keepNext/>
                    <w:keepLines/>
                    <w:ind w:right="40"/>
                    <w:jc w:val="right"/>
                    <w:rPr>
                      <w:rFonts w:cs="Arial"/>
                      <w:color w:val="FFFFFF" w:themeColor="background1"/>
                      <w:sz w:val="18"/>
                      <w:szCs w:val="18"/>
                    </w:rPr>
                  </w:pPr>
                  <w:r w:rsidRPr="00E141F1">
                    <w:rPr>
                      <w:rFonts w:cs="Arial"/>
                      <w:color w:val="FFFFFF" w:themeColor="background1"/>
                      <w:sz w:val="18"/>
                      <w:szCs w:val="18"/>
                    </w:rPr>
                    <w:t>Jun-10</w:t>
                  </w:r>
                </w:p>
              </w:tc>
              <w:tc>
                <w:tcPr>
                  <w:tcW w:w="1079" w:type="dxa"/>
                  <w:shd w:val="clear" w:color="auto" w:fill="00709E"/>
                  <w:hideMark/>
                </w:tcPr>
                <w:p w:rsidR="001E6FB8" w:rsidRPr="00E141F1" w:rsidRDefault="001E6FB8" w:rsidP="001E6FB8">
                  <w:pPr>
                    <w:pStyle w:val="TableHeading"/>
                    <w:keepNext/>
                    <w:keepLines/>
                    <w:ind w:right="40"/>
                    <w:jc w:val="right"/>
                    <w:rPr>
                      <w:rFonts w:cs="Arial"/>
                      <w:bCs/>
                      <w:color w:val="FFFFFF" w:themeColor="background1"/>
                      <w:kern w:val="32"/>
                      <w:sz w:val="18"/>
                      <w:szCs w:val="18"/>
                    </w:rPr>
                  </w:pPr>
                  <w:r w:rsidRPr="00E141F1">
                    <w:rPr>
                      <w:rFonts w:cs="Arial"/>
                      <w:color w:val="FFFFFF" w:themeColor="background1"/>
                      <w:sz w:val="18"/>
                      <w:szCs w:val="18"/>
                    </w:rPr>
                    <w:t>Jun-11</w:t>
                  </w:r>
                </w:p>
              </w:tc>
              <w:tc>
                <w:tcPr>
                  <w:tcW w:w="1079" w:type="dxa"/>
                  <w:shd w:val="clear" w:color="auto" w:fill="00709E"/>
                </w:tcPr>
                <w:p w:rsidR="001E6FB8" w:rsidRPr="00E141F1" w:rsidRDefault="001E6FB8" w:rsidP="001E6FB8">
                  <w:pPr>
                    <w:pStyle w:val="TableHeading"/>
                    <w:keepNext/>
                    <w:keepLines/>
                    <w:ind w:right="40"/>
                    <w:jc w:val="right"/>
                    <w:rPr>
                      <w:rFonts w:cs="Arial"/>
                      <w:bCs/>
                      <w:color w:val="FFFFFF" w:themeColor="background1"/>
                      <w:kern w:val="32"/>
                      <w:sz w:val="18"/>
                      <w:szCs w:val="18"/>
                    </w:rPr>
                  </w:pPr>
                  <w:r w:rsidRPr="00E141F1">
                    <w:rPr>
                      <w:rFonts w:cs="Arial"/>
                      <w:color w:val="FFFFFF" w:themeColor="background1"/>
                      <w:sz w:val="18"/>
                      <w:szCs w:val="18"/>
                    </w:rPr>
                    <w:t>Jun-12</w:t>
                  </w:r>
                </w:p>
              </w:tc>
              <w:tc>
                <w:tcPr>
                  <w:tcW w:w="1080" w:type="dxa"/>
                  <w:shd w:val="clear" w:color="auto" w:fill="00709E"/>
                </w:tcPr>
                <w:p w:rsidR="001E6FB8" w:rsidRPr="00E141F1" w:rsidRDefault="001E6FB8" w:rsidP="001E6FB8">
                  <w:pPr>
                    <w:pStyle w:val="TableHeading"/>
                    <w:keepNext/>
                    <w:keepLines/>
                    <w:ind w:right="40"/>
                    <w:jc w:val="right"/>
                    <w:rPr>
                      <w:rFonts w:cs="Arial"/>
                      <w:bCs/>
                      <w:color w:val="FFFFFF" w:themeColor="background1"/>
                      <w:kern w:val="32"/>
                      <w:sz w:val="18"/>
                      <w:szCs w:val="18"/>
                    </w:rPr>
                  </w:pPr>
                  <w:r w:rsidRPr="00E141F1">
                    <w:rPr>
                      <w:rFonts w:cs="Arial"/>
                      <w:color w:val="FFFFFF" w:themeColor="background1"/>
                      <w:sz w:val="18"/>
                      <w:szCs w:val="18"/>
                    </w:rPr>
                    <w:t>Jun-13</w:t>
                  </w:r>
                </w:p>
              </w:tc>
              <w:tc>
                <w:tcPr>
                  <w:tcW w:w="1940" w:type="dxa"/>
                  <w:gridSpan w:val="2"/>
                  <w:shd w:val="clear" w:color="auto" w:fill="00709E"/>
                  <w:hideMark/>
                </w:tcPr>
                <w:p w:rsidR="001E6FB8" w:rsidRPr="00E141F1" w:rsidRDefault="001E6FB8" w:rsidP="001E6FB8">
                  <w:pPr>
                    <w:pStyle w:val="TableHeading"/>
                    <w:keepNext/>
                    <w:keepLines/>
                    <w:ind w:right="40"/>
                    <w:jc w:val="right"/>
                    <w:rPr>
                      <w:rFonts w:cs="Arial"/>
                      <w:color w:val="FFFFFF" w:themeColor="background1"/>
                      <w:sz w:val="18"/>
                      <w:szCs w:val="18"/>
                    </w:rPr>
                  </w:pPr>
                  <w:r w:rsidRPr="00E141F1">
                    <w:rPr>
                      <w:rFonts w:cs="Arial"/>
                      <w:color w:val="FFFFFF" w:themeColor="background1"/>
                      <w:sz w:val="18"/>
                      <w:szCs w:val="18"/>
                    </w:rPr>
                    <w:t xml:space="preserve">% change </w:t>
                  </w:r>
                </w:p>
                <w:p w:rsidR="001E6FB8" w:rsidRPr="00E141F1" w:rsidRDefault="001E6FB8" w:rsidP="001E6FB8">
                  <w:pPr>
                    <w:pStyle w:val="TableHeading"/>
                    <w:keepNext/>
                    <w:keepLines/>
                    <w:ind w:right="40"/>
                    <w:jc w:val="right"/>
                    <w:rPr>
                      <w:rFonts w:cs="Arial"/>
                      <w:bCs/>
                      <w:color w:val="FFFFFF" w:themeColor="background1"/>
                      <w:kern w:val="32"/>
                      <w:sz w:val="18"/>
                      <w:szCs w:val="18"/>
                    </w:rPr>
                  </w:pPr>
                  <w:r w:rsidRPr="00E141F1">
                    <w:rPr>
                      <w:rFonts w:cs="Arial"/>
                      <w:color w:val="FFFFFF" w:themeColor="background1"/>
                      <w:sz w:val="18"/>
                      <w:szCs w:val="18"/>
                    </w:rPr>
                    <w:t>201</w:t>
                  </w:r>
                  <w:r>
                    <w:rPr>
                      <w:rFonts w:cs="Arial"/>
                      <w:color w:val="FFFFFF" w:themeColor="background1"/>
                      <w:sz w:val="18"/>
                      <w:szCs w:val="18"/>
                    </w:rPr>
                    <w:t>2</w:t>
                  </w:r>
                  <w:r w:rsidRPr="00E141F1">
                    <w:rPr>
                      <w:rFonts w:cs="Arial"/>
                      <w:color w:val="FFFFFF" w:themeColor="background1"/>
                      <w:sz w:val="18"/>
                      <w:szCs w:val="18"/>
                    </w:rPr>
                    <w:t>–1</w:t>
                  </w:r>
                  <w:r>
                    <w:rPr>
                      <w:rFonts w:cs="Arial"/>
                      <w:color w:val="FFFFFF" w:themeColor="background1"/>
                      <w:sz w:val="18"/>
                      <w:szCs w:val="18"/>
                    </w:rPr>
                    <w:t>3</w:t>
                  </w:r>
                  <w:r w:rsidRPr="00E141F1">
                    <w:rPr>
                      <w:rFonts w:cs="Arial"/>
                      <w:color w:val="FFFFFF" w:themeColor="background1"/>
                      <w:sz w:val="18"/>
                      <w:szCs w:val="18"/>
                    </w:rPr>
                    <w:t xml:space="preserve"> </w:t>
                  </w:r>
                </w:p>
              </w:tc>
            </w:tr>
            <w:tr w:rsidR="001E6FB8" w:rsidRPr="00E141F1" w:rsidTr="001E6FB8">
              <w:trPr>
                <w:trHeight w:val="150"/>
              </w:trPr>
              <w:tc>
                <w:tcPr>
                  <w:tcW w:w="2313" w:type="dxa"/>
                  <w:tcMar>
                    <w:top w:w="0" w:type="dxa"/>
                    <w:left w:w="113" w:type="dxa"/>
                    <w:bottom w:w="0" w:type="dxa"/>
                    <w:right w:w="0" w:type="dxa"/>
                  </w:tcMar>
                  <w:hideMark/>
                </w:tcPr>
                <w:p w:rsidR="001E6FB8" w:rsidRPr="00E141F1" w:rsidRDefault="001E6FB8" w:rsidP="001E6FB8">
                  <w:pPr>
                    <w:pStyle w:val="ACMATableText"/>
                    <w:keepNext/>
                    <w:keepLines/>
                    <w:rPr>
                      <w:rFonts w:cs="Arial"/>
                      <w:sz w:val="18"/>
                      <w:szCs w:val="18"/>
                    </w:rPr>
                  </w:pPr>
                  <w:r w:rsidRPr="00E141F1">
                    <w:rPr>
                      <w:rFonts w:cs="Arial"/>
                      <w:sz w:val="18"/>
                      <w:szCs w:val="18"/>
                    </w:rPr>
                    <w:t xml:space="preserve">Retail </w:t>
                  </w:r>
                </w:p>
              </w:tc>
              <w:tc>
                <w:tcPr>
                  <w:tcW w:w="1079" w:type="dxa"/>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9.17 m</w:t>
                  </w:r>
                </w:p>
              </w:tc>
              <w:tc>
                <w:tcPr>
                  <w:tcW w:w="1079" w:type="dxa"/>
                  <w:tcMar>
                    <w:top w:w="0" w:type="dxa"/>
                    <w:left w:w="113" w:type="dxa"/>
                    <w:bottom w:w="0" w:type="dxa"/>
                    <w:right w:w="0" w:type="dxa"/>
                  </w:tcMar>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9.12 m</w:t>
                  </w:r>
                </w:p>
              </w:tc>
              <w:tc>
                <w:tcPr>
                  <w:tcW w:w="1079" w:type="dxa"/>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9.15 m</w:t>
                  </w:r>
                </w:p>
              </w:tc>
              <w:tc>
                <w:tcPr>
                  <w:tcW w:w="1079" w:type="dxa"/>
                  <w:vAlign w:val="center"/>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9.01 m</w:t>
                  </w:r>
                </w:p>
              </w:tc>
              <w:tc>
                <w:tcPr>
                  <w:tcW w:w="1080" w:type="dxa"/>
                  <w:vAlign w:val="center"/>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8.79 m</w:t>
                  </w:r>
                </w:p>
              </w:tc>
              <w:tc>
                <w:tcPr>
                  <w:tcW w:w="1940" w:type="dxa"/>
                  <w:gridSpan w:val="2"/>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–2.4%</w:t>
                  </w:r>
                </w:p>
              </w:tc>
            </w:tr>
            <w:tr w:rsidR="001E6FB8" w:rsidRPr="00E141F1" w:rsidTr="001E6FB8">
              <w:trPr>
                <w:trHeight w:val="150"/>
              </w:trPr>
              <w:tc>
                <w:tcPr>
                  <w:tcW w:w="2313" w:type="dxa"/>
                  <w:tcMar>
                    <w:top w:w="0" w:type="dxa"/>
                    <w:left w:w="113" w:type="dxa"/>
                    <w:bottom w:w="0" w:type="dxa"/>
                    <w:right w:w="0" w:type="dxa"/>
                  </w:tcMar>
                  <w:hideMark/>
                </w:tcPr>
                <w:p w:rsidR="001E6FB8" w:rsidRPr="00E141F1" w:rsidRDefault="001E6FB8" w:rsidP="001E6FB8">
                  <w:pPr>
                    <w:pStyle w:val="ACMATableText"/>
                    <w:keepNext/>
                    <w:keepLines/>
                    <w:rPr>
                      <w:rFonts w:cs="Arial"/>
                      <w:sz w:val="18"/>
                      <w:szCs w:val="18"/>
                    </w:rPr>
                  </w:pPr>
                  <w:r w:rsidRPr="00E141F1">
                    <w:rPr>
                      <w:rFonts w:cs="Arial"/>
                      <w:sz w:val="18"/>
                      <w:szCs w:val="18"/>
                    </w:rPr>
                    <w:t>Wholesale</w:t>
                  </w:r>
                </w:p>
              </w:tc>
              <w:tc>
                <w:tcPr>
                  <w:tcW w:w="1079" w:type="dxa"/>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1.50 m</w:t>
                  </w:r>
                </w:p>
              </w:tc>
              <w:tc>
                <w:tcPr>
                  <w:tcW w:w="1079" w:type="dxa"/>
                  <w:tcMar>
                    <w:top w:w="0" w:type="dxa"/>
                    <w:left w:w="113" w:type="dxa"/>
                    <w:bottom w:w="0" w:type="dxa"/>
                    <w:right w:w="0" w:type="dxa"/>
                  </w:tcMar>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1.47 m</w:t>
                  </w:r>
                </w:p>
              </w:tc>
              <w:tc>
                <w:tcPr>
                  <w:tcW w:w="1079" w:type="dxa"/>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1.39 m</w:t>
                  </w:r>
                </w:p>
              </w:tc>
              <w:tc>
                <w:tcPr>
                  <w:tcW w:w="1079" w:type="dxa"/>
                  <w:vAlign w:val="center"/>
                </w:tcPr>
                <w:p w:rsidR="001E6FB8" w:rsidRPr="00E141F1" w:rsidRDefault="001E6FB8" w:rsidP="001E6FB8">
                  <w:pPr>
                    <w:pStyle w:val="ACMATableText"/>
                    <w:keepNext/>
                    <w:keepLines/>
                    <w:ind w:right="40"/>
                    <w:jc w:val="right"/>
                    <w:rPr>
                      <w:rFonts w:cs="Arial"/>
                      <w:sz w:val="18"/>
                      <w:szCs w:val="18"/>
                      <w:lang w:eastAsia="en-AU"/>
                    </w:rPr>
                  </w:pPr>
                  <w:r w:rsidRPr="00E141F1">
                    <w:rPr>
                      <w:rFonts w:cs="Arial"/>
                      <w:sz w:val="18"/>
                      <w:szCs w:val="18"/>
                    </w:rPr>
                    <w:t>1.43 m</w:t>
                  </w:r>
                </w:p>
              </w:tc>
              <w:tc>
                <w:tcPr>
                  <w:tcW w:w="1080" w:type="dxa"/>
                  <w:vAlign w:val="center"/>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1.53 m</w:t>
                  </w:r>
                </w:p>
              </w:tc>
              <w:tc>
                <w:tcPr>
                  <w:tcW w:w="1940" w:type="dxa"/>
                  <w:gridSpan w:val="2"/>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+7.</w:t>
                  </w:r>
                  <w:r>
                    <w:rPr>
                      <w:rFonts w:cs="Arial"/>
                      <w:sz w:val="18"/>
                      <w:szCs w:val="18"/>
                    </w:rPr>
                    <w:t>0</w:t>
                  </w:r>
                  <w:r w:rsidRPr="00E141F1">
                    <w:rPr>
                      <w:rFonts w:cs="Arial"/>
                      <w:sz w:val="18"/>
                      <w:szCs w:val="18"/>
                    </w:rPr>
                    <w:t>%</w:t>
                  </w:r>
                </w:p>
              </w:tc>
            </w:tr>
            <w:tr w:rsidR="001E6FB8" w:rsidRPr="00E141F1" w:rsidTr="001E6FB8">
              <w:trPr>
                <w:gridAfter w:val="1"/>
                <w:wAfter w:w="27" w:type="dxa"/>
                <w:trHeight w:val="150"/>
              </w:trPr>
              <w:tc>
                <w:tcPr>
                  <w:tcW w:w="2313" w:type="dxa"/>
                  <w:tcMar>
                    <w:top w:w="0" w:type="dxa"/>
                    <w:left w:w="113" w:type="dxa"/>
                    <w:bottom w:w="0" w:type="dxa"/>
                    <w:right w:w="0" w:type="dxa"/>
                  </w:tcMar>
                  <w:hideMark/>
                </w:tcPr>
                <w:p w:rsidR="001E6FB8" w:rsidRPr="00E141F1" w:rsidRDefault="001E6FB8" w:rsidP="001E6FB8">
                  <w:pPr>
                    <w:pStyle w:val="ACMATableText"/>
                    <w:keepNext/>
                    <w:keepLines/>
                    <w:rPr>
                      <w:rFonts w:cs="Arial"/>
                      <w:b/>
                      <w:sz w:val="18"/>
                      <w:szCs w:val="18"/>
                    </w:rPr>
                  </w:pPr>
                  <w:r w:rsidRPr="00E141F1">
                    <w:rPr>
                      <w:rFonts w:cs="Arial"/>
                      <w:b/>
                      <w:sz w:val="18"/>
                      <w:szCs w:val="18"/>
                    </w:rPr>
                    <w:t>Total</w:t>
                  </w:r>
                </w:p>
              </w:tc>
              <w:tc>
                <w:tcPr>
                  <w:tcW w:w="1079" w:type="dxa"/>
                  <w:vAlign w:val="center"/>
                  <w:hideMark/>
                </w:tcPr>
                <w:p w:rsidR="001E6FB8" w:rsidRPr="00E141F1" w:rsidRDefault="001E6FB8" w:rsidP="001E6FB8">
                  <w:pPr>
                    <w:pStyle w:val="ACMATableText"/>
                    <w:keepNext/>
                    <w:keepLines/>
                    <w:ind w:right="40"/>
                    <w:jc w:val="right"/>
                    <w:rPr>
                      <w:rFonts w:cs="Arial"/>
                      <w:b/>
                      <w:sz w:val="18"/>
                      <w:szCs w:val="18"/>
                    </w:rPr>
                  </w:pPr>
                  <w:r w:rsidRPr="00E141F1">
                    <w:rPr>
                      <w:rFonts w:cs="Arial"/>
                      <w:b/>
                      <w:sz w:val="18"/>
                      <w:szCs w:val="18"/>
                    </w:rPr>
                    <w:t>10.67 m</w:t>
                  </w:r>
                </w:p>
              </w:tc>
              <w:tc>
                <w:tcPr>
                  <w:tcW w:w="1079" w:type="dxa"/>
                  <w:tcMar>
                    <w:top w:w="0" w:type="dxa"/>
                    <w:left w:w="113" w:type="dxa"/>
                    <w:bottom w:w="0" w:type="dxa"/>
                    <w:right w:w="0" w:type="dxa"/>
                  </w:tcMar>
                  <w:vAlign w:val="center"/>
                  <w:hideMark/>
                </w:tcPr>
                <w:p w:rsidR="001E6FB8" w:rsidRPr="00E141F1" w:rsidRDefault="001E6FB8" w:rsidP="001E6FB8">
                  <w:pPr>
                    <w:pStyle w:val="ACMATableText"/>
                    <w:keepNext/>
                    <w:keepLines/>
                    <w:ind w:right="40"/>
                    <w:jc w:val="right"/>
                    <w:rPr>
                      <w:rFonts w:cs="Arial"/>
                      <w:b/>
                      <w:sz w:val="18"/>
                      <w:szCs w:val="18"/>
                    </w:rPr>
                  </w:pPr>
                  <w:r w:rsidRPr="00E141F1">
                    <w:rPr>
                      <w:rFonts w:cs="Arial"/>
                      <w:b/>
                      <w:sz w:val="18"/>
                      <w:szCs w:val="18"/>
                    </w:rPr>
                    <w:t>10.59 m</w:t>
                  </w:r>
                </w:p>
              </w:tc>
              <w:tc>
                <w:tcPr>
                  <w:tcW w:w="1079" w:type="dxa"/>
                  <w:vAlign w:val="center"/>
                  <w:hideMark/>
                </w:tcPr>
                <w:p w:rsidR="001E6FB8" w:rsidRPr="00E141F1" w:rsidRDefault="001E6FB8" w:rsidP="001E6FB8">
                  <w:pPr>
                    <w:pStyle w:val="ACMATableText"/>
                    <w:keepNext/>
                    <w:keepLines/>
                    <w:ind w:right="40"/>
                    <w:jc w:val="right"/>
                    <w:rPr>
                      <w:rFonts w:cs="Arial"/>
                      <w:b/>
                      <w:sz w:val="18"/>
                      <w:szCs w:val="18"/>
                    </w:rPr>
                  </w:pPr>
                  <w:r w:rsidRPr="00E141F1">
                    <w:rPr>
                      <w:rFonts w:cs="Arial"/>
                      <w:b/>
                      <w:sz w:val="18"/>
                      <w:szCs w:val="18"/>
                    </w:rPr>
                    <w:t>10.54 m</w:t>
                  </w:r>
                </w:p>
              </w:tc>
              <w:tc>
                <w:tcPr>
                  <w:tcW w:w="1079" w:type="dxa"/>
                  <w:vAlign w:val="center"/>
                </w:tcPr>
                <w:p w:rsidR="001E6FB8" w:rsidRPr="00E141F1" w:rsidRDefault="001E6FB8" w:rsidP="001E6FB8">
                  <w:pPr>
                    <w:pStyle w:val="ACMATableText"/>
                    <w:keepNext/>
                    <w:keepLines/>
                    <w:ind w:right="40"/>
                    <w:jc w:val="right"/>
                    <w:rPr>
                      <w:rFonts w:cs="Arial"/>
                      <w:b/>
                      <w:sz w:val="18"/>
                      <w:szCs w:val="18"/>
                    </w:rPr>
                  </w:pPr>
                  <w:r w:rsidRPr="00E141F1">
                    <w:rPr>
                      <w:rFonts w:cs="Arial"/>
                      <w:b/>
                      <w:sz w:val="18"/>
                      <w:szCs w:val="18"/>
                    </w:rPr>
                    <w:t>10.44 m</w:t>
                  </w:r>
                </w:p>
              </w:tc>
              <w:tc>
                <w:tcPr>
                  <w:tcW w:w="1080" w:type="dxa"/>
                  <w:vAlign w:val="center"/>
                </w:tcPr>
                <w:p w:rsidR="001E6FB8" w:rsidRPr="00E141F1" w:rsidRDefault="001E6FB8" w:rsidP="001E6FB8">
                  <w:pPr>
                    <w:pStyle w:val="ACMATableText"/>
                    <w:keepNext/>
                    <w:keepLines/>
                    <w:ind w:right="40"/>
                    <w:jc w:val="right"/>
                    <w:rPr>
                      <w:rFonts w:cs="Arial"/>
                      <w:b/>
                      <w:sz w:val="18"/>
                      <w:szCs w:val="18"/>
                    </w:rPr>
                  </w:pPr>
                  <w:r w:rsidRPr="00E141F1">
                    <w:rPr>
                      <w:rFonts w:cs="Arial"/>
                      <w:b/>
                      <w:sz w:val="18"/>
                      <w:szCs w:val="18"/>
                    </w:rPr>
                    <w:t>10.32 m</w:t>
                  </w:r>
                </w:p>
              </w:tc>
              <w:tc>
                <w:tcPr>
                  <w:tcW w:w="1913" w:type="dxa"/>
                  <w:vAlign w:val="center"/>
                  <w:hideMark/>
                </w:tcPr>
                <w:p w:rsidR="001E6FB8" w:rsidRPr="00E141F1" w:rsidRDefault="001E6FB8" w:rsidP="001E6FB8">
                  <w:pPr>
                    <w:pStyle w:val="ACMATableText"/>
                    <w:keepNext/>
                    <w:keepLines/>
                    <w:ind w:right="40"/>
                    <w:jc w:val="right"/>
                    <w:rPr>
                      <w:rFonts w:cs="Arial"/>
                      <w:b/>
                      <w:sz w:val="18"/>
                      <w:szCs w:val="18"/>
                    </w:rPr>
                  </w:pPr>
                  <w:r w:rsidRPr="00E141F1">
                    <w:rPr>
                      <w:rFonts w:cs="Arial"/>
                      <w:b/>
                      <w:sz w:val="18"/>
                      <w:szCs w:val="18"/>
                    </w:rPr>
                    <w:t>–1.1%</w:t>
                  </w:r>
                </w:p>
              </w:tc>
            </w:tr>
          </w:tbl>
          <w:tbl>
            <w:tblPr>
              <w:tblpPr w:leftFromText="180" w:rightFromText="180" w:vertAnchor="text" w:horzAnchor="margin" w:tblpY="337"/>
              <w:tblOverlap w:val="never"/>
              <w:tblW w:w="9638" w:type="dxa"/>
              <w:tblInd w:w="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2398"/>
              <w:gridCol w:w="1115"/>
              <w:gridCol w:w="1116"/>
              <w:gridCol w:w="1116"/>
              <w:gridCol w:w="1116"/>
              <w:gridCol w:w="1116"/>
              <w:gridCol w:w="1661"/>
            </w:tblGrid>
            <w:tr w:rsidR="001E6FB8" w:rsidRPr="007801C1" w:rsidTr="001E6FB8">
              <w:trPr>
                <w:trHeight w:val="169"/>
              </w:trPr>
              <w:tc>
                <w:tcPr>
                  <w:tcW w:w="2398" w:type="dxa"/>
                  <w:shd w:val="clear" w:color="auto" w:fill="00709E"/>
                  <w:tcMar>
                    <w:top w:w="34" w:type="dxa"/>
                    <w:left w:w="113" w:type="dxa"/>
                    <w:bottom w:w="0" w:type="dxa"/>
                    <w:right w:w="0" w:type="dxa"/>
                  </w:tcMar>
                  <w:hideMark/>
                </w:tcPr>
                <w:p w:rsidR="001E6FB8" w:rsidRPr="00E141F1" w:rsidRDefault="001E6FB8" w:rsidP="001E6FB8">
                  <w:pPr>
                    <w:keepNext/>
                    <w:keepLines/>
                    <w:rPr>
                      <w:rFonts w:cs="Arial"/>
                      <w:b/>
                      <w:color w:val="FFFFFF" w:themeColor="background1"/>
                      <w:sz w:val="18"/>
                      <w:szCs w:val="18"/>
                    </w:rPr>
                  </w:pPr>
                  <w:r w:rsidRPr="00E141F1">
                    <w:rPr>
                      <w:rFonts w:cs="Arial"/>
                      <w:b/>
                      <w:color w:val="FFFFFF" w:themeColor="background1"/>
                      <w:sz w:val="18"/>
                      <w:szCs w:val="18"/>
                    </w:rPr>
                    <w:t>Telstra services only</w:t>
                  </w:r>
                </w:p>
              </w:tc>
              <w:tc>
                <w:tcPr>
                  <w:tcW w:w="1115" w:type="dxa"/>
                  <w:shd w:val="clear" w:color="auto" w:fill="00709E"/>
                  <w:hideMark/>
                </w:tcPr>
                <w:p w:rsidR="001E6FB8" w:rsidRPr="00E141F1" w:rsidRDefault="001E6FB8" w:rsidP="001E6FB8">
                  <w:pPr>
                    <w:pStyle w:val="TableHeading"/>
                    <w:keepNext/>
                    <w:keepLines/>
                    <w:ind w:right="12"/>
                    <w:jc w:val="right"/>
                    <w:rPr>
                      <w:rFonts w:cs="Arial"/>
                      <w:color w:val="FFFFFF" w:themeColor="background1"/>
                      <w:sz w:val="18"/>
                      <w:szCs w:val="18"/>
                    </w:rPr>
                  </w:pPr>
                  <w:r w:rsidRPr="00E141F1">
                    <w:rPr>
                      <w:rFonts w:cs="Arial"/>
                      <w:color w:val="FFFFFF" w:themeColor="background1"/>
                      <w:sz w:val="18"/>
                      <w:szCs w:val="18"/>
                    </w:rPr>
                    <w:t>Jun-09</w:t>
                  </w:r>
                </w:p>
              </w:tc>
              <w:tc>
                <w:tcPr>
                  <w:tcW w:w="1116" w:type="dxa"/>
                  <w:shd w:val="clear" w:color="auto" w:fill="00709E"/>
                  <w:tcMar>
                    <w:top w:w="0" w:type="dxa"/>
                    <w:left w:w="113" w:type="dxa"/>
                    <w:bottom w:w="0" w:type="dxa"/>
                    <w:right w:w="0" w:type="dxa"/>
                  </w:tcMar>
                  <w:hideMark/>
                </w:tcPr>
                <w:p w:rsidR="001E6FB8" w:rsidRPr="00E141F1" w:rsidRDefault="001E6FB8" w:rsidP="001E6FB8">
                  <w:pPr>
                    <w:pStyle w:val="TableHeading"/>
                    <w:keepNext/>
                    <w:keepLines/>
                    <w:ind w:right="12"/>
                    <w:jc w:val="right"/>
                    <w:rPr>
                      <w:rFonts w:cs="Arial"/>
                      <w:color w:val="FFFFFF" w:themeColor="background1"/>
                      <w:sz w:val="18"/>
                      <w:szCs w:val="18"/>
                    </w:rPr>
                  </w:pPr>
                  <w:r w:rsidRPr="00E141F1">
                    <w:rPr>
                      <w:rFonts w:cs="Arial"/>
                      <w:color w:val="FFFFFF" w:themeColor="background1"/>
                      <w:sz w:val="18"/>
                      <w:szCs w:val="18"/>
                    </w:rPr>
                    <w:t>Jun-10</w:t>
                  </w:r>
                </w:p>
              </w:tc>
              <w:tc>
                <w:tcPr>
                  <w:tcW w:w="1116" w:type="dxa"/>
                  <w:shd w:val="clear" w:color="auto" w:fill="00709E"/>
                  <w:hideMark/>
                </w:tcPr>
                <w:p w:rsidR="001E6FB8" w:rsidRPr="00E141F1" w:rsidRDefault="001E6FB8" w:rsidP="001E6FB8">
                  <w:pPr>
                    <w:pStyle w:val="TableHeading"/>
                    <w:keepNext/>
                    <w:keepLines/>
                    <w:ind w:right="12"/>
                    <w:jc w:val="right"/>
                    <w:rPr>
                      <w:rFonts w:cs="Arial"/>
                      <w:bCs/>
                      <w:color w:val="FFFFFF" w:themeColor="background1"/>
                      <w:kern w:val="32"/>
                      <w:sz w:val="18"/>
                      <w:szCs w:val="18"/>
                    </w:rPr>
                  </w:pPr>
                  <w:r w:rsidRPr="00E141F1">
                    <w:rPr>
                      <w:rFonts w:cs="Arial"/>
                      <w:color w:val="FFFFFF" w:themeColor="background1"/>
                      <w:sz w:val="18"/>
                      <w:szCs w:val="18"/>
                    </w:rPr>
                    <w:t>Jun-11</w:t>
                  </w:r>
                </w:p>
              </w:tc>
              <w:tc>
                <w:tcPr>
                  <w:tcW w:w="1116" w:type="dxa"/>
                  <w:shd w:val="clear" w:color="auto" w:fill="00709E"/>
                </w:tcPr>
                <w:p w:rsidR="001E6FB8" w:rsidRPr="00E141F1" w:rsidRDefault="001E6FB8" w:rsidP="001E6FB8">
                  <w:pPr>
                    <w:pStyle w:val="TableHeading"/>
                    <w:keepNext/>
                    <w:keepLines/>
                    <w:ind w:right="12"/>
                    <w:jc w:val="right"/>
                    <w:rPr>
                      <w:rFonts w:cs="Arial"/>
                      <w:bCs/>
                      <w:color w:val="FFFFFF" w:themeColor="background1"/>
                      <w:kern w:val="32"/>
                      <w:sz w:val="18"/>
                      <w:szCs w:val="18"/>
                    </w:rPr>
                  </w:pPr>
                  <w:r w:rsidRPr="00E141F1">
                    <w:rPr>
                      <w:rFonts w:cs="Arial"/>
                      <w:color w:val="FFFFFF" w:themeColor="background1"/>
                      <w:sz w:val="18"/>
                      <w:szCs w:val="18"/>
                    </w:rPr>
                    <w:t>Jun-12</w:t>
                  </w:r>
                </w:p>
              </w:tc>
              <w:tc>
                <w:tcPr>
                  <w:tcW w:w="1116" w:type="dxa"/>
                  <w:shd w:val="clear" w:color="auto" w:fill="00709E"/>
                </w:tcPr>
                <w:p w:rsidR="001E6FB8" w:rsidRPr="00E141F1" w:rsidRDefault="001E6FB8" w:rsidP="001E6FB8">
                  <w:pPr>
                    <w:pStyle w:val="TableHeading"/>
                    <w:keepNext/>
                    <w:keepLines/>
                    <w:ind w:right="12"/>
                    <w:jc w:val="right"/>
                    <w:rPr>
                      <w:rFonts w:cs="Arial"/>
                      <w:color w:val="FFFFFF" w:themeColor="background1"/>
                      <w:spacing w:val="-28"/>
                      <w:sz w:val="18"/>
                      <w:szCs w:val="18"/>
                    </w:rPr>
                  </w:pPr>
                  <w:r w:rsidRPr="00E141F1">
                    <w:rPr>
                      <w:rFonts w:cs="Arial"/>
                      <w:color w:val="FFFFFF" w:themeColor="background1"/>
                      <w:sz w:val="18"/>
                      <w:szCs w:val="18"/>
                    </w:rPr>
                    <w:t>Jun-13</w:t>
                  </w:r>
                </w:p>
              </w:tc>
              <w:tc>
                <w:tcPr>
                  <w:tcW w:w="1661" w:type="dxa"/>
                  <w:shd w:val="clear" w:color="auto" w:fill="00709E"/>
                  <w:hideMark/>
                </w:tcPr>
                <w:p w:rsidR="001E6FB8" w:rsidRPr="00E141F1" w:rsidRDefault="001E6FB8" w:rsidP="001E6FB8">
                  <w:pPr>
                    <w:pStyle w:val="TableHeading"/>
                    <w:keepNext/>
                    <w:keepLines/>
                    <w:ind w:right="40"/>
                    <w:jc w:val="right"/>
                    <w:rPr>
                      <w:rFonts w:cs="Arial"/>
                      <w:color w:val="FFFFFF" w:themeColor="background1"/>
                      <w:sz w:val="18"/>
                      <w:szCs w:val="18"/>
                    </w:rPr>
                  </w:pPr>
                  <w:r w:rsidRPr="00E141F1">
                    <w:rPr>
                      <w:rFonts w:cs="Arial"/>
                      <w:color w:val="FFFFFF" w:themeColor="background1"/>
                      <w:sz w:val="18"/>
                      <w:szCs w:val="18"/>
                    </w:rPr>
                    <w:t xml:space="preserve">% change </w:t>
                  </w:r>
                </w:p>
                <w:p w:rsidR="001E6FB8" w:rsidRPr="007801C1" w:rsidRDefault="001E6FB8" w:rsidP="001E6FB8">
                  <w:pPr>
                    <w:pStyle w:val="TableHeading"/>
                    <w:keepNext/>
                    <w:keepLines/>
                    <w:ind w:right="12"/>
                    <w:jc w:val="center"/>
                    <w:rPr>
                      <w:rFonts w:cs="Arial"/>
                      <w:color w:val="FFFFFF" w:themeColor="background1"/>
                      <w:sz w:val="18"/>
                      <w:szCs w:val="18"/>
                    </w:rPr>
                  </w:pPr>
                  <w:r>
                    <w:rPr>
                      <w:rFonts w:cs="Arial"/>
                      <w:color w:val="FFFFFF" w:themeColor="background1"/>
                      <w:sz w:val="18"/>
                      <w:szCs w:val="18"/>
                    </w:rPr>
                    <w:t xml:space="preserve">                </w:t>
                  </w:r>
                  <w:r w:rsidRPr="00E141F1">
                    <w:rPr>
                      <w:rFonts w:cs="Arial"/>
                      <w:color w:val="FFFFFF" w:themeColor="background1"/>
                      <w:sz w:val="18"/>
                      <w:szCs w:val="18"/>
                    </w:rPr>
                    <w:t>201</w:t>
                  </w:r>
                  <w:r>
                    <w:rPr>
                      <w:rFonts w:cs="Arial"/>
                      <w:color w:val="FFFFFF" w:themeColor="background1"/>
                      <w:sz w:val="18"/>
                      <w:szCs w:val="18"/>
                    </w:rPr>
                    <w:t>2</w:t>
                  </w:r>
                  <w:r w:rsidRPr="00E141F1">
                    <w:rPr>
                      <w:rFonts w:cs="Arial"/>
                      <w:color w:val="FFFFFF" w:themeColor="background1"/>
                      <w:sz w:val="18"/>
                      <w:szCs w:val="18"/>
                    </w:rPr>
                    <w:t>–1</w:t>
                  </w:r>
                  <w:r>
                    <w:rPr>
                      <w:rFonts w:cs="Arial"/>
                      <w:color w:val="FFFFFF" w:themeColor="background1"/>
                      <w:sz w:val="18"/>
                      <w:szCs w:val="18"/>
                    </w:rPr>
                    <w:t xml:space="preserve">3 </w:t>
                  </w:r>
                </w:p>
              </w:tc>
            </w:tr>
            <w:tr w:rsidR="001E6FB8" w:rsidRPr="00E141F1" w:rsidTr="001E6FB8">
              <w:trPr>
                <w:trHeight w:val="169"/>
              </w:trPr>
              <w:tc>
                <w:tcPr>
                  <w:tcW w:w="2398" w:type="dxa"/>
                  <w:tcMar>
                    <w:top w:w="0" w:type="dxa"/>
                    <w:left w:w="113" w:type="dxa"/>
                    <w:bottom w:w="0" w:type="dxa"/>
                    <w:right w:w="0" w:type="dxa"/>
                  </w:tcMar>
                  <w:hideMark/>
                </w:tcPr>
                <w:p w:rsidR="001E6FB8" w:rsidRPr="00E141F1" w:rsidRDefault="001E6FB8" w:rsidP="001E6FB8">
                  <w:pPr>
                    <w:pStyle w:val="ACMATableText"/>
                    <w:keepNext/>
                    <w:keepLines/>
                    <w:rPr>
                      <w:rFonts w:cs="Arial"/>
                      <w:sz w:val="18"/>
                      <w:szCs w:val="18"/>
                    </w:rPr>
                  </w:pPr>
                  <w:r w:rsidRPr="00E141F1">
                    <w:rPr>
                      <w:rFonts w:cs="Arial"/>
                      <w:sz w:val="18"/>
                      <w:szCs w:val="18"/>
                    </w:rPr>
                    <w:t xml:space="preserve">Retail </w:t>
                  </w:r>
                </w:p>
              </w:tc>
              <w:tc>
                <w:tcPr>
                  <w:tcW w:w="1115" w:type="dxa"/>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7.73 m</w:t>
                  </w:r>
                </w:p>
              </w:tc>
              <w:tc>
                <w:tcPr>
                  <w:tcW w:w="1116" w:type="dxa"/>
                  <w:tcMar>
                    <w:top w:w="0" w:type="dxa"/>
                    <w:left w:w="113" w:type="dxa"/>
                    <w:bottom w:w="0" w:type="dxa"/>
                    <w:right w:w="0" w:type="dxa"/>
                  </w:tcMar>
                  <w:vAlign w:val="center"/>
                  <w:hideMark/>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7.41 m</w:t>
                  </w:r>
                </w:p>
              </w:tc>
              <w:tc>
                <w:tcPr>
                  <w:tcW w:w="1116" w:type="dxa"/>
                  <w:vAlign w:val="center"/>
                  <w:hideMark/>
                </w:tcPr>
                <w:p w:rsidR="001E6FB8" w:rsidRPr="00E141F1" w:rsidRDefault="001E6FB8" w:rsidP="001E6FB8">
                  <w:pPr>
                    <w:pStyle w:val="ACMATableText"/>
                    <w:keepNext/>
                    <w:keepLines/>
                    <w:ind w:right="12"/>
                    <w:jc w:val="right"/>
                    <w:rPr>
                      <w:rFonts w:cs="Arial"/>
                      <w:sz w:val="18"/>
                      <w:szCs w:val="18"/>
                    </w:rPr>
                  </w:pPr>
                  <w:r w:rsidRPr="00E141F1">
                    <w:rPr>
                      <w:rFonts w:cs="Arial"/>
                      <w:sz w:val="18"/>
                      <w:szCs w:val="18"/>
                    </w:rPr>
                    <w:t>7.16 m</w:t>
                  </w:r>
                </w:p>
              </w:tc>
              <w:tc>
                <w:tcPr>
                  <w:tcW w:w="1116" w:type="dxa"/>
                  <w:vAlign w:val="center"/>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6.88 m</w:t>
                  </w:r>
                </w:p>
              </w:tc>
              <w:tc>
                <w:tcPr>
                  <w:tcW w:w="1116" w:type="dxa"/>
                  <w:vAlign w:val="center"/>
                </w:tcPr>
                <w:p w:rsidR="001E6FB8" w:rsidRPr="00E141F1" w:rsidRDefault="001E6FB8" w:rsidP="001E6FB8">
                  <w:pPr>
                    <w:pStyle w:val="ACMATableText"/>
                    <w:keepNext/>
                    <w:keepLines/>
                    <w:ind w:right="40"/>
                    <w:jc w:val="right"/>
                    <w:rPr>
                      <w:rFonts w:cs="Arial"/>
                      <w:sz w:val="18"/>
                      <w:szCs w:val="18"/>
                    </w:rPr>
                  </w:pPr>
                  <w:r w:rsidRPr="00E141F1">
                    <w:rPr>
                      <w:rFonts w:cs="Arial"/>
                      <w:sz w:val="18"/>
                      <w:szCs w:val="18"/>
                    </w:rPr>
                    <w:t>6.53 m</w:t>
                  </w:r>
                </w:p>
              </w:tc>
              <w:tc>
                <w:tcPr>
                  <w:tcW w:w="1661" w:type="dxa"/>
                  <w:vAlign w:val="center"/>
                  <w:hideMark/>
                </w:tcPr>
                <w:p w:rsidR="001E6FB8" w:rsidRPr="00E141F1" w:rsidRDefault="001E6FB8" w:rsidP="001E6FB8">
                  <w:pPr>
                    <w:pStyle w:val="ACMATableText"/>
                    <w:keepNext/>
                    <w:keepLines/>
                    <w:ind w:right="12"/>
                    <w:jc w:val="right"/>
                    <w:rPr>
                      <w:rFonts w:cs="Arial"/>
                      <w:sz w:val="18"/>
                      <w:szCs w:val="18"/>
                    </w:rPr>
                  </w:pPr>
                  <w:r>
                    <w:rPr>
                      <w:rFonts w:cs="Arial"/>
                      <w:sz w:val="18"/>
                      <w:szCs w:val="18"/>
                    </w:rPr>
                    <w:t>–</w:t>
                  </w:r>
                  <w:r w:rsidRPr="00E141F1">
                    <w:rPr>
                      <w:rFonts w:cs="Arial"/>
                      <w:sz w:val="18"/>
                      <w:szCs w:val="18"/>
                    </w:rPr>
                    <w:t>5.0%</w:t>
                  </w:r>
                </w:p>
              </w:tc>
            </w:tr>
            <w:tr w:rsidR="001E6FB8" w:rsidRPr="00E141F1" w:rsidTr="001E6FB8">
              <w:trPr>
                <w:trHeight w:val="169"/>
              </w:trPr>
              <w:tc>
                <w:tcPr>
                  <w:tcW w:w="2398" w:type="dxa"/>
                  <w:tcMar>
                    <w:top w:w="0" w:type="dxa"/>
                    <w:left w:w="113" w:type="dxa"/>
                    <w:bottom w:w="0" w:type="dxa"/>
                    <w:right w:w="0" w:type="dxa"/>
                  </w:tcMar>
                  <w:hideMark/>
                </w:tcPr>
                <w:p w:rsidR="001E6FB8" w:rsidRPr="00E141F1" w:rsidRDefault="001E6FB8" w:rsidP="001E6FB8">
                  <w:pPr>
                    <w:pStyle w:val="ACMATableText"/>
                    <w:keepNext/>
                    <w:keepLines/>
                    <w:rPr>
                      <w:rFonts w:cs="Arial"/>
                      <w:sz w:val="18"/>
                      <w:szCs w:val="18"/>
                    </w:rPr>
                  </w:pPr>
                  <w:r w:rsidRPr="00E141F1">
                    <w:rPr>
                      <w:rFonts w:cs="Arial"/>
                      <w:sz w:val="18"/>
                      <w:szCs w:val="18"/>
                    </w:rPr>
                    <w:t>Wholesale</w:t>
                  </w:r>
                </w:p>
              </w:tc>
              <w:tc>
                <w:tcPr>
                  <w:tcW w:w="1115" w:type="dxa"/>
                  <w:vAlign w:val="center"/>
                  <w:hideMark/>
                </w:tcPr>
                <w:p w:rsidR="001E6FB8" w:rsidRPr="00E141F1" w:rsidRDefault="001E6FB8" w:rsidP="001E6FB8">
                  <w:pPr>
                    <w:pStyle w:val="ACMATableText"/>
                    <w:keepNext/>
                    <w:keepLines/>
                    <w:ind w:right="12"/>
                    <w:jc w:val="right"/>
                    <w:rPr>
                      <w:rFonts w:cs="Arial"/>
                      <w:sz w:val="18"/>
                      <w:szCs w:val="18"/>
                    </w:rPr>
                  </w:pPr>
                  <w:r w:rsidRPr="00E141F1">
                    <w:rPr>
                      <w:rFonts w:cs="Arial"/>
                      <w:sz w:val="18"/>
                      <w:szCs w:val="18"/>
                    </w:rPr>
                    <w:t>1.29 m</w:t>
                  </w:r>
                </w:p>
              </w:tc>
              <w:tc>
                <w:tcPr>
                  <w:tcW w:w="1116" w:type="dxa"/>
                  <w:tcMar>
                    <w:top w:w="0" w:type="dxa"/>
                    <w:left w:w="113" w:type="dxa"/>
                    <w:bottom w:w="0" w:type="dxa"/>
                    <w:right w:w="0" w:type="dxa"/>
                  </w:tcMar>
                  <w:vAlign w:val="center"/>
                  <w:hideMark/>
                </w:tcPr>
                <w:p w:rsidR="001E6FB8" w:rsidRPr="00E141F1" w:rsidRDefault="001E6FB8" w:rsidP="001E6FB8">
                  <w:pPr>
                    <w:pStyle w:val="ACMATableText"/>
                    <w:keepNext/>
                    <w:keepLines/>
                    <w:ind w:right="12"/>
                    <w:jc w:val="right"/>
                    <w:rPr>
                      <w:rFonts w:cs="Arial"/>
                      <w:sz w:val="18"/>
                      <w:szCs w:val="18"/>
                    </w:rPr>
                  </w:pPr>
                  <w:r w:rsidRPr="00E141F1">
                    <w:rPr>
                      <w:rFonts w:cs="Arial"/>
                      <w:sz w:val="18"/>
                      <w:szCs w:val="18"/>
                    </w:rPr>
                    <w:t>1.25 m</w:t>
                  </w:r>
                </w:p>
              </w:tc>
              <w:tc>
                <w:tcPr>
                  <w:tcW w:w="1116" w:type="dxa"/>
                  <w:vAlign w:val="center"/>
                  <w:hideMark/>
                </w:tcPr>
                <w:p w:rsidR="001E6FB8" w:rsidRPr="00E141F1" w:rsidRDefault="001E6FB8" w:rsidP="001E6FB8">
                  <w:pPr>
                    <w:pStyle w:val="ACMATableText"/>
                    <w:keepNext/>
                    <w:keepLines/>
                    <w:ind w:right="12"/>
                    <w:jc w:val="right"/>
                    <w:rPr>
                      <w:rFonts w:cs="Arial"/>
                      <w:sz w:val="18"/>
                      <w:szCs w:val="18"/>
                    </w:rPr>
                  </w:pPr>
                  <w:r w:rsidRPr="00E141F1">
                    <w:rPr>
                      <w:rFonts w:cs="Arial"/>
                      <w:sz w:val="18"/>
                      <w:szCs w:val="18"/>
                    </w:rPr>
                    <w:t>1.21 m</w:t>
                  </w:r>
                </w:p>
              </w:tc>
              <w:tc>
                <w:tcPr>
                  <w:tcW w:w="1116" w:type="dxa"/>
                  <w:vAlign w:val="center"/>
                </w:tcPr>
                <w:p w:rsidR="001E6FB8" w:rsidRPr="00E141F1" w:rsidRDefault="001E6FB8" w:rsidP="001E6FB8">
                  <w:pPr>
                    <w:pStyle w:val="ACMATableText"/>
                    <w:keepNext/>
                    <w:keepLines/>
                    <w:ind w:right="12"/>
                    <w:jc w:val="right"/>
                    <w:rPr>
                      <w:rFonts w:cs="Arial"/>
                      <w:sz w:val="18"/>
                      <w:szCs w:val="18"/>
                    </w:rPr>
                  </w:pPr>
                  <w:r w:rsidRPr="00E141F1">
                    <w:rPr>
                      <w:rFonts w:cs="Arial"/>
                      <w:sz w:val="18"/>
                      <w:szCs w:val="18"/>
                    </w:rPr>
                    <w:t>1.18 m</w:t>
                  </w:r>
                </w:p>
              </w:tc>
              <w:tc>
                <w:tcPr>
                  <w:tcW w:w="1116" w:type="dxa"/>
                  <w:vAlign w:val="center"/>
                </w:tcPr>
                <w:p w:rsidR="001E6FB8" w:rsidRPr="00E141F1" w:rsidRDefault="001E6FB8" w:rsidP="001E6FB8">
                  <w:pPr>
                    <w:pStyle w:val="ACMATableText"/>
                    <w:keepNext/>
                    <w:keepLines/>
                    <w:ind w:right="12"/>
                    <w:jc w:val="right"/>
                    <w:rPr>
                      <w:rFonts w:cs="Arial"/>
                      <w:sz w:val="18"/>
                      <w:szCs w:val="18"/>
                    </w:rPr>
                  </w:pPr>
                  <w:r w:rsidRPr="00E141F1">
                    <w:rPr>
                      <w:rFonts w:cs="Arial"/>
                      <w:sz w:val="18"/>
                      <w:szCs w:val="18"/>
                    </w:rPr>
                    <w:t>1.24 m</w:t>
                  </w:r>
                </w:p>
              </w:tc>
              <w:tc>
                <w:tcPr>
                  <w:tcW w:w="1661" w:type="dxa"/>
                  <w:vAlign w:val="center"/>
                  <w:hideMark/>
                </w:tcPr>
                <w:p w:rsidR="001E6FB8" w:rsidRPr="00E141F1" w:rsidRDefault="001E6FB8" w:rsidP="001E6FB8">
                  <w:pPr>
                    <w:pStyle w:val="ACMATableText"/>
                    <w:keepNext/>
                    <w:keepLines/>
                    <w:ind w:right="12"/>
                    <w:jc w:val="right"/>
                    <w:rPr>
                      <w:rFonts w:cs="Arial"/>
                      <w:sz w:val="18"/>
                      <w:szCs w:val="18"/>
                    </w:rPr>
                  </w:pPr>
                  <w:r w:rsidRPr="00E141F1">
                    <w:rPr>
                      <w:rFonts w:cs="Arial"/>
                      <w:sz w:val="18"/>
                      <w:szCs w:val="18"/>
                    </w:rPr>
                    <w:t>+5.0%</w:t>
                  </w:r>
                </w:p>
              </w:tc>
            </w:tr>
            <w:tr w:rsidR="001E6FB8" w:rsidRPr="00E141F1" w:rsidTr="001E6FB8">
              <w:trPr>
                <w:trHeight w:val="169"/>
              </w:trPr>
              <w:tc>
                <w:tcPr>
                  <w:tcW w:w="2398" w:type="dxa"/>
                  <w:tcMar>
                    <w:top w:w="0" w:type="dxa"/>
                    <w:left w:w="113" w:type="dxa"/>
                    <w:bottom w:w="0" w:type="dxa"/>
                    <w:right w:w="0" w:type="dxa"/>
                  </w:tcMar>
                  <w:hideMark/>
                </w:tcPr>
                <w:p w:rsidR="001E6FB8" w:rsidRPr="00E141F1" w:rsidRDefault="001E6FB8" w:rsidP="001E6FB8">
                  <w:pPr>
                    <w:pStyle w:val="ACMATableText"/>
                    <w:keepNext/>
                    <w:keepLines/>
                    <w:rPr>
                      <w:rFonts w:cs="Arial"/>
                      <w:b/>
                      <w:sz w:val="18"/>
                      <w:szCs w:val="18"/>
                    </w:rPr>
                  </w:pPr>
                  <w:r w:rsidRPr="00E141F1">
                    <w:rPr>
                      <w:rFonts w:cs="Arial"/>
                      <w:b/>
                      <w:sz w:val="18"/>
                      <w:szCs w:val="18"/>
                    </w:rPr>
                    <w:t>Total</w:t>
                  </w:r>
                </w:p>
              </w:tc>
              <w:tc>
                <w:tcPr>
                  <w:tcW w:w="1115" w:type="dxa"/>
                  <w:vAlign w:val="center"/>
                  <w:hideMark/>
                </w:tcPr>
                <w:p w:rsidR="001E6FB8" w:rsidRPr="00E141F1" w:rsidRDefault="001E6FB8" w:rsidP="001E6FB8">
                  <w:pPr>
                    <w:pStyle w:val="ACMATableText"/>
                    <w:keepNext/>
                    <w:keepLines/>
                    <w:ind w:right="12"/>
                    <w:jc w:val="right"/>
                    <w:rPr>
                      <w:rFonts w:cs="Arial"/>
                      <w:b/>
                      <w:sz w:val="18"/>
                      <w:szCs w:val="18"/>
                    </w:rPr>
                  </w:pPr>
                  <w:r w:rsidRPr="00E141F1">
                    <w:rPr>
                      <w:rFonts w:cs="Arial"/>
                      <w:b/>
                      <w:sz w:val="18"/>
                      <w:szCs w:val="18"/>
                    </w:rPr>
                    <w:t>9.02 m</w:t>
                  </w:r>
                </w:p>
              </w:tc>
              <w:tc>
                <w:tcPr>
                  <w:tcW w:w="1116" w:type="dxa"/>
                  <w:tcMar>
                    <w:top w:w="0" w:type="dxa"/>
                    <w:left w:w="113" w:type="dxa"/>
                    <w:bottom w:w="0" w:type="dxa"/>
                    <w:right w:w="0" w:type="dxa"/>
                  </w:tcMar>
                  <w:vAlign w:val="center"/>
                  <w:hideMark/>
                </w:tcPr>
                <w:p w:rsidR="001E6FB8" w:rsidRPr="00E141F1" w:rsidRDefault="001E6FB8" w:rsidP="001E6FB8">
                  <w:pPr>
                    <w:pStyle w:val="ACMATableText"/>
                    <w:keepNext/>
                    <w:keepLines/>
                    <w:ind w:right="12"/>
                    <w:jc w:val="right"/>
                    <w:rPr>
                      <w:rFonts w:cs="Arial"/>
                      <w:b/>
                      <w:sz w:val="18"/>
                      <w:szCs w:val="18"/>
                    </w:rPr>
                  </w:pPr>
                  <w:r w:rsidRPr="00E141F1">
                    <w:rPr>
                      <w:rFonts w:cs="Arial"/>
                      <w:b/>
                      <w:sz w:val="18"/>
                      <w:szCs w:val="18"/>
                    </w:rPr>
                    <w:t>8.66 m</w:t>
                  </w:r>
                </w:p>
              </w:tc>
              <w:tc>
                <w:tcPr>
                  <w:tcW w:w="1116" w:type="dxa"/>
                  <w:vAlign w:val="center"/>
                  <w:hideMark/>
                </w:tcPr>
                <w:p w:rsidR="001E6FB8" w:rsidRPr="00E141F1" w:rsidRDefault="001E6FB8" w:rsidP="001E6FB8">
                  <w:pPr>
                    <w:pStyle w:val="ACMATableText"/>
                    <w:keepNext/>
                    <w:keepLines/>
                    <w:ind w:right="12"/>
                    <w:jc w:val="right"/>
                    <w:rPr>
                      <w:rFonts w:cs="Arial"/>
                      <w:b/>
                      <w:sz w:val="18"/>
                      <w:szCs w:val="18"/>
                    </w:rPr>
                  </w:pPr>
                  <w:r w:rsidRPr="00E141F1">
                    <w:rPr>
                      <w:rFonts w:cs="Arial"/>
                      <w:b/>
                      <w:sz w:val="18"/>
                      <w:szCs w:val="18"/>
                    </w:rPr>
                    <w:t>8.37 m</w:t>
                  </w:r>
                </w:p>
              </w:tc>
              <w:tc>
                <w:tcPr>
                  <w:tcW w:w="1116" w:type="dxa"/>
                  <w:vAlign w:val="center"/>
                </w:tcPr>
                <w:p w:rsidR="001E6FB8" w:rsidRPr="00E141F1" w:rsidRDefault="001E6FB8" w:rsidP="001E6FB8">
                  <w:pPr>
                    <w:pStyle w:val="ACMATableText"/>
                    <w:keepNext/>
                    <w:keepLines/>
                    <w:ind w:right="12"/>
                    <w:jc w:val="right"/>
                    <w:rPr>
                      <w:rFonts w:cs="Arial"/>
                      <w:b/>
                      <w:sz w:val="18"/>
                      <w:szCs w:val="18"/>
                    </w:rPr>
                  </w:pPr>
                  <w:r w:rsidRPr="00E141F1">
                    <w:rPr>
                      <w:rFonts w:cs="Arial"/>
                      <w:b/>
                      <w:sz w:val="18"/>
                      <w:szCs w:val="18"/>
                    </w:rPr>
                    <w:t>8.06 m</w:t>
                  </w:r>
                </w:p>
              </w:tc>
              <w:tc>
                <w:tcPr>
                  <w:tcW w:w="1116" w:type="dxa"/>
                  <w:vAlign w:val="center"/>
                </w:tcPr>
                <w:p w:rsidR="001E6FB8" w:rsidRPr="00E141F1" w:rsidRDefault="001E6FB8" w:rsidP="001E6FB8">
                  <w:pPr>
                    <w:pStyle w:val="ACMATableText"/>
                    <w:keepNext/>
                    <w:keepLines/>
                    <w:ind w:right="12"/>
                    <w:jc w:val="right"/>
                    <w:rPr>
                      <w:rFonts w:cs="Arial"/>
                      <w:b/>
                      <w:sz w:val="18"/>
                      <w:szCs w:val="18"/>
                    </w:rPr>
                  </w:pPr>
                  <w:r w:rsidRPr="00E141F1">
                    <w:rPr>
                      <w:rFonts w:cs="Arial"/>
                      <w:b/>
                      <w:sz w:val="18"/>
                      <w:szCs w:val="18"/>
                    </w:rPr>
                    <w:t>7.77 m</w:t>
                  </w:r>
                </w:p>
              </w:tc>
              <w:tc>
                <w:tcPr>
                  <w:tcW w:w="1661" w:type="dxa"/>
                  <w:vAlign w:val="center"/>
                  <w:hideMark/>
                </w:tcPr>
                <w:p w:rsidR="001E6FB8" w:rsidRPr="00E141F1" w:rsidRDefault="001E6FB8" w:rsidP="001E6FB8">
                  <w:pPr>
                    <w:pStyle w:val="ACMATableText"/>
                    <w:keepNext/>
                    <w:keepLines/>
                    <w:ind w:right="12"/>
                    <w:jc w:val="right"/>
                    <w:rPr>
                      <w:rFonts w:cs="Arial"/>
                      <w:b/>
                      <w:sz w:val="18"/>
                      <w:szCs w:val="18"/>
                    </w:rPr>
                  </w:pPr>
                  <w:r w:rsidRPr="00E141F1">
                    <w:rPr>
                      <w:rFonts w:cs="Arial"/>
                      <w:b/>
                      <w:sz w:val="18"/>
                      <w:szCs w:val="18"/>
                    </w:rPr>
                    <w:t>–3.6%</w:t>
                  </w:r>
                </w:p>
              </w:tc>
            </w:tr>
          </w:tbl>
          <w:p w:rsidR="001E6FB8" w:rsidRPr="00E141F1" w:rsidRDefault="001E6FB8" w:rsidP="001E6FB8">
            <w:pPr>
              <w:keepNext/>
              <w:keepLines/>
              <w:rPr>
                <w:rFonts w:cs="Arial"/>
              </w:rPr>
            </w:pPr>
          </w:p>
        </w:tc>
      </w:tr>
      <w:tr w:rsidR="001E6FB8" w:rsidRPr="00E141F1" w:rsidTr="001E6FB8">
        <w:trPr>
          <w:gridAfter w:val="1"/>
          <w:wAfter w:w="295" w:type="dxa"/>
          <w:trHeight w:val="271"/>
        </w:trPr>
        <w:tc>
          <w:tcPr>
            <w:tcW w:w="9765" w:type="dxa"/>
            <w:tcBorders>
              <w:bottom w:val="single" w:sz="2" w:space="0" w:color="505050"/>
            </w:tcBorders>
            <w:shd w:val="clear" w:color="auto" w:fill="auto"/>
          </w:tcPr>
          <w:p w:rsidR="001E6FB8" w:rsidRPr="00E141F1" w:rsidRDefault="001E6FB8" w:rsidP="001E6FB8">
            <w:pPr>
              <w:keepNext/>
              <w:keepLines/>
              <w:spacing w:before="60" w:line="240" w:lineRule="auto"/>
              <w:rPr>
                <w:rFonts w:cs="Arial"/>
                <w:i/>
                <w:sz w:val="16"/>
                <w:szCs w:val="16"/>
              </w:rPr>
            </w:pPr>
            <w:r w:rsidRPr="00E141F1">
              <w:rPr>
                <w:rFonts w:cs="Arial"/>
                <w:i/>
                <w:sz w:val="16"/>
                <w:szCs w:val="16"/>
              </w:rPr>
              <w:t>m=million.</w:t>
            </w:r>
          </w:p>
          <w:p w:rsidR="001E6FB8" w:rsidRPr="00E141F1" w:rsidRDefault="001E6FB8" w:rsidP="001E6FB8">
            <w:pPr>
              <w:keepNext/>
              <w:keepLines/>
              <w:spacing w:line="240" w:lineRule="auto"/>
              <w:rPr>
                <w:rFonts w:cs="Arial"/>
                <w:i/>
                <w:sz w:val="16"/>
                <w:szCs w:val="16"/>
              </w:rPr>
            </w:pPr>
            <w:r>
              <w:rPr>
                <w:rFonts w:cs="Arial"/>
                <w:i/>
                <w:sz w:val="16"/>
                <w:szCs w:val="16"/>
              </w:rPr>
              <w:t>*</w:t>
            </w:r>
            <w:r w:rsidRPr="00E141F1">
              <w:rPr>
                <w:rFonts w:cs="Arial"/>
                <w:i/>
                <w:sz w:val="16"/>
                <w:szCs w:val="16"/>
              </w:rPr>
              <w:t xml:space="preserve">Includes PSTN and other fixed-line telephone services such as VoIP (using a VoIP handset). </w:t>
            </w:r>
          </w:p>
          <w:p w:rsidR="001E6FB8" w:rsidRPr="00E141F1" w:rsidRDefault="001E6FB8" w:rsidP="001E6FB8">
            <w:pPr>
              <w:keepNext/>
              <w:keepLines/>
              <w:spacing w:line="240" w:lineRule="auto"/>
              <w:rPr>
                <w:rFonts w:cs="Arial"/>
                <w:i/>
                <w:sz w:val="16"/>
                <w:szCs w:val="16"/>
              </w:rPr>
            </w:pPr>
            <w:r w:rsidRPr="00E141F1">
              <w:rPr>
                <w:rFonts w:cs="Arial"/>
                <w:i/>
                <w:sz w:val="16"/>
                <w:szCs w:val="16"/>
              </w:rPr>
              <w:t>Note: Retail refers to residential and business services provided on the carriers’ or CSPs’ own network. Wholesale relates to services provided for resale.</w:t>
            </w:r>
          </w:p>
          <w:p w:rsidR="001E6FB8" w:rsidRPr="00E141F1" w:rsidRDefault="001E6FB8" w:rsidP="001E6FB8">
            <w:pPr>
              <w:keepNext/>
              <w:keepLines/>
              <w:spacing w:after="60" w:line="240" w:lineRule="auto"/>
              <w:rPr>
                <w:rFonts w:cs="Arial"/>
              </w:rPr>
            </w:pPr>
            <w:r w:rsidRPr="00892D68">
              <w:rPr>
                <w:rFonts w:cs="Arial"/>
                <w:i/>
                <w:sz w:val="16"/>
                <w:szCs w:val="16"/>
              </w:rPr>
              <w:t>Source: ACMA annual industry data request.</w:t>
            </w:r>
          </w:p>
        </w:tc>
      </w:tr>
    </w:tbl>
    <w:p w:rsidR="001E6FB8" w:rsidRPr="00E141F1" w:rsidRDefault="001E6FB8" w:rsidP="001E6FB8">
      <w:pPr>
        <w:ind w:left="295"/>
        <w:rPr>
          <w:rFonts w:cs="Arial"/>
        </w:rPr>
      </w:pPr>
    </w:p>
    <w:p w:rsidR="001E6FB8" w:rsidRPr="00E141F1" w:rsidRDefault="001E6FB8" w:rsidP="001E6FB8">
      <w:pPr>
        <w:pStyle w:val="Heading3"/>
      </w:pPr>
      <w:bookmarkStart w:id="116" w:name="_Toc371588978"/>
      <w:bookmarkStart w:id="117" w:name="_Toc373149040"/>
      <w:r w:rsidRPr="00E141F1">
        <w:t>The continued shift from fixed-line telephony</w:t>
      </w:r>
      <w:bookmarkEnd w:id="116"/>
      <w:bookmarkEnd w:id="117"/>
    </w:p>
    <w:p w:rsidR="001E6FB8" w:rsidRPr="00E141F1" w:rsidRDefault="001E6FB8" w:rsidP="001E6FB8">
      <w:pPr>
        <w:spacing w:after="80"/>
        <w:rPr>
          <w:rFonts w:cs="Arial"/>
        </w:rPr>
      </w:pPr>
      <w:r w:rsidRPr="00E141F1">
        <w:rPr>
          <w:rFonts w:cs="Arial"/>
        </w:rPr>
        <w:t>The decrease in fixed-line voice services in operation and related revenue continues to reflect the changing patterns of communications use in Australia. This has been driven by a number of key trends</w:t>
      </w:r>
      <w:r>
        <w:rPr>
          <w:rFonts w:cs="Arial"/>
        </w:rPr>
        <w:t>,</w:t>
      </w:r>
      <w:r w:rsidRPr="00E141F1">
        <w:rPr>
          <w:rFonts w:cs="Arial"/>
        </w:rPr>
        <w:t xml:space="preserve"> which include:</w:t>
      </w:r>
    </w:p>
    <w:p w:rsidR="001E6FB8" w:rsidRPr="00E141F1" w:rsidRDefault="001E6FB8" w:rsidP="001E6FB8">
      <w:pPr>
        <w:pStyle w:val="ListBullet"/>
        <w:tabs>
          <w:tab w:val="clear" w:pos="295"/>
          <w:tab w:val="num" w:pos="0"/>
        </w:tabs>
        <w:spacing w:line="240" w:lineRule="auto"/>
        <w:rPr>
          <w:rFonts w:cs="Arial"/>
        </w:rPr>
      </w:pPr>
      <w:r w:rsidRPr="00E141F1">
        <w:rPr>
          <w:rFonts w:cs="Arial"/>
        </w:rPr>
        <w:t>continued growth in the number of mobile phone users without a fixed-line voice service in the home</w:t>
      </w:r>
    </w:p>
    <w:p w:rsidR="001E6FB8" w:rsidRPr="00E141F1" w:rsidRDefault="001E6FB8" w:rsidP="001E6FB8">
      <w:pPr>
        <w:pStyle w:val="ListBullet"/>
        <w:tabs>
          <w:tab w:val="clear" w:pos="295"/>
          <w:tab w:val="num" w:pos="0"/>
        </w:tabs>
        <w:spacing w:line="240" w:lineRule="auto"/>
        <w:rPr>
          <w:rFonts w:cs="Arial"/>
        </w:rPr>
      </w:pPr>
      <w:r w:rsidRPr="00E141F1">
        <w:rPr>
          <w:rFonts w:cs="Arial"/>
        </w:rPr>
        <w:t>diversification in communications services used and a related decline in consumers</w:t>
      </w:r>
      <w:r>
        <w:rPr>
          <w:rFonts w:cs="Arial"/>
        </w:rPr>
        <w:t xml:space="preserve"> </w:t>
      </w:r>
      <w:r w:rsidRPr="00E141F1">
        <w:rPr>
          <w:rFonts w:cs="Arial"/>
        </w:rPr>
        <w:t>identifying fixed-line voice as their most used communications service</w:t>
      </w:r>
    </w:p>
    <w:p w:rsidR="001E6FB8" w:rsidRPr="00E141F1" w:rsidRDefault="001E6FB8" w:rsidP="001E6FB8">
      <w:pPr>
        <w:pStyle w:val="ListBullet"/>
        <w:tabs>
          <w:tab w:val="clear" w:pos="295"/>
          <w:tab w:val="num" w:pos="0"/>
        </w:tabs>
        <w:spacing w:after="240" w:line="240" w:lineRule="auto"/>
        <w:rPr>
          <w:rFonts w:cs="Arial"/>
        </w:rPr>
      </w:pPr>
      <w:r w:rsidRPr="00E141F1">
        <w:rPr>
          <w:rFonts w:cs="Arial"/>
        </w:rPr>
        <w:t>growth in use of OTT communications services such as mobile VoIP.</w:t>
      </w:r>
    </w:p>
    <w:p w:rsidR="001E6FB8" w:rsidRPr="00E141F1" w:rsidRDefault="001E6FB8" w:rsidP="001E6FB8">
      <w:pPr>
        <w:pStyle w:val="Bodysubheader"/>
        <w:rPr>
          <w:rFonts w:cs="Arial"/>
        </w:rPr>
      </w:pPr>
      <w:r w:rsidRPr="00E141F1">
        <w:rPr>
          <w:rFonts w:cs="Arial"/>
        </w:rPr>
        <w:t>Growth in mobile phone only consumers</w:t>
      </w:r>
    </w:p>
    <w:p w:rsidR="001E6FB8" w:rsidRPr="00E141F1" w:rsidRDefault="001E6FB8" w:rsidP="001E6FB8">
      <w:pPr>
        <w:pStyle w:val="ListBullet"/>
        <w:numPr>
          <w:ilvl w:val="0"/>
          <w:numId w:val="0"/>
        </w:numPr>
        <w:spacing w:after="0" w:line="240" w:lineRule="auto"/>
        <w:rPr>
          <w:rFonts w:cs="Arial"/>
        </w:rPr>
      </w:pPr>
      <w:r w:rsidRPr="00E141F1">
        <w:rPr>
          <w:rFonts w:cs="Arial"/>
        </w:rPr>
        <w:t>At June 2013, 3.68 million Australians aged 18 years and over—21 per cent of the total adult population—were estimated to be without a fixed-line telephone service in the home, an increase of 18 per cent since June 2012 (Figure 1.1). The majority of these people (59 per cent) were aged 18–34.</w:t>
      </w:r>
    </w:p>
    <w:p w:rsidR="001E6FB8" w:rsidRPr="00E141F1" w:rsidRDefault="001E6FB8" w:rsidP="001E6FB8">
      <w:pPr>
        <w:spacing w:line="240" w:lineRule="auto"/>
        <w:ind w:left="295"/>
        <w:rPr>
          <w:rFonts w:cs="Arial"/>
        </w:rPr>
      </w:pPr>
    </w:p>
    <w:tbl>
      <w:tblPr>
        <w:tblW w:w="9495" w:type="dxa"/>
        <w:tblLayout w:type="fixed"/>
        <w:tblCellMar>
          <w:left w:w="0" w:type="dxa"/>
          <w:right w:w="0" w:type="dxa"/>
        </w:tblCellMar>
        <w:tblLook w:val="01E0"/>
      </w:tblPr>
      <w:tblGrid>
        <w:gridCol w:w="9495"/>
      </w:tblGrid>
      <w:tr w:rsidR="001E6FB8" w:rsidRPr="00E141F1" w:rsidTr="001E6FB8">
        <w:trPr>
          <w:trHeight w:val="573"/>
        </w:trPr>
        <w:tc>
          <w:tcPr>
            <w:tcW w:w="949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w:t>
            </w:r>
            <w:r w:rsidR="00421002" w:rsidRPr="00E141F1">
              <w:rPr>
                <w:rFonts w:cs="Arial"/>
              </w:rPr>
              <w:fldChar w:fldCharType="end"/>
            </w:r>
            <w:r w:rsidRPr="00E141F1">
              <w:rPr>
                <w:rFonts w:cs="Arial"/>
              </w:rPr>
              <w:t xml:space="preserve"> Growth in </w:t>
            </w:r>
            <w:r w:rsidRPr="000B4953">
              <w:rPr>
                <w:rFonts w:cs="Arial"/>
              </w:rPr>
              <w:t>population</w:t>
            </w:r>
            <w:r w:rsidRPr="00E141F1">
              <w:rPr>
                <w:rFonts w:cs="Arial"/>
              </w:rPr>
              <w:t xml:space="preserve"> with a mobile phone and no fixed-line telephone</w:t>
            </w:r>
          </w:p>
        </w:tc>
      </w:tr>
      <w:tr w:rsidR="001E6FB8" w:rsidRPr="00E141F1" w:rsidTr="001E6FB8">
        <w:trPr>
          <w:trHeight w:val="2346"/>
        </w:trPr>
        <w:tc>
          <w:tcPr>
            <w:tcW w:w="9495" w:type="dxa"/>
            <w:shd w:val="clear" w:color="auto" w:fill="auto"/>
            <w:tcMar>
              <w:left w:w="28" w:type="dxa"/>
            </w:tcMar>
          </w:tcPr>
          <w:p w:rsidR="001E6FB8" w:rsidRPr="00E141F1" w:rsidRDefault="001E6FB8" w:rsidP="001E6FB8">
            <w:pPr>
              <w:keepNext/>
              <w:rPr>
                <w:rFonts w:cs="Arial"/>
              </w:rPr>
            </w:pPr>
            <w:r w:rsidRPr="00E141F1">
              <w:rPr>
                <w:rFonts w:cs="Arial"/>
                <w:noProof/>
              </w:rPr>
              <w:drawing>
                <wp:inline distT="0" distB="0" distL="0" distR="0">
                  <wp:extent cx="6004874" cy="1819374"/>
                  <wp:effectExtent l="0" t="0" r="0" b="0"/>
                  <wp:docPr id="265" name="Chart 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1E6FB8" w:rsidRPr="00E141F1" w:rsidTr="001E6FB8">
        <w:trPr>
          <w:trHeight w:val="291"/>
        </w:trPr>
        <w:tc>
          <w:tcPr>
            <w:tcW w:w="9495" w:type="dxa"/>
            <w:tcBorders>
              <w:bottom w:val="single" w:sz="2" w:space="0" w:color="505050"/>
            </w:tcBorders>
            <w:shd w:val="clear" w:color="auto" w:fill="auto"/>
          </w:tcPr>
          <w:p w:rsidR="001E6FB8" w:rsidRPr="00E141F1" w:rsidRDefault="001E6FB8" w:rsidP="001E6FB8">
            <w:pPr>
              <w:keepNext/>
              <w:spacing w:before="60" w:after="60" w:line="240" w:lineRule="auto"/>
              <w:rPr>
                <w:rFonts w:cs="Arial"/>
              </w:rPr>
            </w:pPr>
            <w:r w:rsidRPr="00E141F1">
              <w:rPr>
                <w:rFonts w:cs="Arial"/>
                <w:i/>
                <w:sz w:val="16"/>
                <w:szCs w:val="16"/>
              </w:rPr>
              <w:t>Source: Roy Morgan Single Source.</w:t>
            </w:r>
          </w:p>
        </w:tc>
      </w:tr>
    </w:tbl>
    <w:p w:rsidR="001E6FB8" w:rsidRPr="00E141F1" w:rsidRDefault="001E6FB8" w:rsidP="001E6FB8">
      <w:pPr>
        <w:ind w:left="295"/>
        <w:rPr>
          <w:rFonts w:cs="Arial"/>
        </w:rPr>
      </w:pPr>
    </w:p>
    <w:p w:rsidR="001E6FB8" w:rsidRPr="00E141F1" w:rsidRDefault="001E6FB8" w:rsidP="001E6FB8">
      <w:pPr>
        <w:pStyle w:val="Bodysubheader"/>
        <w:keepNext/>
        <w:keepLines/>
        <w:rPr>
          <w:rFonts w:cs="Arial"/>
        </w:rPr>
      </w:pPr>
      <w:r w:rsidRPr="00E141F1">
        <w:rPr>
          <w:rFonts w:cs="Arial"/>
        </w:rPr>
        <w:t>Diversification in communications services used</w:t>
      </w:r>
    </w:p>
    <w:p w:rsidR="001E6FB8" w:rsidRPr="00E141F1" w:rsidRDefault="001E6FB8" w:rsidP="001E6FB8">
      <w:pPr>
        <w:pStyle w:val="ListBullet"/>
        <w:keepLines/>
        <w:numPr>
          <w:ilvl w:val="0"/>
          <w:numId w:val="0"/>
        </w:numPr>
        <w:spacing w:after="0" w:line="240" w:lineRule="auto"/>
        <w:rPr>
          <w:rFonts w:cs="Arial"/>
        </w:rPr>
      </w:pPr>
      <w:r w:rsidRPr="00E141F1">
        <w:rPr>
          <w:rFonts w:cs="Arial"/>
        </w:rPr>
        <w:t xml:space="preserve">The ACMA’s consumer research reveals that there is growing diversity in the communications services used by Australians. However, mobile communications, particularly with the advent of </w:t>
      </w:r>
      <w:proofErr w:type="spellStart"/>
      <w:r w:rsidRPr="00E141F1">
        <w:rPr>
          <w:rFonts w:cs="Arial"/>
        </w:rPr>
        <w:t>smartphones</w:t>
      </w:r>
      <w:proofErr w:type="spellEnd"/>
      <w:r w:rsidRPr="00E141F1">
        <w:rPr>
          <w:rFonts w:cs="Arial"/>
        </w:rPr>
        <w:t xml:space="preserve">, continue to be at the forefront of consumer communication activity (Figure 1.2). </w:t>
      </w:r>
    </w:p>
    <w:p w:rsidR="001E6FB8" w:rsidRDefault="001E6FB8" w:rsidP="001E6FB8">
      <w:pPr>
        <w:pStyle w:val="ListBullet"/>
        <w:numPr>
          <w:ilvl w:val="0"/>
          <w:numId w:val="0"/>
        </w:numPr>
        <w:spacing w:after="0" w:line="240" w:lineRule="auto"/>
        <w:ind w:left="295"/>
        <w:rPr>
          <w:rFonts w:cs="Arial"/>
        </w:rPr>
      </w:pPr>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C95317" w:rsidRDefault="001E6FB8" w:rsidP="001E6FB8">
            <w:pPr>
              <w:pStyle w:val="Caption"/>
              <w:keepNext/>
              <w:rPr>
                <w:rFonts w:cs="Arial"/>
              </w:rPr>
            </w:pPr>
            <w:r>
              <w:t xml:space="preserve">Figure </w:t>
            </w:r>
            <w:r w:rsidRPr="00E141F1">
              <w:rPr>
                <w:rFonts w:cs="Arial"/>
              </w:rPr>
              <w:t>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2</w:t>
            </w:r>
            <w:r w:rsidR="00421002" w:rsidRPr="00E141F1">
              <w:rPr>
                <w:rFonts w:cs="Arial"/>
              </w:rPr>
              <w:fldChar w:fldCharType="end"/>
            </w:r>
            <w:r w:rsidRPr="00E141F1">
              <w:rPr>
                <w:rFonts w:cs="Arial"/>
              </w:rPr>
              <w:t xml:space="preserve"> Communications services used in the six months</w:t>
            </w:r>
          </w:p>
        </w:tc>
      </w:tr>
      <w:tr w:rsidR="001E6FB8" w:rsidTr="001E6FB8">
        <w:trPr>
          <w:trHeight w:val="3086"/>
        </w:trPr>
        <w:tc>
          <w:tcPr>
            <w:tcW w:w="9645" w:type="dxa"/>
            <w:shd w:val="clear" w:color="auto" w:fill="auto"/>
            <w:tcMar>
              <w:left w:w="28" w:type="dxa"/>
            </w:tcMar>
          </w:tcPr>
          <w:p w:rsidR="001E6FB8" w:rsidRDefault="001E6FB8" w:rsidP="001E6FB8">
            <w:r w:rsidRPr="00752440">
              <w:rPr>
                <w:noProof/>
              </w:rPr>
              <w:drawing>
                <wp:inline distT="0" distB="0" distL="0" distR="0">
                  <wp:extent cx="5731510" cy="2753084"/>
                  <wp:effectExtent l="0" t="0" r="0" b="0"/>
                  <wp:docPr id="22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1E6FB8"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widowControl w:val="0"/>
              <w:spacing w:line="240" w:lineRule="auto"/>
              <w:outlineLvl w:val="0"/>
              <w:rPr>
                <w:rFonts w:cs="Arial"/>
                <w:i/>
                <w:sz w:val="16"/>
                <w:szCs w:val="16"/>
              </w:rPr>
            </w:pPr>
            <w:r w:rsidRPr="00E141F1">
              <w:rPr>
                <w:rFonts w:cs="Arial"/>
                <w:i/>
                <w:sz w:val="16"/>
                <w:szCs w:val="16"/>
              </w:rPr>
              <w:t>Base: People with a fixed-line telephone and/or a mobile telephone.</w:t>
            </w:r>
          </w:p>
          <w:p w:rsidR="001E6FB8" w:rsidRPr="00E141F1" w:rsidRDefault="001E6FB8" w:rsidP="001E6FB8">
            <w:pPr>
              <w:keepNext/>
              <w:keepLines/>
              <w:widowControl w:val="0"/>
              <w:spacing w:line="240" w:lineRule="auto"/>
              <w:outlineLvl w:val="0"/>
              <w:rPr>
                <w:rFonts w:cs="Arial"/>
                <w:i/>
                <w:sz w:val="16"/>
                <w:szCs w:val="16"/>
              </w:rPr>
            </w:pPr>
            <w:r w:rsidRPr="00E141F1">
              <w:rPr>
                <w:rFonts w:cs="Arial"/>
                <w:i/>
                <w:sz w:val="16"/>
                <w:szCs w:val="16"/>
              </w:rPr>
              <w:t>Note: Multiple responses allowed.</w:t>
            </w:r>
          </w:p>
          <w:p w:rsidR="001E6FB8" w:rsidRDefault="001E6FB8" w:rsidP="001E6FB8">
            <w:pPr>
              <w:spacing w:after="60" w:line="240" w:lineRule="auto"/>
            </w:pPr>
            <w:r w:rsidRPr="00E141F1">
              <w:rPr>
                <w:rFonts w:cs="Arial"/>
                <w:i/>
                <w:sz w:val="16"/>
                <w:szCs w:val="16"/>
              </w:rPr>
              <w:t>Source: ACMA-commissioned surveys.</w:t>
            </w:r>
          </w:p>
        </w:tc>
      </w:tr>
    </w:tbl>
    <w:p w:rsidR="001E6FB8" w:rsidRDefault="001E6FB8" w:rsidP="001E6FB8">
      <w:pPr>
        <w:pStyle w:val="ListBullet"/>
        <w:numPr>
          <w:ilvl w:val="0"/>
          <w:numId w:val="0"/>
        </w:numPr>
        <w:spacing w:after="0" w:line="240" w:lineRule="auto"/>
        <w:ind w:left="295"/>
        <w:rPr>
          <w:rFonts w:cs="Arial"/>
        </w:rPr>
      </w:pPr>
    </w:p>
    <w:p w:rsidR="001E6FB8" w:rsidRPr="00E141F1" w:rsidRDefault="001E6FB8" w:rsidP="001E6FB8">
      <w:pPr>
        <w:pStyle w:val="Bodysubheader"/>
        <w:rPr>
          <w:rFonts w:cs="Arial"/>
        </w:rPr>
      </w:pPr>
      <w:r w:rsidRPr="00E141F1">
        <w:rPr>
          <w:rFonts w:cs="Arial"/>
        </w:rPr>
        <w:t>Complementary use of communications services</w:t>
      </w:r>
    </w:p>
    <w:p w:rsidR="001E6FB8" w:rsidRPr="00E141F1" w:rsidRDefault="001E6FB8" w:rsidP="001E6FB8">
      <w:pPr>
        <w:spacing w:line="240" w:lineRule="auto"/>
        <w:rPr>
          <w:rFonts w:cs="Arial"/>
        </w:rPr>
      </w:pPr>
      <w:r w:rsidRPr="00E141F1">
        <w:rPr>
          <w:rFonts w:cs="Arial"/>
        </w:rPr>
        <w:t xml:space="preserve">The majority of Australians do not use individual communications services exclusively, preferring instead to mix and match services to suit specific needs and circumstances (Figure 1.3). </w:t>
      </w:r>
    </w:p>
    <w:p w:rsidR="001E6FB8" w:rsidRPr="00E141F1" w:rsidRDefault="001E6FB8" w:rsidP="001E6FB8">
      <w:pPr>
        <w:spacing w:line="240" w:lineRule="auto"/>
        <w:rPr>
          <w:rFonts w:cs="Arial"/>
        </w:rPr>
      </w:pPr>
    </w:p>
    <w:p w:rsidR="001E6FB8" w:rsidRPr="00E141F1" w:rsidRDefault="001E6FB8" w:rsidP="001E6FB8">
      <w:pPr>
        <w:spacing w:line="240" w:lineRule="auto"/>
        <w:rPr>
          <w:rFonts w:cs="Arial"/>
        </w:rPr>
      </w:pPr>
      <w:r w:rsidRPr="00E141F1">
        <w:rPr>
          <w:rFonts w:cs="Arial"/>
        </w:rPr>
        <w:t xml:space="preserve">The complementary nature of communications use is reflected in the 62 per cent of communication consumers who used five or more separate communications services in the six months to May 2013. This compared to 18 per cent having used four, nine per cent three, seven per cent two services and only four per cent one service. </w:t>
      </w:r>
    </w:p>
    <w:p w:rsidR="001E6FB8" w:rsidRPr="00E141F1" w:rsidRDefault="001E6FB8" w:rsidP="001E6FB8">
      <w:pPr>
        <w:spacing w:line="240" w:lineRule="auto"/>
        <w:rPr>
          <w:rFonts w:cs="Arial"/>
        </w:rPr>
      </w:pPr>
    </w:p>
    <w:p w:rsidR="001E6FB8" w:rsidRPr="00E141F1" w:rsidRDefault="001E6FB8" w:rsidP="001E6FB8">
      <w:pPr>
        <w:spacing w:line="240" w:lineRule="auto"/>
        <w:rPr>
          <w:rFonts w:cs="Arial"/>
        </w:rPr>
      </w:pPr>
      <w:r w:rsidRPr="00E141F1">
        <w:rPr>
          <w:rFonts w:cs="Arial"/>
        </w:rPr>
        <w:t xml:space="preserve">The number of communications services used generally decreases with age. Sixty-three per cent of people aged 18–24 used six or more communications services in </w:t>
      </w:r>
      <w:r>
        <w:rPr>
          <w:rFonts w:cs="Arial"/>
        </w:rPr>
        <w:br/>
      </w:r>
      <w:r w:rsidRPr="00E141F1">
        <w:rPr>
          <w:rFonts w:cs="Arial"/>
        </w:rPr>
        <w:t>the six months to May 2013 compared to only 13 per cent for people aged 65 years and over.</w:t>
      </w:r>
      <w:r>
        <w:rPr>
          <w:rFonts w:cs="Arial"/>
        </w:rPr>
        <w:t xml:space="preserve"> </w:t>
      </w:r>
    </w:p>
    <w:p w:rsidR="001E6FB8" w:rsidRPr="00E141F1" w:rsidRDefault="001E6FB8" w:rsidP="001E6FB8">
      <w:pPr>
        <w:spacing w:line="240" w:lineRule="auto"/>
        <w:ind w:left="295"/>
        <w:rPr>
          <w:rFonts w:cs="Arial"/>
        </w:rPr>
      </w:pPr>
    </w:p>
    <w:tbl>
      <w:tblPr>
        <w:tblW w:w="10020" w:type="dxa"/>
        <w:tblLayout w:type="fixed"/>
        <w:tblCellMar>
          <w:left w:w="0" w:type="dxa"/>
          <w:right w:w="0" w:type="dxa"/>
        </w:tblCellMar>
        <w:tblLook w:val="01E0"/>
      </w:tblPr>
      <w:tblGrid>
        <w:gridCol w:w="10020"/>
      </w:tblGrid>
      <w:tr w:rsidR="001E6FB8" w:rsidRPr="00E141F1" w:rsidTr="001E6FB8">
        <w:trPr>
          <w:trHeight w:val="573"/>
        </w:trPr>
        <w:tc>
          <w:tcPr>
            <w:tcW w:w="10020"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3</w:t>
            </w:r>
            <w:r w:rsidR="00421002" w:rsidRPr="00E141F1">
              <w:rPr>
                <w:rFonts w:cs="Arial"/>
              </w:rPr>
              <w:fldChar w:fldCharType="end"/>
            </w:r>
            <w:r w:rsidRPr="00E141F1">
              <w:rPr>
                <w:rFonts w:cs="Arial"/>
              </w:rPr>
              <w:t xml:space="preserve"> Number of communications services used in the six months to May 2013</w:t>
            </w:r>
          </w:p>
        </w:tc>
      </w:tr>
      <w:tr w:rsidR="001E6FB8" w:rsidRPr="00E141F1" w:rsidTr="001E6FB8">
        <w:trPr>
          <w:trHeight w:val="3478"/>
        </w:trPr>
        <w:tc>
          <w:tcPr>
            <w:tcW w:w="10020" w:type="dxa"/>
            <w:shd w:val="clear" w:color="auto" w:fill="auto"/>
            <w:tcMar>
              <w:left w:w="28" w:type="dxa"/>
            </w:tcMar>
          </w:tcPr>
          <w:p w:rsidR="001E6FB8" w:rsidRPr="00E141F1" w:rsidRDefault="001E6FB8" w:rsidP="001E6FB8">
            <w:pPr>
              <w:rPr>
                <w:rFonts w:cs="Arial"/>
              </w:rPr>
            </w:pPr>
            <w:r w:rsidRPr="00E141F1">
              <w:rPr>
                <w:rFonts w:cs="Arial"/>
                <w:noProof/>
              </w:rPr>
              <w:drawing>
                <wp:inline distT="0" distB="0" distL="0" distR="0">
                  <wp:extent cx="6325385" cy="3261674"/>
                  <wp:effectExtent l="0" t="0" r="0" b="0"/>
                  <wp:docPr id="272" name="Chart 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1E6FB8" w:rsidRPr="00E141F1" w:rsidTr="001E6FB8">
        <w:trPr>
          <w:trHeight w:val="80"/>
        </w:trPr>
        <w:tc>
          <w:tcPr>
            <w:tcW w:w="10020" w:type="dxa"/>
            <w:tcBorders>
              <w:bottom w:val="single" w:sz="2" w:space="0" w:color="505050"/>
            </w:tcBorders>
            <w:shd w:val="clear" w:color="auto" w:fill="auto"/>
          </w:tcPr>
          <w:p w:rsidR="001E6FB8" w:rsidRPr="00E141F1" w:rsidRDefault="001E6FB8" w:rsidP="001E6FB8">
            <w:pPr>
              <w:spacing w:before="120" w:line="240" w:lineRule="auto"/>
              <w:rPr>
                <w:rFonts w:cs="Arial"/>
                <w:i/>
                <w:sz w:val="16"/>
                <w:szCs w:val="16"/>
              </w:rPr>
            </w:pPr>
            <w:r w:rsidRPr="00E141F1">
              <w:rPr>
                <w:rFonts w:cs="Arial"/>
                <w:i/>
                <w:sz w:val="16"/>
                <w:szCs w:val="16"/>
              </w:rPr>
              <w:t xml:space="preserve">Note: Percentages ≤2 are not marked in this figure. </w:t>
            </w:r>
          </w:p>
          <w:p w:rsidR="001E6FB8" w:rsidRPr="00E141F1" w:rsidRDefault="001E6FB8" w:rsidP="001E6FB8">
            <w:pPr>
              <w:spacing w:after="60" w:line="240" w:lineRule="auto"/>
              <w:rPr>
                <w:rFonts w:cs="Arial"/>
              </w:rPr>
            </w:pPr>
            <w:r w:rsidRPr="00E141F1">
              <w:rPr>
                <w:rFonts w:cs="Arial"/>
                <w:i/>
                <w:sz w:val="16"/>
                <w:szCs w:val="16"/>
              </w:rPr>
              <w:t>Source: ACMA-commissioned surveys.</w:t>
            </w:r>
          </w:p>
        </w:tc>
      </w:tr>
    </w:tbl>
    <w:p w:rsidR="001E6FB8" w:rsidRPr="00E141F1" w:rsidRDefault="001E6FB8" w:rsidP="001E6FB8">
      <w:pPr>
        <w:pStyle w:val="ListBullet"/>
        <w:numPr>
          <w:ilvl w:val="0"/>
          <w:numId w:val="0"/>
        </w:numPr>
        <w:spacing w:line="240" w:lineRule="auto"/>
        <w:rPr>
          <w:rFonts w:cs="Arial"/>
          <w:i/>
        </w:rPr>
      </w:pPr>
    </w:p>
    <w:p w:rsidR="001E6FB8" w:rsidRPr="00E141F1" w:rsidRDefault="001E6FB8" w:rsidP="001E6FB8">
      <w:pPr>
        <w:pStyle w:val="Bodysubheader"/>
        <w:rPr>
          <w:rFonts w:cs="Arial"/>
        </w:rPr>
      </w:pPr>
      <w:r w:rsidRPr="00E141F1">
        <w:rPr>
          <w:rFonts w:cs="Arial"/>
        </w:rPr>
        <w:t>Main communications service used</w:t>
      </w:r>
    </w:p>
    <w:p w:rsidR="001E6FB8" w:rsidRPr="00E141F1" w:rsidRDefault="001E6FB8" w:rsidP="001E6FB8">
      <w:pPr>
        <w:pStyle w:val="ListBullet"/>
        <w:numPr>
          <w:ilvl w:val="0"/>
          <w:numId w:val="0"/>
        </w:numPr>
        <w:spacing w:line="240" w:lineRule="auto"/>
        <w:rPr>
          <w:rFonts w:cs="Arial"/>
        </w:rPr>
      </w:pPr>
      <w:r w:rsidRPr="00E141F1">
        <w:rPr>
          <w:rFonts w:cs="Arial"/>
        </w:rPr>
        <w:t>The dominance of mobile voice and texting communications is further demonstrated when examining the communications service most used by Australians. In the six months to May 2013:</w:t>
      </w:r>
      <w:r w:rsidRPr="001F2FCD">
        <w:rPr>
          <w:rFonts w:cs="Arial"/>
          <w:vertAlign w:val="superscript"/>
        </w:rPr>
        <w:endnoteReference w:id="2"/>
      </w:r>
    </w:p>
    <w:p w:rsidR="001E6FB8" w:rsidRPr="00E141F1" w:rsidRDefault="001E6FB8" w:rsidP="001E6FB8">
      <w:pPr>
        <w:pStyle w:val="ListBullet"/>
        <w:tabs>
          <w:tab w:val="clear" w:pos="295"/>
          <w:tab w:val="num" w:pos="0"/>
        </w:tabs>
        <w:spacing w:line="240" w:lineRule="auto"/>
        <w:rPr>
          <w:rFonts w:cs="Arial"/>
        </w:rPr>
      </w:pPr>
      <w:r w:rsidRPr="00E141F1">
        <w:rPr>
          <w:rFonts w:cs="Arial"/>
        </w:rPr>
        <w:t xml:space="preserve">29 per cent of adults identified mobile voice calls as their most used communications service, up from 26 per cent at May 2012 </w:t>
      </w:r>
    </w:p>
    <w:p w:rsidR="001E6FB8" w:rsidRPr="00E141F1" w:rsidRDefault="001E6FB8" w:rsidP="001E6FB8">
      <w:pPr>
        <w:pStyle w:val="ListBullet"/>
        <w:tabs>
          <w:tab w:val="clear" w:pos="295"/>
          <w:tab w:val="num" w:pos="0"/>
        </w:tabs>
        <w:spacing w:line="240" w:lineRule="auto"/>
        <w:rPr>
          <w:rFonts w:cs="Arial"/>
        </w:rPr>
      </w:pPr>
      <w:r w:rsidRPr="00E141F1">
        <w:rPr>
          <w:rFonts w:cs="Arial"/>
        </w:rPr>
        <w:t>24 per cent texting, up from 22 per cent</w:t>
      </w:r>
    </w:p>
    <w:p w:rsidR="001E6FB8" w:rsidRPr="00E141F1" w:rsidRDefault="001E6FB8" w:rsidP="001E6FB8">
      <w:pPr>
        <w:pStyle w:val="ListBullet"/>
        <w:tabs>
          <w:tab w:val="clear" w:pos="295"/>
          <w:tab w:val="num" w:pos="0"/>
        </w:tabs>
        <w:spacing w:line="240" w:lineRule="auto"/>
        <w:rPr>
          <w:rFonts w:cs="Arial"/>
        </w:rPr>
      </w:pPr>
      <w:r w:rsidRPr="00E141F1">
        <w:rPr>
          <w:rFonts w:cs="Arial"/>
        </w:rPr>
        <w:t xml:space="preserve">20 per cent email, no change </w:t>
      </w:r>
    </w:p>
    <w:p w:rsidR="001E6FB8" w:rsidRPr="00E141F1" w:rsidRDefault="001E6FB8" w:rsidP="001E6FB8">
      <w:pPr>
        <w:pStyle w:val="ListBullet"/>
        <w:tabs>
          <w:tab w:val="clear" w:pos="295"/>
          <w:tab w:val="num" w:pos="0"/>
        </w:tabs>
        <w:spacing w:line="240" w:lineRule="auto"/>
        <w:rPr>
          <w:rFonts w:cs="Arial"/>
        </w:rPr>
      </w:pPr>
      <w:r w:rsidRPr="00E141F1">
        <w:rPr>
          <w:rFonts w:cs="Arial"/>
        </w:rPr>
        <w:t xml:space="preserve">16 per cent fixed-line telephone calls, down from 22 per cent </w:t>
      </w:r>
    </w:p>
    <w:p w:rsidR="001E6FB8" w:rsidRPr="00E141F1" w:rsidRDefault="001E6FB8" w:rsidP="001E6FB8">
      <w:pPr>
        <w:pStyle w:val="ListBullet"/>
        <w:tabs>
          <w:tab w:val="clear" w:pos="295"/>
          <w:tab w:val="num" w:pos="0"/>
        </w:tabs>
        <w:spacing w:line="240" w:lineRule="auto"/>
        <w:rPr>
          <w:rFonts w:cs="Arial"/>
        </w:rPr>
      </w:pPr>
      <w:r>
        <w:rPr>
          <w:rFonts w:cs="Arial"/>
        </w:rPr>
        <w:t>nine</w:t>
      </w:r>
      <w:r w:rsidRPr="00E141F1">
        <w:rPr>
          <w:rFonts w:cs="Arial"/>
        </w:rPr>
        <w:t xml:space="preserve"> per cent social networking, up from seven per cent</w:t>
      </w:r>
    </w:p>
    <w:p w:rsidR="001E6FB8" w:rsidRPr="00E141F1" w:rsidRDefault="001E6FB8" w:rsidP="001E6FB8">
      <w:pPr>
        <w:pStyle w:val="ListBullet"/>
        <w:tabs>
          <w:tab w:val="clear" w:pos="295"/>
          <w:tab w:val="num" w:pos="0"/>
        </w:tabs>
        <w:spacing w:after="240" w:line="240" w:lineRule="auto"/>
        <w:rPr>
          <w:rFonts w:cs="Arial"/>
        </w:rPr>
      </w:pPr>
      <w:r>
        <w:rPr>
          <w:rFonts w:cs="Arial"/>
        </w:rPr>
        <w:t>two</w:t>
      </w:r>
      <w:r w:rsidRPr="00E141F1">
        <w:rPr>
          <w:rFonts w:cs="Arial"/>
        </w:rPr>
        <w:t xml:space="preserve"> per cent other services such as instant messaging and OTT VoIP, unchanged from May 2012.</w:t>
      </w:r>
    </w:p>
    <w:p w:rsidR="001E6FB8" w:rsidRDefault="001E6FB8" w:rsidP="001E6FB8">
      <w:r w:rsidRPr="00E141F1">
        <w:t xml:space="preserve">Across all age groups, with the exception of people aged 65 years and over, mobile text and voice were the most used communications services in the six months to May 2013. </w:t>
      </w:r>
    </w:p>
    <w:p w:rsidR="001E6FB8" w:rsidRPr="00E141F1" w:rsidRDefault="001E6FB8" w:rsidP="001E6FB8"/>
    <w:p w:rsidR="001E6FB8" w:rsidRPr="00E141F1" w:rsidRDefault="001E6FB8" w:rsidP="001E6FB8">
      <w:pPr>
        <w:pStyle w:val="Bodysubheader"/>
        <w:rPr>
          <w:rFonts w:cs="Arial"/>
          <w:i w:val="0"/>
        </w:rPr>
      </w:pPr>
      <w:r w:rsidRPr="00E141F1">
        <w:rPr>
          <w:rFonts w:cs="Arial"/>
        </w:rPr>
        <w:t>Growth in use of OTT VoIP services</w:t>
      </w:r>
    </w:p>
    <w:p w:rsidR="001E6FB8" w:rsidRPr="00E141F1" w:rsidRDefault="001E6FB8" w:rsidP="001E6FB8">
      <w:pPr>
        <w:spacing w:line="240" w:lineRule="auto"/>
        <w:rPr>
          <w:rFonts w:cs="Arial"/>
        </w:rPr>
      </w:pPr>
      <w:r w:rsidRPr="00E141F1">
        <w:rPr>
          <w:rFonts w:cs="Arial"/>
        </w:rPr>
        <w:t>OTT communications—communications accessed via the internet rather than a carrier’s or CSP’s own dedicated, managed network</w:t>
      </w:r>
      <w:r w:rsidRPr="00E141F1">
        <w:rPr>
          <w:rStyle w:val="EndnoteReference"/>
          <w:rFonts w:cs="Arial"/>
        </w:rPr>
        <w:endnoteReference w:id="3"/>
      </w:r>
      <w:r w:rsidRPr="00E141F1">
        <w:rPr>
          <w:rFonts w:cs="Arial"/>
        </w:rPr>
        <w:t xml:space="preserve">—are increasingly affecting traditional communications revenues. </w:t>
      </w:r>
    </w:p>
    <w:p w:rsidR="001E6FB8" w:rsidRPr="00E141F1" w:rsidRDefault="001E6FB8" w:rsidP="001E6FB8">
      <w:pPr>
        <w:spacing w:line="240" w:lineRule="auto"/>
        <w:rPr>
          <w:rFonts w:cs="Arial"/>
        </w:rPr>
      </w:pPr>
    </w:p>
    <w:p w:rsidR="001E6FB8" w:rsidRPr="00E141F1" w:rsidRDefault="001E6FB8" w:rsidP="001E6FB8">
      <w:pPr>
        <w:spacing w:line="240" w:lineRule="auto"/>
        <w:rPr>
          <w:rFonts w:cs="Arial"/>
        </w:rPr>
      </w:pPr>
      <w:r w:rsidRPr="00E141F1">
        <w:rPr>
          <w:rFonts w:cs="Arial"/>
        </w:rPr>
        <w:t>Globally, the rise of OTT VoIP services is identified as a major threat to established voice revenue streams with some estimates placing the global loss in voice revenues as a result of the growth in use of OTT communications at $36.5 billion per year.</w:t>
      </w:r>
      <w:r w:rsidRPr="00E141F1">
        <w:rPr>
          <w:rStyle w:val="EndnoteReference"/>
          <w:rFonts w:cs="Arial"/>
        </w:rPr>
        <w:endnoteReference w:id="4"/>
      </w:r>
    </w:p>
    <w:p w:rsidR="001E6FB8" w:rsidRPr="00E141F1" w:rsidRDefault="001E6FB8" w:rsidP="001E6FB8">
      <w:pPr>
        <w:spacing w:line="240" w:lineRule="auto"/>
        <w:rPr>
          <w:rFonts w:cs="Arial"/>
        </w:rPr>
      </w:pPr>
    </w:p>
    <w:p w:rsidR="001E6FB8" w:rsidRPr="00E141F1" w:rsidRDefault="001E6FB8" w:rsidP="001E6FB8">
      <w:pPr>
        <w:spacing w:after="80" w:line="240" w:lineRule="auto"/>
        <w:rPr>
          <w:rFonts w:cs="Arial"/>
        </w:rPr>
      </w:pPr>
      <w:r w:rsidRPr="00E141F1">
        <w:rPr>
          <w:rFonts w:cs="Arial"/>
        </w:rPr>
        <w:t>During 2012–13, the number of VoIP users in Australia increased by six per cent or 251,000 to reach 4.59 million people aged 18 years and over. The growth in VoIP users during this period was considerably lower than the 21 per cent recorded during 2011–12 (Figure 1.4). Key developments relating to the take-up of VoIP services during 2012–13 included:</w:t>
      </w:r>
    </w:p>
    <w:p w:rsidR="001E6FB8" w:rsidRPr="00E141F1" w:rsidRDefault="001E6FB8" w:rsidP="001E6FB8">
      <w:pPr>
        <w:pStyle w:val="ListBullet"/>
        <w:tabs>
          <w:tab w:val="clear" w:pos="295"/>
          <w:tab w:val="num" w:pos="0"/>
        </w:tabs>
        <w:spacing w:line="240" w:lineRule="auto"/>
        <w:rPr>
          <w:rFonts w:cs="Arial"/>
        </w:rPr>
      </w:pPr>
      <w:r w:rsidRPr="00E141F1">
        <w:rPr>
          <w:rFonts w:cs="Arial"/>
        </w:rPr>
        <w:t>strong growth in the use of mobile phone and tablet OTT VoIP services (increasing by 73 per cent and 150 per cent respectively)</w:t>
      </w:r>
    </w:p>
    <w:p w:rsidR="001E6FB8" w:rsidRPr="00E141F1" w:rsidRDefault="001E6FB8" w:rsidP="001E6FB8">
      <w:pPr>
        <w:pStyle w:val="ListBullet"/>
        <w:tabs>
          <w:tab w:val="clear" w:pos="295"/>
          <w:tab w:val="num" w:pos="0"/>
        </w:tabs>
        <w:spacing w:line="240" w:lineRule="auto"/>
        <w:rPr>
          <w:rFonts w:cs="Arial"/>
        </w:rPr>
      </w:pPr>
      <w:r w:rsidRPr="00E141F1">
        <w:rPr>
          <w:rFonts w:cs="Arial"/>
        </w:rPr>
        <w:t>minimal growth in the use of OTT VoIP via computers/laptops</w:t>
      </w:r>
    </w:p>
    <w:p w:rsidR="001E6FB8" w:rsidRPr="00E141F1" w:rsidRDefault="001E6FB8" w:rsidP="001E6FB8">
      <w:pPr>
        <w:pStyle w:val="ListBullet"/>
        <w:tabs>
          <w:tab w:val="clear" w:pos="295"/>
          <w:tab w:val="num" w:pos="0"/>
        </w:tabs>
        <w:spacing w:after="240" w:line="240" w:lineRule="auto"/>
        <w:rPr>
          <w:rFonts w:cs="Arial"/>
        </w:rPr>
      </w:pPr>
      <w:r w:rsidRPr="00E141F1">
        <w:rPr>
          <w:rFonts w:cs="Arial"/>
        </w:rPr>
        <w:t>a decline in the use of internet phones or voice box/adaptors.</w:t>
      </w:r>
    </w:p>
    <w:p w:rsidR="001E6FB8" w:rsidRPr="00E141F1" w:rsidRDefault="001E6FB8" w:rsidP="001E6FB8">
      <w:pPr>
        <w:spacing w:line="240" w:lineRule="auto"/>
        <w:rPr>
          <w:rFonts w:cs="Arial"/>
        </w:rPr>
      </w:pPr>
      <w:r w:rsidRPr="00E141F1">
        <w:rPr>
          <w:rFonts w:cs="Arial"/>
        </w:rPr>
        <w:t xml:space="preserve">The dramatic growth in use of OTT VoIP via mobile phones has paralleled the rapid uptake of </w:t>
      </w:r>
      <w:proofErr w:type="spellStart"/>
      <w:r w:rsidRPr="00E141F1">
        <w:rPr>
          <w:rFonts w:cs="Arial"/>
        </w:rPr>
        <w:t>smartphones</w:t>
      </w:r>
      <w:proofErr w:type="spellEnd"/>
      <w:r w:rsidRPr="00E141F1">
        <w:rPr>
          <w:rFonts w:cs="Arial"/>
        </w:rPr>
        <w:t xml:space="preserve"> and the increased availability of mobile applications designed to facilitate the use of internet-based services via mobiles.</w:t>
      </w:r>
      <w:r w:rsidRPr="00E141F1">
        <w:rPr>
          <w:rStyle w:val="EndnoteReference"/>
          <w:rFonts w:cs="Arial"/>
        </w:rPr>
        <w:endnoteReference w:id="5"/>
      </w:r>
      <w:r w:rsidRPr="00E141F1">
        <w:rPr>
          <w:rFonts w:cs="Arial"/>
        </w:rPr>
        <w:t xml:space="preserve"> </w:t>
      </w:r>
    </w:p>
    <w:p w:rsidR="001E6FB8" w:rsidRPr="00E141F1" w:rsidRDefault="001E6FB8" w:rsidP="001E6FB8">
      <w:pPr>
        <w:spacing w:line="240" w:lineRule="auto"/>
        <w:ind w:left="295"/>
        <w:rPr>
          <w:rFonts w:cs="Arial"/>
        </w:rPr>
      </w:pPr>
    </w:p>
    <w:tbl>
      <w:tblPr>
        <w:tblW w:w="9404" w:type="dxa"/>
        <w:tblLayout w:type="fixed"/>
        <w:tblCellMar>
          <w:left w:w="0" w:type="dxa"/>
          <w:right w:w="0" w:type="dxa"/>
        </w:tblCellMar>
        <w:tblLook w:val="01E0"/>
      </w:tblPr>
      <w:tblGrid>
        <w:gridCol w:w="9404"/>
      </w:tblGrid>
      <w:tr w:rsidR="001E6FB8" w:rsidRPr="00E141F1" w:rsidTr="001E6FB8">
        <w:trPr>
          <w:trHeight w:val="651"/>
        </w:trPr>
        <w:tc>
          <w:tcPr>
            <w:tcW w:w="9404"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br w:type="page"/>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4</w:t>
            </w:r>
            <w:r w:rsidR="00421002" w:rsidRPr="00E141F1">
              <w:rPr>
                <w:rFonts w:cs="Arial"/>
              </w:rPr>
              <w:fldChar w:fldCharType="end"/>
            </w:r>
            <w:r w:rsidRPr="00E141F1">
              <w:rPr>
                <w:rFonts w:cs="Arial"/>
              </w:rPr>
              <w:t xml:space="preserve"> Take-up of VoIP services by household consumers</w:t>
            </w:r>
          </w:p>
        </w:tc>
      </w:tr>
      <w:tr w:rsidR="001E6FB8" w:rsidRPr="00E141F1" w:rsidTr="001E6FB8">
        <w:trPr>
          <w:trHeight w:val="3528"/>
        </w:trPr>
        <w:tc>
          <w:tcPr>
            <w:tcW w:w="9404" w:type="dxa"/>
            <w:shd w:val="clear" w:color="auto" w:fill="auto"/>
            <w:tcMar>
              <w:left w:w="28" w:type="dxa"/>
            </w:tcMar>
          </w:tcPr>
          <w:p w:rsidR="001E6FB8" w:rsidRPr="00E141F1" w:rsidRDefault="001E6FB8" w:rsidP="001E6FB8">
            <w:pPr>
              <w:keepNext/>
              <w:keepLines/>
              <w:rPr>
                <w:rFonts w:cs="Arial"/>
              </w:rPr>
            </w:pPr>
            <w:r w:rsidRPr="00E141F1">
              <w:rPr>
                <w:rFonts w:cs="Arial"/>
                <w:noProof/>
              </w:rPr>
              <w:drawing>
                <wp:inline distT="0" distB="0" distL="0" distR="0">
                  <wp:extent cx="5957740" cy="3026004"/>
                  <wp:effectExtent l="0" t="0" r="0" b="0"/>
                  <wp:docPr id="275" name="Chart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1E6FB8" w:rsidRPr="00E141F1" w:rsidTr="001E6FB8">
        <w:trPr>
          <w:trHeight w:val="144"/>
        </w:trPr>
        <w:tc>
          <w:tcPr>
            <w:tcW w:w="9404" w:type="dxa"/>
            <w:tcBorders>
              <w:bottom w:val="single" w:sz="2" w:space="0" w:color="505050"/>
            </w:tcBorders>
            <w:shd w:val="clear" w:color="auto" w:fill="auto"/>
          </w:tcPr>
          <w:p w:rsidR="001E6FB8" w:rsidRPr="00E141F1" w:rsidRDefault="001E6FB8" w:rsidP="001E6FB8">
            <w:pPr>
              <w:keepNext/>
              <w:keepLines/>
              <w:spacing w:after="60" w:line="240" w:lineRule="auto"/>
              <w:rPr>
                <w:rFonts w:cs="Arial"/>
              </w:rPr>
            </w:pPr>
            <w:r w:rsidRPr="00E141F1">
              <w:rPr>
                <w:rFonts w:cs="Arial"/>
                <w:i/>
                <w:sz w:val="16"/>
                <w:szCs w:val="16"/>
              </w:rPr>
              <w:t xml:space="preserve">Source: Roy Morgan Single Source. </w:t>
            </w:r>
          </w:p>
        </w:tc>
      </w:tr>
    </w:tbl>
    <w:p w:rsidR="001E6FB8" w:rsidRPr="00E141F1" w:rsidRDefault="001E6FB8" w:rsidP="001E6FB8">
      <w:pPr>
        <w:spacing w:line="240" w:lineRule="auto"/>
        <w:rPr>
          <w:rFonts w:cs="Arial"/>
        </w:rPr>
      </w:pPr>
    </w:p>
    <w:p w:rsidR="001E6FB8" w:rsidRPr="00E141F1" w:rsidRDefault="001E6FB8" w:rsidP="001E6FB8">
      <w:pPr>
        <w:pStyle w:val="Bodysubheader"/>
        <w:rPr>
          <w:rFonts w:cs="Arial"/>
          <w:i w:val="0"/>
        </w:rPr>
      </w:pPr>
      <w:r w:rsidRPr="00E141F1">
        <w:rPr>
          <w:rFonts w:cs="Arial"/>
        </w:rPr>
        <w:t>International comparisons—communications services</w:t>
      </w:r>
    </w:p>
    <w:p w:rsidR="001E6FB8" w:rsidRPr="00E141F1" w:rsidRDefault="001E6FB8" w:rsidP="001E6FB8">
      <w:pPr>
        <w:spacing w:after="80" w:line="240" w:lineRule="auto"/>
        <w:rPr>
          <w:rFonts w:cs="Arial"/>
        </w:rPr>
      </w:pPr>
      <w:r w:rsidRPr="00E141F1">
        <w:rPr>
          <w:rFonts w:cs="Arial"/>
        </w:rPr>
        <w:t>The shift from fixed-line telephones is also evident in other countries:</w:t>
      </w:r>
    </w:p>
    <w:p w:rsidR="001E6FB8" w:rsidRPr="00E141F1" w:rsidRDefault="001E6FB8" w:rsidP="001E6FB8">
      <w:pPr>
        <w:pStyle w:val="ListBullet"/>
        <w:tabs>
          <w:tab w:val="clear" w:pos="295"/>
          <w:tab w:val="num" w:pos="0"/>
        </w:tabs>
        <w:spacing w:line="240" w:lineRule="auto"/>
        <w:rPr>
          <w:rFonts w:cs="Arial"/>
        </w:rPr>
      </w:pPr>
      <w:r w:rsidRPr="00E141F1">
        <w:rPr>
          <w:rFonts w:cs="Arial"/>
        </w:rPr>
        <w:t>70 per cent of households in European Union (EU) countries had a fixed-line telephone at March 2013, down slightly by one percentage point from the previous year</w:t>
      </w:r>
      <w:r w:rsidRPr="00E141F1">
        <w:rPr>
          <w:rFonts w:cs="Arial"/>
          <w:vertAlign w:val="superscript"/>
        </w:rPr>
        <w:endnoteReference w:id="6"/>
      </w:r>
    </w:p>
    <w:p w:rsidR="001E6FB8" w:rsidRPr="00E141F1" w:rsidRDefault="001E6FB8" w:rsidP="001E6FB8">
      <w:pPr>
        <w:pStyle w:val="ListBullet"/>
        <w:tabs>
          <w:tab w:val="clear" w:pos="295"/>
          <w:tab w:val="num" w:pos="0"/>
        </w:tabs>
        <w:spacing w:before="120" w:line="240" w:lineRule="auto"/>
        <w:rPr>
          <w:rFonts w:cs="Arial"/>
        </w:rPr>
      </w:pPr>
      <w:r w:rsidRPr="00E141F1">
        <w:rPr>
          <w:rFonts w:cs="Arial"/>
        </w:rPr>
        <w:t>84 per cent of households in the UK had a fixed-line telephone at March 2013 (no change from last year) with 15 per cent of the population having a mobile phone and no home fixed-line telephone</w:t>
      </w:r>
      <w:r w:rsidRPr="00E141F1">
        <w:rPr>
          <w:rFonts w:cs="Arial"/>
          <w:vertAlign w:val="superscript"/>
        </w:rPr>
        <w:endnoteReference w:id="7"/>
      </w:r>
      <w:r w:rsidRPr="00E141F1">
        <w:rPr>
          <w:rFonts w:cs="Arial"/>
        </w:rPr>
        <w:t xml:space="preserve"> </w:t>
      </w:r>
    </w:p>
    <w:p w:rsidR="001E6FB8" w:rsidRPr="00E141F1" w:rsidRDefault="001E6FB8" w:rsidP="001E6FB8">
      <w:pPr>
        <w:pStyle w:val="ListBullet"/>
        <w:tabs>
          <w:tab w:val="clear" w:pos="295"/>
          <w:tab w:val="num" w:pos="0"/>
        </w:tabs>
        <w:spacing w:after="240" w:line="240" w:lineRule="auto"/>
        <w:rPr>
          <w:rFonts w:cs="Arial"/>
        </w:rPr>
      </w:pPr>
      <w:r w:rsidRPr="00E141F1">
        <w:rPr>
          <w:rFonts w:cs="Arial"/>
        </w:rPr>
        <w:t>91 per cent of the population in the US owned a mobile phone (up by four percentage points) and the in UK, 94 per cent (no change from the previous year).</w:t>
      </w:r>
      <w:r w:rsidRPr="00466CC5">
        <w:rPr>
          <w:rFonts w:cs="Arial"/>
          <w:vertAlign w:val="superscript"/>
        </w:rPr>
        <w:endnoteReference w:id="8"/>
      </w:r>
    </w:p>
    <w:p w:rsidR="001E6FB8" w:rsidRPr="00E141F1" w:rsidRDefault="001E6FB8" w:rsidP="001E6FB8">
      <w:pPr>
        <w:pStyle w:val="Heading2"/>
      </w:pPr>
      <w:bookmarkStart w:id="118" w:name="_Toc371588979"/>
      <w:bookmarkStart w:id="119" w:name="_Toc373149041"/>
      <w:r w:rsidRPr="00E141F1">
        <w:t>Mobile service availability</w:t>
      </w:r>
      <w:bookmarkEnd w:id="118"/>
      <w:bookmarkEnd w:id="119"/>
    </w:p>
    <w:p w:rsidR="001E6FB8" w:rsidRPr="00E141F1" w:rsidRDefault="001E6FB8" w:rsidP="001E6FB8">
      <w:pPr>
        <w:pStyle w:val="Heading3"/>
      </w:pPr>
      <w:bookmarkStart w:id="120" w:name="_Toc371588980"/>
      <w:bookmarkStart w:id="121" w:name="_Toc373149042"/>
      <w:r w:rsidRPr="00E141F1">
        <w:t>Number of services in operation</w:t>
      </w:r>
      <w:bookmarkEnd w:id="120"/>
      <w:bookmarkEnd w:id="121"/>
    </w:p>
    <w:p w:rsidR="001E6FB8" w:rsidRPr="00E141F1" w:rsidRDefault="001E6FB8" w:rsidP="001E6FB8">
      <w:pPr>
        <w:rPr>
          <w:rFonts w:cs="Arial"/>
        </w:rPr>
      </w:pPr>
      <w:r w:rsidRPr="00E141F1">
        <w:rPr>
          <w:rFonts w:cs="Arial"/>
        </w:rPr>
        <w:t xml:space="preserve">At June 2013, there were an estimated 31.09 million mobile voice and data services in operation in Australia. This is a growth of three per cent—the same result recorded for the 2011–12 period (Table 1.2)—suggesting that the Australian mobile market is nearing saturation. The average growth rate </w:t>
      </w:r>
      <w:r>
        <w:rPr>
          <w:rFonts w:cs="Arial"/>
        </w:rPr>
        <w:t xml:space="preserve">prior to the </w:t>
      </w:r>
      <w:r w:rsidRPr="00E141F1">
        <w:rPr>
          <w:rFonts w:cs="Arial"/>
        </w:rPr>
        <w:t xml:space="preserve">previous two years was </w:t>
      </w:r>
      <w:r>
        <w:rPr>
          <w:rFonts w:cs="Arial"/>
        </w:rPr>
        <w:br/>
      </w:r>
      <w:r w:rsidRPr="00E141F1">
        <w:rPr>
          <w:rFonts w:cs="Arial"/>
        </w:rPr>
        <w:t xml:space="preserve">12 per cent. </w:t>
      </w:r>
    </w:p>
    <w:p w:rsidR="001E6FB8" w:rsidRPr="00E141F1" w:rsidRDefault="001E6FB8" w:rsidP="001E6FB8">
      <w:pPr>
        <w:ind w:left="295"/>
        <w:rPr>
          <w:rFonts w:cs="Arial"/>
        </w:rPr>
      </w:pPr>
    </w:p>
    <w:tbl>
      <w:tblPr>
        <w:tblW w:w="9345" w:type="dxa"/>
        <w:tblLayout w:type="fixed"/>
        <w:tblCellMar>
          <w:left w:w="0" w:type="dxa"/>
          <w:right w:w="0" w:type="dxa"/>
        </w:tblCellMar>
        <w:tblLook w:val="01E0"/>
      </w:tblPr>
      <w:tblGrid>
        <w:gridCol w:w="9345"/>
      </w:tblGrid>
      <w:tr w:rsidR="001E6FB8" w:rsidRPr="00E940FE" w:rsidTr="001E6FB8">
        <w:trPr>
          <w:trHeight w:val="573"/>
        </w:trPr>
        <w:tc>
          <w:tcPr>
            <w:tcW w:w="9345" w:type="dxa"/>
            <w:tcBorders>
              <w:top w:val="single" w:sz="2" w:space="0" w:color="505050"/>
            </w:tcBorders>
            <w:shd w:val="clear" w:color="auto" w:fill="auto"/>
            <w:vAlign w:val="center"/>
          </w:tcPr>
          <w:p w:rsidR="001E6FB8" w:rsidRPr="00E940FE" w:rsidRDefault="001E6FB8" w:rsidP="001E6FB8">
            <w:pPr>
              <w:pStyle w:val="Caption"/>
              <w:keepNext/>
              <w:keepLines/>
              <w:rPr>
                <w:rFonts w:cs="Arial"/>
              </w:rPr>
            </w:pPr>
            <w:r w:rsidRPr="00E940FE">
              <w:rPr>
                <w:rFonts w:cs="Arial"/>
              </w:rPr>
              <w:t>Table 1.</w:t>
            </w:r>
            <w:r w:rsidR="00421002" w:rsidRPr="00E940FE">
              <w:rPr>
                <w:rFonts w:cs="Arial"/>
              </w:rPr>
              <w:fldChar w:fldCharType="begin"/>
            </w:r>
            <w:r w:rsidRPr="00E940FE">
              <w:rPr>
                <w:rFonts w:cs="Arial"/>
              </w:rPr>
              <w:instrText xml:space="preserve"> SEQ Table \* ARABIC </w:instrText>
            </w:r>
            <w:r w:rsidR="00421002" w:rsidRPr="00E940FE">
              <w:rPr>
                <w:rFonts w:cs="Arial"/>
              </w:rPr>
              <w:fldChar w:fldCharType="separate"/>
            </w:r>
            <w:r>
              <w:rPr>
                <w:rFonts w:cs="Arial"/>
                <w:noProof/>
              </w:rPr>
              <w:t>2</w:t>
            </w:r>
            <w:r w:rsidR="00421002" w:rsidRPr="00E940FE">
              <w:rPr>
                <w:rFonts w:cs="Arial"/>
              </w:rPr>
              <w:fldChar w:fldCharType="end"/>
            </w:r>
            <w:r w:rsidRPr="00E940FE">
              <w:rPr>
                <w:rFonts w:cs="Arial"/>
              </w:rPr>
              <w:t xml:space="preserve"> Mobile services in operation </w:t>
            </w:r>
          </w:p>
        </w:tc>
      </w:tr>
      <w:tr w:rsidR="001E6FB8" w:rsidRPr="00E940FE" w:rsidTr="001E6FB8">
        <w:trPr>
          <w:trHeight w:val="1190"/>
        </w:trPr>
        <w:tc>
          <w:tcPr>
            <w:tcW w:w="9345" w:type="dxa"/>
            <w:shd w:val="clear" w:color="auto" w:fill="auto"/>
            <w:tcMar>
              <w:left w:w="28" w:type="dxa"/>
            </w:tcMar>
          </w:tcPr>
          <w:tbl>
            <w:tblPr>
              <w:tblW w:w="9323"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2990"/>
              <w:gridCol w:w="1373"/>
              <w:gridCol w:w="1374"/>
              <w:gridCol w:w="1373"/>
              <w:gridCol w:w="2213"/>
            </w:tblGrid>
            <w:tr w:rsidR="001E6FB8" w:rsidRPr="00E940FE" w:rsidTr="001E6FB8">
              <w:trPr>
                <w:trHeight w:val="297"/>
              </w:trPr>
              <w:tc>
                <w:tcPr>
                  <w:tcW w:w="2990" w:type="dxa"/>
                  <w:shd w:val="clear" w:color="auto" w:fill="01709E"/>
                  <w:tcMar>
                    <w:top w:w="34" w:type="dxa"/>
                    <w:left w:w="113" w:type="dxa"/>
                  </w:tcMar>
                </w:tcPr>
                <w:p w:rsidR="001E6FB8" w:rsidRPr="00E940FE" w:rsidRDefault="001E6FB8" w:rsidP="001E6FB8">
                  <w:pPr>
                    <w:pStyle w:val="TableHeading"/>
                    <w:keepNext/>
                    <w:keepLines/>
                    <w:rPr>
                      <w:rFonts w:cs="Arial"/>
                      <w:bCs/>
                      <w:color w:val="FFFFFF" w:themeColor="background1"/>
                      <w:kern w:val="32"/>
                      <w:sz w:val="18"/>
                      <w:szCs w:val="18"/>
                    </w:rPr>
                  </w:pPr>
                </w:p>
              </w:tc>
              <w:tc>
                <w:tcPr>
                  <w:tcW w:w="1373" w:type="dxa"/>
                  <w:shd w:val="clear" w:color="auto" w:fill="01709E"/>
                  <w:tcMar>
                    <w:left w:w="113" w:type="dxa"/>
                  </w:tcMar>
                </w:tcPr>
                <w:p w:rsidR="001E6FB8" w:rsidRPr="00E940FE" w:rsidRDefault="001E6FB8" w:rsidP="001E6FB8">
                  <w:pPr>
                    <w:pStyle w:val="TableHeading"/>
                    <w:keepNext/>
                    <w:keepLines/>
                    <w:jc w:val="right"/>
                    <w:rPr>
                      <w:rFonts w:cs="Arial"/>
                      <w:color w:val="FFFFFF" w:themeColor="background1"/>
                      <w:sz w:val="18"/>
                      <w:szCs w:val="18"/>
                    </w:rPr>
                  </w:pPr>
                  <w:r w:rsidRPr="00E940FE">
                    <w:rPr>
                      <w:rFonts w:cs="Arial"/>
                      <w:color w:val="FFFFFF" w:themeColor="background1"/>
                      <w:sz w:val="18"/>
                      <w:szCs w:val="18"/>
                    </w:rPr>
                    <w:t>Jun-11</w:t>
                  </w:r>
                </w:p>
              </w:tc>
              <w:tc>
                <w:tcPr>
                  <w:tcW w:w="1374" w:type="dxa"/>
                  <w:shd w:val="clear" w:color="auto" w:fill="01709E"/>
                  <w:tcMar>
                    <w:left w:w="113" w:type="dxa"/>
                  </w:tcMar>
                </w:tcPr>
                <w:p w:rsidR="001E6FB8" w:rsidRPr="00E940FE" w:rsidRDefault="001E6FB8" w:rsidP="001E6FB8">
                  <w:pPr>
                    <w:pStyle w:val="TableHeading"/>
                    <w:keepNext/>
                    <w:keepLines/>
                    <w:jc w:val="right"/>
                    <w:rPr>
                      <w:rFonts w:cs="Arial"/>
                      <w:color w:val="FFFFFF" w:themeColor="background1"/>
                      <w:sz w:val="18"/>
                      <w:szCs w:val="18"/>
                    </w:rPr>
                  </w:pPr>
                  <w:r w:rsidRPr="00E940FE">
                    <w:rPr>
                      <w:rFonts w:cs="Arial"/>
                      <w:color w:val="FFFFFF" w:themeColor="background1"/>
                      <w:sz w:val="18"/>
                      <w:szCs w:val="18"/>
                    </w:rPr>
                    <w:t>Jun-12</w:t>
                  </w:r>
                </w:p>
              </w:tc>
              <w:tc>
                <w:tcPr>
                  <w:tcW w:w="1373" w:type="dxa"/>
                  <w:shd w:val="clear" w:color="auto" w:fill="01709E"/>
                </w:tcPr>
                <w:p w:rsidR="001E6FB8" w:rsidRPr="00E940FE" w:rsidRDefault="001E6FB8" w:rsidP="001E6FB8">
                  <w:pPr>
                    <w:pStyle w:val="TableHeading"/>
                    <w:keepNext/>
                    <w:keepLines/>
                    <w:jc w:val="right"/>
                    <w:rPr>
                      <w:rFonts w:cs="Arial"/>
                      <w:color w:val="FFFFFF" w:themeColor="background1"/>
                      <w:sz w:val="18"/>
                      <w:szCs w:val="18"/>
                    </w:rPr>
                  </w:pPr>
                  <w:r w:rsidRPr="00E940FE">
                    <w:rPr>
                      <w:rFonts w:cs="Arial"/>
                      <w:color w:val="FFFFFF" w:themeColor="background1"/>
                      <w:sz w:val="18"/>
                      <w:szCs w:val="18"/>
                    </w:rPr>
                    <w:t>Jun-13</w:t>
                  </w:r>
                </w:p>
              </w:tc>
              <w:tc>
                <w:tcPr>
                  <w:tcW w:w="2213" w:type="dxa"/>
                  <w:shd w:val="clear" w:color="auto" w:fill="01709E"/>
                  <w:tcMar>
                    <w:left w:w="113" w:type="dxa"/>
                  </w:tcMar>
                </w:tcPr>
                <w:p w:rsidR="001E6FB8" w:rsidRPr="00E940FE" w:rsidRDefault="001E6FB8" w:rsidP="001E6FB8">
                  <w:pPr>
                    <w:pStyle w:val="TableHeading"/>
                    <w:keepNext/>
                    <w:keepLines/>
                    <w:jc w:val="right"/>
                    <w:rPr>
                      <w:rFonts w:cs="Arial"/>
                      <w:color w:val="FFFFFF" w:themeColor="background1"/>
                      <w:sz w:val="18"/>
                      <w:szCs w:val="18"/>
                    </w:rPr>
                  </w:pPr>
                  <w:r w:rsidRPr="00E940FE">
                    <w:rPr>
                      <w:rFonts w:cs="Arial"/>
                      <w:color w:val="FFFFFF" w:themeColor="background1"/>
                      <w:sz w:val="18"/>
                      <w:szCs w:val="18"/>
                    </w:rPr>
                    <w:t xml:space="preserve">% change from </w:t>
                  </w:r>
                  <w:r w:rsidRPr="00E940FE">
                    <w:rPr>
                      <w:rFonts w:cs="Arial"/>
                      <w:color w:val="FFFFFF" w:themeColor="background1"/>
                      <w:sz w:val="18"/>
                      <w:szCs w:val="18"/>
                    </w:rPr>
                    <w:br/>
                    <w:t>Jun-12 to Jun-13</w:t>
                  </w:r>
                </w:p>
              </w:tc>
            </w:tr>
            <w:tr w:rsidR="001E6FB8" w:rsidRPr="00E940FE" w:rsidTr="001E6FB8">
              <w:trPr>
                <w:trHeight w:val="110"/>
              </w:trPr>
              <w:tc>
                <w:tcPr>
                  <w:tcW w:w="2990" w:type="dxa"/>
                  <w:shd w:val="clear" w:color="auto" w:fill="auto"/>
                  <w:tcMar>
                    <w:left w:w="113" w:type="dxa"/>
                  </w:tcMar>
                  <w:vAlign w:val="center"/>
                </w:tcPr>
                <w:p w:rsidR="001E6FB8" w:rsidRPr="00E940FE" w:rsidRDefault="001E6FB8" w:rsidP="001E6FB8">
                  <w:pPr>
                    <w:keepNext/>
                    <w:keepLines/>
                    <w:rPr>
                      <w:rFonts w:cs="Arial"/>
                      <w:sz w:val="18"/>
                      <w:szCs w:val="18"/>
                    </w:rPr>
                  </w:pPr>
                  <w:r w:rsidRPr="00E940FE">
                    <w:rPr>
                      <w:rFonts w:cs="Arial"/>
                      <w:sz w:val="18"/>
                      <w:szCs w:val="18"/>
                    </w:rPr>
                    <w:t>Prepaid</w:t>
                  </w:r>
                </w:p>
              </w:tc>
              <w:tc>
                <w:tcPr>
                  <w:tcW w:w="1373" w:type="dxa"/>
                  <w:shd w:val="clear" w:color="auto" w:fill="auto"/>
                  <w:tcMar>
                    <w:left w:w="113" w:type="dxa"/>
                  </w:tcMar>
                  <w:vAlign w:val="center"/>
                </w:tcPr>
                <w:p w:rsidR="001E6FB8" w:rsidRPr="00E940FE" w:rsidRDefault="001E6FB8" w:rsidP="001E6FB8">
                  <w:pPr>
                    <w:keepNext/>
                    <w:keepLines/>
                    <w:jc w:val="right"/>
                    <w:rPr>
                      <w:rFonts w:cs="Arial"/>
                      <w:sz w:val="18"/>
                      <w:szCs w:val="18"/>
                    </w:rPr>
                  </w:pPr>
                  <w:r w:rsidRPr="00E940FE">
                    <w:rPr>
                      <w:rFonts w:cs="Arial"/>
                      <w:sz w:val="18"/>
                      <w:szCs w:val="18"/>
                    </w:rPr>
                    <w:t>11.23</w:t>
                  </w:r>
                  <w:r>
                    <w:rPr>
                      <w:rFonts w:cs="Arial"/>
                      <w:sz w:val="18"/>
                      <w:szCs w:val="18"/>
                    </w:rPr>
                    <w:t xml:space="preserve"> </w:t>
                  </w:r>
                  <w:r w:rsidRPr="00E940FE">
                    <w:rPr>
                      <w:rFonts w:cs="Arial"/>
                      <w:sz w:val="18"/>
                      <w:szCs w:val="18"/>
                    </w:rPr>
                    <w:t xml:space="preserve">m </w:t>
                  </w:r>
                </w:p>
              </w:tc>
              <w:tc>
                <w:tcPr>
                  <w:tcW w:w="1374" w:type="dxa"/>
                  <w:shd w:val="clear" w:color="auto" w:fill="auto"/>
                  <w:tcMar>
                    <w:left w:w="113" w:type="dxa"/>
                  </w:tcMar>
                  <w:vAlign w:val="center"/>
                </w:tcPr>
                <w:p w:rsidR="001E6FB8" w:rsidRPr="00E940FE" w:rsidRDefault="001E6FB8" w:rsidP="001E6FB8">
                  <w:pPr>
                    <w:keepNext/>
                    <w:keepLines/>
                    <w:jc w:val="right"/>
                    <w:rPr>
                      <w:rFonts w:cs="Arial"/>
                      <w:sz w:val="18"/>
                      <w:szCs w:val="18"/>
                    </w:rPr>
                  </w:pPr>
                  <w:r w:rsidRPr="00E940FE">
                    <w:rPr>
                      <w:rFonts w:cs="Arial"/>
                      <w:sz w:val="18"/>
                      <w:szCs w:val="18"/>
                    </w:rPr>
                    <w:t>11.64</w:t>
                  </w:r>
                  <w:r>
                    <w:rPr>
                      <w:rFonts w:cs="Arial"/>
                      <w:sz w:val="18"/>
                      <w:szCs w:val="18"/>
                    </w:rPr>
                    <w:t xml:space="preserve"> </w:t>
                  </w:r>
                  <w:r w:rsidRPr="00E940FE">
                    <w:rPr>
                      <w:rFonts w:cs="Arial"/>
                      <w:sz w:val="18"/>
                      <w:szCs w:val="18"/>
                    </w:rPr>
                    <w:t xml:space="preserve">m </w:t>
                  </w:r>
                </w:p>
              </w:tc>
              <w:tc>
                <w:tcPr>
                  <w:tcW w:w="1373" w:type="dxa"/>
                </w:tcPr>
                <w:p w:rsidR="001E6FB8" w:rsidRPr="00E940FE" w:rsidRDefault="001E6FB8" w:rsidP="001E6FB8">
                  <w:pPr>
                    <w:keepNext/>
                    <w:keepLines/>
                    <w:jc w:val="right"/>
                    <w:rPr>
                      <w:rFonts w:cs="Arial"/>
                      <w:sz w:val="18"/>
                      <w:szCs w:val="18"/>
                    </w:rPr>
                  </w:pPr>
                  <w:r w:rsidRPr="00E940FE">
                    <w:rPr>
                      <w:rFonts w:cs="Arial"/>
                      <w:sz w:val="18"/>
                      <w:szCs w:val="18"/>
                    </w:rPr>
                    <w:t>11.98</w:t>
                  </w:r>
                  <w:r>
                    <w:rPr>
                      <w:rFonts w:cs="Arial"/>
                      <w:sz w:val="18"/>
                      <w:szCs w:val="18"/>
                    </w:rPr>
                    <w:t xml:space="preserve"> </w:t>
                  </w:r>
                  <w:r w:rsidRPr="00E940FE">
                    <w:rPr>
                      <w:rFonts w:cs="Arial"/>
                      <w:sz w:val="18"/>
                      <w:szCs w:val="18"/>
                    </w:rPr>
                    <w:t xml:space="preserve">m </w:t>
                  </w:r>
                </w:p>
              </w:tc>
              <w:tc>
                <w:tcPr>
                  <w:tcW w:w="2213" w:type="dxa"/>
                  <w:shd w:val="clear" w:color="auto" w:fill="auto"/>
                  <w:tcMar>
                    <w:left w:w="113" w:type="dxa"/>
                  </w:tcMar>
                  <w:vAlign w:val="center"/>
                </w:tcPr>
                <w:p w:rsidR="001E6FB8" w:rsidRPr="00E940FE" w:rsidRDefault="001E6FB8" w:rsidP="001E6FB8">
                  <w:pPr>
                    <w:keepNext/>
                    <w:keepLines/>
                    <w:jc w:val="right"/>
                    <w:rPr>
                      <w:rFonts w:cs="Arial"/>
                      <w:sz w:val="18"/>
                      <w:szCs w:val="18"/>
                    </w:rPr>
                  </w:pPr>
                  <w:r w:rsidRPr="00E940FE">
                    <w:rPr>
                      <w:rFonts w:cs="Arial"/>
                      <w:sz w:val="18"/>
                      <w:szCs w:val="18"/>
                    </w:rPr>
                    <w:t xml:space="preserve">+2.9% </w:t>
                  </w:r>
                </w:p>
              </w:tc>
            </w:tr>
            <w:tr w:rsidR="001E6FB8" w:rsidRPr="00E940FE" w:rsidTr="001E6FB8">
              <w:trPr>
                <w:trHeight w:val="131"/>
              </w:trPr>
              <w:tc>
                <w:tcPr>
                  <w:tcW w:w="2990" w:type="dxa"/>
                  <w:shd w:val="clear" w:color="auto" w:fill="auto"/>
                  <w:tcMar>
                    <w:left w:w="113" w:type="dxa"/>
                  </w:tcMar>
                  <w:vAlign w:val="center"/>
                </w:tcPr>
                <w:p w:rsidR="001E6FB8" w:rsidRPr="00E940FE" w:rsidRDefault="001E6FB8" w:rsidP="001E6FB8">
                  <w:pPr>
                    <w:keepNext/>
                    <w:keepLines/>
                    <w:rPr>
                      <w:rFonts w:cs="Arial"/>
                      <w:sz w:val="18"/>
                      <w:szCs w:val="18"/>
                    </w:rPr>
                  </w:pPr>
                  <w:r w:rsidRPr="00E940FE">
                    <w:rPr>
                      <w:rFonts w:cs="Arial"/>
                      <w:sz w:val="18"/>
                      <w:szCs w:val="18"/>
                    </w:rPr>
                    <w:t>Post-paid</w:t>
                  </w:r>
                </w:p>
              </w:tc>
              <w:tc>
                <w:tcPr>
                  <w:tcW w:w="1373" w:type="dxa"/>
                  <w:shd w:val="clear" w:color="auto" w:fill="auto"/>
                  <w:tcMar>
                    <w:left w:w="113" w:type="dxa"/>
                  </w:tcMar>
                  <w:vAlign w:val="center"/>
                </w:tcPr>
                <w:p w:rsidR="001E6FB8" w:rsidRPr="00E940FE" w:rsidRDefault="001E6FB8" w:rsidP="001E6FB8">
                  <w:pPr>
                    <w:keepNext/>
                    <w:keepLines/>
                    <w:jc w:val="right"/>
                    <w:rPr>
                      <w:rFonts w:cs="Arial"/>
                      <w:sz w:val="18"/>
                      <w:szCs w:val="18"/>
                    </w:rPr>
                  </w:pPr>
                  <w:r w:rsidRPr="00E940FE">
                    <w:rPr>
                      <w:rFonts w:cs="Arial"/>
                      <w:sz w:val="18"/>
                      <w:szCs w:val="18"/>
                    </w:rPr>
                    <w:t>18.05</w:t>
                  </w:r>
                  <w:r>
                    <w:rPr>
                      <w:rFonts w:cs="Arial"/>
                      <w:sz w:val="18"/>
                      <w:szCs w:val="18"/>
                    </w:rPr>
                    <w:t xml:space="preserve"> </w:t>
                  </w:r>
                  <w:r w:rsidRPr="00E940FE">
                    <w:rPr>
                      <w:rFonts w:cs="Arial"/>
                      <w:sz w:val="18"/>
                      <w:szCs w:val="18"/>
                    </w:rPr>
                    <w:t xml:space="preserve">m </w:t>
                  </w:r>
                </w:p>
              </w:tc>
              <w:tc>
                <w:tcPr>
                  <w:tcW w:w="1374" w:type="dxa"/>
                  <w:shd w:val="clear" w:color="auto" w:fill="auto"/>
                  <w:tcMar>
                    <w:left w:w="113" w:type="dxa"/>
                  </w:tcMar>
                  <w:vAlign w:val="center"/>
                </w:tcPr>
                <w:p w:rsidR="001E6FB8" w:rsidRPr="00E940FE" w:rsidRDefault="001E6FB8" w:rsidP="001E6FB8">
                  <w:pPr>
                    <w:keepNext/>
                    <w:keepLines/>
                    <w:jc w:val="right"/>
                    <w:rPr>
                      <w:rFonts w:cs="Arial"/>
                      <w:sz w:val="18"/>
                      <w:szCs w:val="18"/>
                    </w:rPr>
                  </w:pPr>
                  <w:r w:rsidRPr="00E940FE">
                    <w:rPr>
                      <w:rFonts w:cs="Arial"/>
                      <w:sz w:val="18"/>
                      <w:szCs w:val="18"/>
                    </w:rPr>
                    <w:t>18.56</w:t>
                  </w:r>
                  <w:r>
                    <w:rPr>
                      <w:rFonts w:cs="Arial"/>
                      <w:sz w:val="18"/>
                      <w:szCs w:val="18"/>
                    </w:rPr>
                    <w:t xml:space="preserve"> </w:t>
                  </w:r>
                  <w:r w:rsidRPr="00E940FE">
                    <w:rPr>
                      <w:rFonts w:cs="Arial"/>
                      <w:sz w:val="18"/>
                      <w:szCs w:val="18"/>
                    </w:rPr>
                    <w:t xml:space="preserve">m </w:t>
                  </w:r>
                </w:p>
              </w:tc>
              <w:tc>
                <w:tcPr>
                  <w:tcW w:w="1373" w:type="dxa"/>
                </w:tcPr>
                <w:p w:rsidR="001E6FB8" w:rsidRPr="00E940FE" w:rsidRDefault="001E6FB8" w:rsidP="001E6FB8">
                  <w:pPr>
                    <w:keepNext/>
                    <w:keepLines/>
                    <w:jc w:val="right"/>
                    <w:rPr>
                      <w:rFonts w:cs="Arial"/>
                      <w:sz w:val="18"/>
                      <w:szCs w:val="18"/>
                    </w:rPr>
                  </w:pPr>
                  <w:r w:rsidRPr="00E940FE">
                    <w:rPr>
                      <w:rFonts w:cs="Arial"/>
                      <w:sz w:val="18"/>
                      <w:szCs w:val="18"/>
                    </w:rPr>
                    <w:t>19.10</w:t>
                  </w:r>
                  <w:r>
                    <w:rPr>
                      <w:rFonts w:cs="Arial"/>
                      <w:sz w:val="18"/>
                      <w:szCs w:val="18"/>
                    </w:rPr>
                    <w:t xml:space="preserve"> </w:t>
                  </w:r>
                  <w:r w:rsidRPr="00E940FE">
                    <w:rPr>
                      <w:rFonts w:cs="Arial"/>
                      <w:sz w:val="18"/>
                      <w:szCs w:val="18"/>
                    </w:rPr>
                    <w:t>m</w:t>
                  </w:r>
                </w:p>
              </w:tc>
              <w:tc>
                <w:tcPr>
                  <w:tcW w:w="2213" w:type="dxa"/>
                  <w:shd w:val="clear" w:color="auto" w:fill="auto"/>
                  <w:tcMar>
                    <w:left w:w="113" w:type="dxa"/>
                  </w:tcMar>
                  <w:vAlign w:val="center"/>
                </w:tcPr>
                <w:p w:rsidR="001E6FB8" w:rsidRPr="00E940FE" w:rsidRDefault="001E6FB8" w:rsidP="001E6FB8">
                  <w:pPr>
                    <w:keepNext/>
                    <w:keepLines/>
                    <w:jc w:val="right"/>
                    <w:rPr>
                      <w:rFonts w:cs="Arial"/>
                      <w:sz w:val="18"/>
                      <w:szCs w:val="18"/>
                    </w:rPr>
                  </w:pPr>
                  <w:r w:rsidRPr="00E940FE">
                    <w:rPr>
                      <w:rFonts w:cs="Arial"/>
                      <w:sz w:val="18"/>
                      <w:szCs w:val="18"/>
                    </w:rPr>
                    <w:t xml:space="preserve">+2.9% </w:t>
                  </w:r>
                </w:p>
              </w:tc>
            </w:tr>
            <w:tr w:rsidR="001E6FB8" w:rsidRPr="00E940FE" w:rsidTr="001E6FB8">
              <w:trPr>
                <w:trHeight w:val="131"/>
              </w:trPr>
              <w:tc>
                <w:tcPr>
                  <w:tcW w:w="2990" w:type="dxa"/>
                  <w:shd w:val="clear" w:color="auto" w:fill="auto"/>
                  <w:tcMar>
                    <w:left w:w="113" w:type="dxa"/>
                  </w:tcMar>
                  <w:vAlign w:val="center"/>
                </w:tcPr>
                <w:p w:rsidR="001E6FB8" w:rsidRPr="00E940FE" w:rsidRDefault="001E6FB8" w:rsidP="001E6FB8">
                  <w:pPr>
                    <w:keepNext/>
                    <w:keepLines/>
                    <w:rPr>
                      <w:rFonts w:cs="Arial"/>
                      <w:b/>
                      <w:sz w:val="18"/>
                      <w:szCs w:val="18"/>
                    </w:rPr>
                  </w:pPr>
                  <w:r w:rsidRPr="00E940FE">
                    <w:rPr>
                      <w:rFonts w:cs="Arial"/>
                      <w:b/>
                      <w:sz w:val="18"/>
                      <w:szCs w:val="18"/>
                    </w:rPr>
                    <w:t>Total</w:t>
                  </w:r>
                </w:p>
              </w:tc>
              <w:tc>
                <w:tcPr>
                  <w:tcW w:w="1373" w:type="dxa"/>
                  <w:shd w:val="clear" w:color="auto" w:fill="auto"/>
                  <w:tcMar>
                    <w:left w:w="113" w:type="dxa"/>
                  </w:tcMar>
                  <w:vAlign w:val="center"/>
                </w:tcPr>
                <w:p w:rsidR="001E6FB8" w:rsidRPr="00E940FE" w:rsidRDefault="001E6FB8" w:rsidP="001E6FB8">
                  <w:pPr>
                    <w:keepNext/>
                    <w:keepLines/>
                    <w:jc w:val="right"/>
                    <w:rPr>
                      <w:rFonts w:cs="Arial"/>
                      <w:b/>
                      <w:sz w:val="18"/>
                      <w:szCs w:val="18"/>
                    </w:rPr>
                  </w:pPr>
                  <w:r w:rsidRPr="00E940FE">
                    <w:rPr>
                      <w:rFonts w:cs="Arial"/>
                      <w:b/>
                      <w:sz w:val="18"/>
                      <w:szCs w:val="18"/>
                    </w:rPr>
                    <w:t>29.28</w:t>
                  </w:r>
                  <w:r>
                    <w:rPr>
                      <w:rFonts w:cs="Arial"/>
                      <w:b/>
                      <w:sz w:val="18"/>
                      <w:szCs w:val="18"/>
                    </w:rPr>
                    <w:t xml:space="preserve"> </w:t>
                  </w:r>
                  <w:r w:rsidRPr="00E940FE">
                    <w:rPr>
                      <w:rFonts w:cs="Arial"/>
                      <w:b/>
                      <w:sz w:val="18"/>
                      <w:szCs w:val="18"/>
                    </w:rPr>
                    <w:t xml:space="preserve">m </w:t>
                  </w:r>
                </w:p>
              </w:tc>
              <w:tc>
                <w:tcPr>
                  <w:tcW w:w="1374" w:type="dxa"/>
                  <w:shd w:val="clear" w:color="auto" w:fill="auto"/>
                  <w:tcMar>
                    <w:left w:w="113" w:type="dxa"/>
                  </w:tcMar>
                  <w:vAlign w:val="center"/>
                </w:tcPr>
                <w:p w:rsidR="001E6FB8" w:rsidRPr="00E940FE" w:rsidRDefault="001E6FB8" w:rsidP="001E6FB8">
                  <w:pPr>
                    <w:keepNext/>
                    <w:keepLines/>
                    <w:jc w:val="right"/>
                    <w:rPr>
                      <w:rFonts w:cs="Arial"/>
                      <w:b/>
                      <w:sz w:val="18"/>
                      <w:szCs w:val="18"/>
                    </w:rPr>
                  </w:pPr>
                  <w:r w:rsidRPr="00E940FE">
                    <w:rPr>
                      <w:rFonts w:cs="Arial"/>
                      <w:b/>
                      <w:sz w:val="18"/>
                      <w:szCs w:val="18"/>
                    </w:rPr>
                    <w:t>30.20</w:t>
                  </w:r>
                  <w:r>
                    <w:rPr>
                      <w:rFonts w:cs="Arial"/>
                      <w:b/>
                      <w:sz w:val="18"/>
                      <w:szCs w:val="18"/>
                    </w:rPr>
                    <w:t xml:space="preserve"> </w:t>
                  </w:r>
                  <w:r w:rsidRPr="00E940FE">
                    <w:rPr>
                      <w:rFonts w:cs="Arial"/>
                      <w:b/>
                      <w:sz w:val="18"/>
                      <w:szCs w:val="18"/>
                    </w:rPr>
                    <w:t xml:space="preserve">m </w:t>
                  </w:r>
                </w:p>
              </w:tc>
              <w:tc>
                <w:tcPr>
                  <w:tcW w:w="1373" w:type="dxa"/>
                </w:tcPr>
                <w:p w:rsidR="001E6FB8" w:rsidRPr="00E940FE" w:rsidRDefault="001E6FB8" w:rsidP="001E6FB8">
                  <w:pPr>
                    <w:keepNext/>
                    <w:keepLines/>
                    <w:jc w:val="right"/>
                    <w:rPr>
                      <w:rFonts w:cs="Arial"/>
                      <w:b/>
                      <w:sz w:val="18"/>
                      <w:szCs w:val="18"/>
                    </w:rPr>
                  </w:pPr>
                  <w:r w:rsidRPr="00E940FE">
                    <w:rPr>
                      <w:rFonts w:cs="Arial"/>
                      <w:b/>
                      <w:sz w:val="18"/>
                      <w:szCs w:val="18"/>
                    </w:rPr>
                    <w:t>31.09</w:t>
                  </w:r>
                  <w:r>
                    <w:rPr>
                      <w:rFonts w:cs="Arial"/>
                      <w:b/>
                      <w:sz w:val="18"/>
                      <w:szCs w:val="18"/>
                    </w:rPr>
                    <w:t xml:space="preserve"> </w:t>
                  </w:r>
                  <w:r w:rsidRPr="00E940FE">
                    <w:rPr>
                      <w:rFonts w:cs="Arial"/>
                      <w:b/>
                      <w:sz w:val="18"/>
                      <w:szCs w:val="18"/>
                    </w:rPr>
                    <w:t xml:space="preserve">m </w:t>
                  </w:r>
                </w:p>
              </w:tc>
              <w:tc>
                <w:tcPr>
                  <w:tcW w:w="2213" w:type="dxa"/>
                  <w:shd w:val="clear" w:color="auto" w:fill="auto"/>
                  <w:tcMar>
                    <w:left w:w="113" w:type="dxa"/>
                  </w:tcMar>
                  <w:vAlign w:val="center"/>
                </w:tcPr>
                <w:p w:rsidR="001E6FB8" w:rsidRPr="00E940FE" w:rsidRDefault="001E6FB8" w:rsidP="001E6FB8">
                  <w:pPr>
                    <w:keepNext/>
                    <w:keepLines/>
                    <w:jc w:val="right"/>
                    <w:rPr>
                      <w:rFonts w:cs="Arial"/>
                      <w:b/>
                      <w:sz w:val="18"/>
                      <w:szCs w:val="18"/>
                    </w:rPr>
                  </w:pPr>
                  <w:r w:rsidRPr="00E940FE">
                    <w:rPr>
                      <w:rFonts w:cs="Arial"/>
                      <w:b/>
                      <w:sz w:val="18"/>
                      <w:szCs w:val="18"/>
                    </w:rPr>
                    <w:t xml:space="preserve">+2.9% </w:t>
                  </w:r>
                </w:p>
              </w:tc>
            </w:tr>
          </w:tbl>
          <w:p w:rsidR="001E6FB8" w:rsidRPr="00E940FE" w:rsidRDefault="001E6FB8" w:rsidP="001E6FB8">
            <w:pPr>
              <w:keepNext/>
              <w:keepLines/>
              <w:rPr>
                <w:rFonts w:cs="Arial"/>
              </w:rPr>
            </w:pPr>
          </w:p>
        </w:tc>
      </w:tr>
      <w:tr w:rsidR="001E6FB8" w:rsidRPr="00E141F1" w:rsidTr="001E6FB8">
        <w:trPr>
          <w:trHeight w:val="112"/>
        </w:trPr>
        <w:tc>
          <w:tcPr>
            <w:tcW w:w="93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m=million.</w:t>
            </w:r>
          </w:p>
          <w:p w:rsidR="001E6FB8" w:rsidRPr="00E141F1" w:rsidRDefault="001E6FB8" w:rsidP="001E6FB8">
            <w:pPr>
              <w:keepNext/>
              <w:keepLines/>
              <w:spacing w:line="240" w:lineRule="auto"/>
              <w:rPr>
                <w:rFonts w:cs="Arial"/>
                <w:i/>
                <w:sz w:val="16"/>
                <w:szCs w:val="16"/>
              </w:rPr>
            </w:pPr>
            <w:r w:rsidRPr="00E141F1">
              <w:rPr>
                <w:rFonts w:cs="Arial"/>
                <w:i/>
                <w:sz w:val="16"/>
                <w:szCs w:val="16"/>
              </w:rPr>
              <w:t xml:space="preserve">Note: Figures include wholesale and retail services and wireless broadband data services provided via data cards, dongles or </w:t>
            </w:r>
            <w:r>
              <w:rPr>
                <w:rFonts w:cs="Arial"/>
                <w:i/>
                <w:sz w:val="16"/>
                <w:szCs w:val="16"/>
              </w:rPr>
              <w:br/>
            </w:r>
            <w:r w:rsidRPr="00E141F1">
              <w:rPr>
                <w:rFonts w:cs="Arial"/>
                <w:i/>
                <w:sz w:val="16"/>
                <w:szCs w:val="16"/>
              </w:rPr>
              <w:t xml:space="preserve">USB modems. </w:t>
            </w:r>
          </w:p>
          <w:p w:rsidR="001E6FB8" w:rsidRPr="00E141F1" w:rsidRDefault="001E6FB8" w:rsidP="001E6FB8">
            <w:pPr>
              <w:keepNext/>
              <w:keepLines/>
              <w:spacing w:after="60" w:line="240" w:lineRule="auto"/>
              <w:rPr>
                <w:rFonts w:cs="Arial"/>
              </w:rPr>
            </w:pPr>
            <w:r w:rsidRPr="00E141F1">
              <w:rPr>
                <w:rFonts w:cs="Arial"/>
                <w:i/>
                <w:sz w:val="16"/>
                <w:szCs w:val="16"/>
              </w:rPr>
              <w:t>Source: The ACMA annual industry data request.</w:t>
            </w:r>
          </w:p>
        </w:tc>
      </w:tr>
    </w:tbl>
    <w:p w:rsidR="001E6FB8" w:rsidRPr="00E141F1" w:rsidRDefault="001E6FB8" w:rsidP="001E6FB8"/>
    <w:p w:rsidR="001E6FB8" w:rsidRPr="00E141F1" w:rsidRDefault="001E6FB8" w:rsidP="001E6FB8">
      <w:r w:rsidRPr="00E141F1">
        <w:t xml:space="preserve">During 2012–13, mobile </w:t>
      </w:r>
      <w:r>
        <w:t>network owners</w:t>
      </w:r>
      <w:r w:rsidRPr="00E141F1">
        <w:t xml:space="preserve"> continued to face intense competition, particularly for market share. Telstra’s share of mobile services in operation increased by three percentage points, resulting in its share of the mobile services market reaching 49 per cent. In comparison, Optus’ market share remained unchanged at 31</w:t>
      </w:r>
      <w:r>
        <w:t> </w:t>
      </w:r>
      <w:r w:rsidRPr="00E141F1">
        <w:t>per cent while VHA’s share of mobile services declined by three percentage points to reach 20 per cent at June 2013 (Figure 1.5).</w:t>
      </w:r>
    </w:p>
    <w:p w:rsidR="001E6FB8" w:rsidRPr="00E141F1" w:rsidRDefault="001E6FB8" w:rsidP="001E6FB8"/>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5</w:t>
            </w:r>
            <w:r w:rsidR="00421002" w:rsidRPr="00E141F1">
              <w:rPr>
                <w:rFonts w:cs="Arial"/>
              </w:rPr>
              <w:fldChar w:fldCharType="end"/>
            </w:r>
            <w:r w:rsidRPr="00E141F1">
              <w:rPr>
                <w:rFonts w:cs="Arial"/>
              </w:rPr>
              <w:t xml:space="preserve"> Carrier share of mobile services in operation, June 2013</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rPr>
                <w:rFonts w:cs="Arial"/>
              </w:rPr>
            </w:pPr>
            <w:r w:rsidRPr="00E141F1">
              <w:rPr>
                <w:rFonts w:cs="Arial"/>
                <w:noProof/>
              </w:rPr>
              <w:drawing>
                <wp:inline distT="0" distB="0" distL="0" distR="0">
                  <wp:extent cx="5533534" cy="2573518"/>
                  <wp:effectExtent l="0" t="0" r="0" b="0"/>
                  <wp:docPr id="278" name="Chart 2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1E6FB8" w:rsidRPr="00E141F1" w:rsidTr="001E6FB8">
        <w:trPr>
          <w:trHeight w:val="620"/>
        </w:trPr>
        <w:tc>
          <w:tcPr>
            <w:tcW w:w="9645" w:type="dxa"/>
            <w:tcBorders>
              <w:bottom w:val="single" w:sz="2" w:space="0" w:color="505050"/>
            </w:tcBorders>
            <w:shd w:val="clear" w:color="auto" w:fill="auto"/>
          </w:tcPr>
          <w:p w:rsidR="001E6FB8" w:rsidRPr="00E141F1" w:rsidRDefault="001E6FB8" w:rsidP="001E6FB8">
            <w:pPr>
              <w:keepNext/>
              <w:widowControl w:val="0"/>
              <w:spacing w:before="60" w:after="60" w:line="240" w:lineRule="auto"/>
              <w:outlineLvl w:val="0"/>
              <w:rPr>
                <w:rFonts w:cs="Arial"/>
                <w:bCs/>
                <w:i/>
                <w:color w:val="4D4D4F"/>
                <w:kern w:val="32"/>
                <w:sz w:val="16"/>
                <w:szCs w:val="16"/>
              </w:rPr>
            </w:pPr>
            <w:r w:rsidRPr="00E141F1">
              <w:rPr>
                <w:rFonts w:cs="Arial"/>
                <w:i/>
                <w:sz w:val="16"/>
                <w:szCs w:val="16"/>
              </w:rPr>
              <w:t xml:space="preserve">Note: Figures include wholesale and retail services and wireless broadband data services provided via </w:t>
            </w:r>
            <w:r>
              <w:rPr>
                <w:rFonts w:cs="Arial"/>
                <w:i/>
                <w:sz w:val="16"/>
                <w:szCs w:val="16"/>
              </w:rPr>
              <w:t xml:space="preserve">mobile handset, </w:t>
            </w:r>
            <w:r w:rsidRPr="00E141F1">
              <w:rPr>
                <w:rFonts w:cs="Arial"/>
                <w:i/>
                <w:sz w:val="16"/>
                <w:szCs w:val="16"/>
              </w:rPr>
              <w:t xml:space="preserve">data cards, dongles or USB modems. </w:t>
            </w:r>
            <w:r w:rsidRPr="00E141F1">
              <w:rPr>
                <w:rFonts w:cs="Arial"/>
                <w:i/>
                <w:sz w:val="16"/>
                <w:szCs w:val="16"/>
              </w:rPr>
              <w:br/>
              <w:t xml:space="preserve">Source: </w:t>
            </w:r>
            <w:r w:rsidRPr="0023753D">
              <w:rPr>
                <w:rFonts w:cs="Arial"/>
                <w:i/>
                <w:sz w:val="16"/>
                <w:szCs w:val="16"/>
              </w:rPr>
              <w:t>ACMA annual industry data request.</w:t>
            </w:r>
          </w:p>
        </w:tc>
      </w:tr>
    </w:tbl>
    <w:p w:rsidR="001E6FB8" w:rsidRPr="00E141F1" w:rsidRDefault="001E6FB8" w:rsidP="001E6FB8">
      <w:pPr>
        <w:rPr>
          <w:rFonts w:cs="Arial"/>
        </w:rPr>
      </w:pPr>
    </w:p>
    <w:p w:rsidR="001E6FB8" w:rsidRPr="00E141F1" w:rsidRDefault="001E6FB8" w:rsidP="001E6FB8">
      <w:pPr>
        <w:spacing w:after="80" w:line="240" w:lineRule="auto"/>
        <w:rPr>
          <w:rFonts w:cs="Arial"/>
        </w:rPr>
      </w:pPr>
      <w:r w:rsidRPr="00E141F1">
        <w:rPr>
          <w:rFonts w:cs="Arial"/>
        </w:rPr>
        <w:t xml:space="preserve">In terms of the performance of Australia’s three mobile </w:t>
      </w:r>
      <w:r>
        <w:rPr>
          <w:rFonts w:cs="Arial"/>
        </w:rPr>
        <w:t>network owners</w:t>
      </w:r>
      <w:r w:rsidRPr="00E141F1">
        <w:rPr>
          <w:rFonts w:cs="Arial"/>
        </w:rPr>
        <w:t>, a number of significant developments occurred during 2012–13:</w:t>
      </w:r>
    </w:p>
    <w:p w:rsidR="001E6FB8" w:rsidRPr="00E141F1" w:rsidRDefault="001E6FB8" w:rsidP="001E6FB8">
      <w:pPr>
        <w:pStyle w:val="ListBullet"/>
        <w:tabs>
          <w:tab w:val="clear" w:pos="295"/>
          <w:tab w:val="num" w:pos="590"/>
        </w:tabs>
        <w:rPr>
          <w:rFonts w:cs="Arial"/>
        </w:rPr>
      </w:pPr>
      <w:r w:rsidRPr="00E141F1">
        <w:rPr>
          <w:rFonts w:cs="Arial"/>
        </w:rPr>
        <w:t xml:space="preserve">All </w:t>
      </w:r>
      <w:r>
        <w:rPr>
          <w:rFonts w:cs="Arial"/>
        </w:rPr>
        <w:t>mobile network owners</w:t>
      </w:r>
      <w:r w:rsidRPr="00E141F1">
        <w:rPr>
          <w:rFonts w:cs="Arial"/>
        </w:rPr>
        <w:t xml:space="preserve"> continued to roll out their 4G networks, with significant increases in coverage. At June 2013:</w:t>
      </w:r>
    </w:p>
    <w:p w:rsidR="001E6FB8" w:rsidRPr="00E141F1" w:rsidRDefault="001E6FB8" w:rsidP="001E6FB8">
      <w:pPr>
        <w:pStyle w:val="ListBullet"/>
        <w:tabs>
          <w:tab w:val="clear" w:pos="295"/>
          <w:tab w:val="num" w:pos="590"/>
        </w:tabs>
        <w:ind w:left="590"/>
        <w:rPr>
          <w:rFonts w:cs="Arial"/>
        </w:rPr>
      </w:pPr>
      <w:r w:rsidRPr="00E141F1">
        <w:rPr>
          <w:rFonts w:cs="Arial"/>
        </w:rPr>
        <w:t>Telstra’s 4G network covered 66 per cent of the population, up from 40 per cent from the previous year</w:t>
      </w:r>
    </w:p>
    <w:p w:rsidR="001E6FB8" w:rsidRPr="00E141F1" w:rsidRDefault="001E6FB8" w:rsidP="001E6FB8">
      <w:pPr>
        <w:pStyle w:val="ListBullet"/>
        <w:tabs>
          <w:tab w:val="clear" w:pos="295"/>
          <w:tab w:val="num" w:pos="590"/>
        </w:tabs>
        <w:ind w:left="590"/>
        <w:rPr>
          <w:rFonts w:cs="Arial"/>
        </w:rPr>
      </w:pPr>
      <w:r w:rsidRPr="00E141F1">
        <w:rPr>
          <w:rFonts w:cs="Arial"/>
        </w:rPr>
        <w:t>Optus’ 4G network covered Sydney, Melbourne, Perth, Adelaide, Brisbane and the regional centres of Byron Bay, Coffs Harbour and the Gold Coast</w:t>
      </w:r>
    </w:p>
    <w:p w:rsidR="001E6FB8" w:rsidRPr="00E141F1" w:rsidRDefault="001E6FB8" w:rsidP="001E6FB8">
      <w:pPr>
        <w:pStyle w:val="ListBullet"/>
        <w:tabs>
          <w:tab w:val="clear" w:pos="295"/>
          <w:tab w:val="num" w:pos="590"/>
        </w:tabs>
        <w:ind w:left="590"/>
        <w:rPr>
          <w:rFonts w:cs="Arial"/>
        </w:rPr>
      </w:pPr>
      <w:r w:rsidRPr="00E141F1">
        <w:rPr>
          <w:rFonts w:cs="Arial"/>
        </w:rPr>
        <w:t>VHA launched its 4G network in major metropolitan areas and opened the services to new customers on 10 July 2013.</w:t>
      </w:r>
      <w:r w:rsidRPr="00E141F1">
        <w:rPr>
          <w:rStyle w:val="EndnoteReference"/>
          <w:rFonts w:cs="Arial"/>
        </w:rPr>
        <w:endnoteReference w:id="9"/>
      </w:r>
      <w:r w:rsidRPr="00E141F1">
        <w:rPr>
          <w:rFonts w:cs="Arial"/>
        </w:rPr>
        <w:t xml:space="preserve"> </w:t>
      </w:r>
    </w:p>
    <w:p w:rsidR="001E6FB8" w:rsidRPr="00E141F1" w:rsidRDefault="001E6FB8" w:rsidP="001E6FB8">
      <w:pPr>
        <w:pStyle w:val="ListBullet"/>
        <w:rPr>
          <w:rFonts w:cs="Arial"/>
        </w:rPr>
      </w:pPr>
      <w:r w:rsidRPr="00E141F1">
        <w:rPr>
          <w:rFonts w:cs="Arial"/>
        </w:rPr>
        <w:t>The take-up of 4G mobile services has increased significantly over 2012–13:</w:t>
      </w:r>
    </w:p>
    <w:p w:rsidR="001E6FB8" w:rsidRPr="00E141F1" w:rsidRDefault="001E6FB8" w:rsidP="001E6FB8">
      <w:pPr>
        <w:pStyle w:val="ListBullet"/>
        <w:tabs>
          <w:tab w:val="clear" w:pos="295"/>
          <w:tab w:val="num" w:pos="1180"/>
        </w:tabs>
        <w:ind w:left="590"/>
        <w:rPr>
          <w:rFonts w:cs="Arial"/>
        </w:rPr>
      </w:pPr>
      <w:r w:rsidRPr="00E141F1">
        <w:rPr>
          <w:rFonts w:cs="Arial"/>
        </w:rPr>
        <w:t>Telstra reported 2.80 million 4G services at June 2013, up from 380,000</w:t>
      </w:r>
      <w:r w:rsidRPr="00E141F1">
        <w:rPr>
          <w:rStyle w:val="EndnoteReference"/>
          <w:rFonts w:cs="Arial"/>
        </w:rPr>
        <w:endnoteReference w:id="10"/>
      </w:r>
    </w:p>
    <w:p w:rsidR="001E6FB8" w:rsidRPr="00E141F1" w:rsidRDefault="001E6FB8" w:rsidP="001E6FB8">
      <w:pPr>
        <w:pStyle w:val="ListBullet"/>
        <w:tabs>
          <w:tab w:val="clear" w:pos="295"/>
          <w:tab w:val="num" w:pos="885"/>
        </w:tabs>
        <w:ind w:left="590"/>
        <w:rPr>
          <w:rFonts w:cs="Arial"/>
        </w:rPr>
      </w:pPr>
      <w:r w:rsidRPr="00E141F1">
        <w:rPr>
          <w:rFonts w:cs="Arial"/>
        </w:rPr>
        <w:t xml:space="preserve">Optus reported 1.08 million 4G services </w:t>
      </w:r>
      <w:r w:rsidRPr="00892D68">
        <w:rPr>
          <w:rFonts w:cs="Arial"/>
        </w:rPr>
        <w:t>at June 2013.</w:t>
      </w:r>
      <w:r w:rsidRPr="00892D68">
        <w:rPr>
          <w:rStyle w:val="EndnoteReference"/>
          <w:rFonts w:cs="Arial"/>
        </w:rPr>
        <w:endnoteReference w:id="11"/>
      </w:r>
      <w:r>
        <w:rPr>
          <w:rFonts w:cs="Arial"/>
        </w:rPr>
        <w:t xml:space="preserve"> </w:t>
      </w:r>
    </w:p>
    <w:p w:rsidR="001E6FB8" w:rsidRPr="00E141F1" w:rsidRDefault="001E6FB8" w:rsidP="001E6FB8">
      <w:pPr>
        <w:pStyle w:val="ListBullet"/>
        <w:rPr>
          <w:rFonts w:cs="Arial"/>
        </w:rPr>
      </w:pPr>
      <w:r w:rsidRPr="00E141F1">
        <w:rPr>
          <w:rFonts w:cs="Arial"/>
        </w:rPr>
        <w:t>In addition, Telstra, Optus and TPG made significant investments in spectrum assets during the period. On 7 May 2013, the ACMA announced the outcomes from the digital dividend spectrum auctions including the purchase by:</w:t>
      </w:r>
    </w:p>
    <w:p w:rsidR="001E6FB8" w:rsidRPr="00E141F1" w:rsidRDefault="001E6FB8" w:rsidP="001E6FB8">
      <w:pPr>
        <w:pStyle w:val="ListBullet"/>
        <w:tabs>
          <w:tab w:val="clear" w:pos="295"/>
          <w:tab w:val="num" w:pos="590"/>
        </w:tabs>
        <w:ind w:left="590"/>
        <w:rPr>
          <w:rFonts w:cs="Arial"/>
        </w:rPr>
      </w:pPr>
      <w:r w:rsidRPr="00E141F1">
        <w:rPr>
          <w:rFonts w:cs="Arial"/>
        </w:rPr>
        <w:t>Optus Mobile of 20 MHz in the 700 MHz band and 40 MHz in the 2.5 GHz band</w:t>
      </w:r>
    </w:p>
    <w:p w:rsidR="001E6FB8" w:rsidRPr="00E141F1" w:rsidRDefault="001E6FB8" w:rsidP="001E6FB8">
      <w:pPr>
        <w:pStyle w:val="ListBullet"/>
        <w:tabs>
          <w:tab w:val="clear" w:pos="295"/>
          <w:tab w:val="num" w:pos="590"/>
        </w:tabs>
        <w:ind w:left="590"/>
        <w:rPr>
          <w:rFonts w:cs="Arial"/>
        </w:rPr>
      </w:pPr>
      <w:r w:rsidRPr="00E141F1">
        <w:rPr>
          <w:rFonts w:cs="Arial"/>
        </w:rPr>
        <w:t>Telstra of 40 MHz in the 700 MHz band and 80 MHz in the 2.5 GHz band</w:t>
      </w:r>
    </w:p>
    <w:p w:rsidR="001E6FB8" w:rsidRPr="00E141F1" w:rsidRDefault="001E6FB8" w:rsidP="001E6FB8">
      <w:pPr>
        <w:pStyle w:val="ListBullet"/>
        <w:tabs>
          <w:tab w:val="clear" w:pos="295"/>
          <w:tab w:val="num" w:pos="590"/>
        </w:tabs>
        <w:spacing w:after="240"/>
        <w:ind w:left="590"/>
        <w:rPr>
          <w:rFonts w:cs="Arial"/>
        </w:rPr>
      </w:pPr>
      <w:r w:rsidRPr="00E141F1">
        <w:rPr>
          <w:rFonts w:cs="Arial"/>
        </w:rPr>
        <w:t>TPG Internet of 20 MHz in the 2.5 GHz band.</w:t>
      </w:r>
      <w:r w:rsidRPr="00E141F1">
        <w:rPr>
          <w:rStyle w:val="EndnoteReference"/>
          <w:rFonts w:cs="Arial"/>
        </w:rPr>
        <w:endnoteReference w:id="12"/>
      </w:r>
    </w:p>
    <w:p w:rsidR="001E6FB8" w:rsidRPr="00E141F1" w:rsidRDefault="001E6FB8" w:rsidP="001E6FB8">
      <w:pPr>
        <w:pStyle w:val="Heading3"/>
        <w:rPr>
          <w:b w:val="0"/>
          <w:bCs w:val="0"/>
        </w:rPr>
      </w:pPr>
      <w:bookmarkStart w:id="122" w:name="_Toc371588981"/>
      <w:bookmarkStart w:id="123" w:name="_Toc373149043"/>
      <w:r w:rsidRPr="00E141F1">
        <w:t>Mobile-internet services</w:t>
      </w:r>
      <w:bookmarkEnd w:id="122"/>
      <w:bookmarkEnd w:id="123"/>
    </w:p>
    <w:p w:rsidR="001E6FB8" w:rsidRPr="00E141F1" w:rsidRDefault="001E6FB8" w:rsidP="001E6FB8">
      <w:pPr>
        <w:rPr>
          <w:rFonts w:cs="Arial"/>
        </w:rPr>
      </w:pPr>
      <w:r w:rsidRPr="00E141F1">
        <w:rPr>
          <w:rFonts w:cs="Arial"/>
        </w:rPr>
        <w:t xml:space="preserve">Growth in mobile services continues to be driven by take-up of mobile internet (using mobile phone handset internet, dongle, </w:t>
      </w:r>
      <w:proofErr w:type="spellStart"/>
      <w:r w:rsidRPr="00E141F1">
        <w:rPr>
          <w:rFonts w:cs="Arial"/>
        </w:rPr>
        <w:t>datacard</w:t>
      </w:r>
      <w:proofErr w:type="spellEnd"/>
      <w:r w:rsidRPr="00E141F1">
        <w:rPr>
          <w:rFonts w:cs="Arial"/>
        </w:rPr>
        <w:t xml:space="preserve"> or USB modem services). Mobile handset and mobile wireless internet subscribers collectively account for 83 per cent of all mobile services in operation at June 2013.</w:t>
      </w:r>
      <w:r w:rsidRPr="00E141F1">
        <w:rPr>
          <w:rStyle w:val="EndnoteReference"/>
          <w:rFonts w:cs="Arial"/>
        </w:rPr>
        <w:endnoteReference w:id="13"/>
      </w:r>
      <w:r w:rsidRPr="00E141F1">
        <w:rPr>
          <w:rFonts w:cs="Arial"/>
        </w:rPr>
        <w:t xml:space="preserv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latest data from the Australian Bureau of Statistics (ABS) shows that at June 2013, there were 6.15 million mobile wireless internet subscribers, an increase of five per cent, and a further 19.65 million mobile handset internet subscribers, an increase of 21 per cent since June 2012 (Figure 1.6).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Considering that growth in the total number of mobile voice and data services in Australia was only three per cent for the period 2012–13,</w:t>
      </w:r>
      <w:r>
        <w:rPr>
          <w:rFonts w:cs="Arial"/>
        </w:rPr>
        <w:t xml:space="preserve"> the shift to </w:t>
      </w:r>
      <w:proofErr w:type="spellStart"/>
      <w:r>
        <w:rPr>
          <w:rFonts w:cs="Arial"/>
        </w:rPr>
        <w:t>smartphones</w:t>
      </w:r>
      <w:proofErr w:type="spellEnd"/>
      <w:r>
        <w:rPr>
          <w:rFonts w:cs="Arial"/>
        </w:rPr>
        <w:t xml:space="preserve"> with internet accessibility continues to be a major driver of growth in the mobile services market.  </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6</w:t>
            </w:r>
            <w:r w:rsidR="00421002" w:rsidRPr="00E141F1">
              <w:rPr>
                <w:rFonts w:cs="Arial"/>
              </w:rPr>
              <w:fldChar w:fldCharType="end"/>
            </w:r>
            <w:r w:rsidRPr="00E141F1">
              <w:rPr>
                <w:rFonts w:cs="Arial"/>
              </w:rPr>
              <w:t xml:space="preserve"> Mobile-internet subscribers in Australia</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keepNext/>
              <w:keepLines/>
              <w:rPr>
                <w:rFonts w:cs="Arial"/>
              </w:rPr>
            </w:pPr>
            <w:r w:rsidRPr="00E141F1">
              <w:rPr>
                <w:rFonts w:cs="Arial"/>
                <w:noProof/>
              </w:rPr>
              <w:drawing>
                <wp:inline distT="0" distB="0" distL="0" distR="0">
                  <wp:extent cx="6089715" cy="2055044"/>
                  <wp:effectExtent l="0" t="0" r="0" b="0"/>
                  <wp:docPr id="282"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240" w:line="240" w:lineRule="auto"/>
              <w:rPr>
                <w:rFonts w:cs="Arial"/>
                <w:bCs/>
                <w:i/>
                <w:color w:val="4D4D4F"/>
                <w:spacing w:val="-28"/>
                <w:kern w:val="32"/>
                <w:sz w:val="16"/>
                <w:szCs w:val="16"/>
              </w:rPr>
            </w:pPr>
            <w:r w:rsidRPr="00E141F1">
              <w:rPr>
                <w:rFonts w:cs="Arial"/>
                <w:i/>
                <w:sz w:val="16"/>
                <w:szCs w:val="16"/>
              </w:rPr>
              <w:t xml:space="preserve">Note: ABS has revised some mobile handset internet subscriber figures published in previous ACMA reports. </w:t>
            </w:r>
          </w:p>
          <w:p w:rsidR="001E6FB8" w:rsidRPr="00E141F1" w:rsidRDefault="001E6FB8" w:rsidP="001E6FB8">
            <w:pPr>
              <w:keepNext/>
              <w:keepLines/>
              <w:spacing w:after="60" w:line="240" w:lineRule="auto"/>
              <w:rPr>
                <w:rFonts w:cs="Arial"/>
                <w:bCs/>
                <w:color w:val="4D4D4F"/>
                <w:spacing w:val="-28"/>
                <w:kern w:val="32"/>
                <w:sz w:val="53"/>
                <w:szCs w:val="32"/>
              </w:rPr>
            </w:pPr>
            <w:r w:rsidRPr="00E141F1">
              <w:rPr>
                <w:rFonts w:cs="Arial"/>
                <w:i/>
                <w:sz w:val="16"/>
                <w:szCs w:val="16"/>
              </w:rPr>
              <w:t>Source:</w:t>
            </w:r>
            <w:r>
              <w:rPr>
                <w:rFonts w:cs="Arial"/>
                <w:i/>
                <w:sz w:val="16"/>
                <w:szCs w:val="16"/>
              </w:rPr>
              <w:t xml:space="preserve"> ABS</w:t>
            </w:r>
            <w:r w:rsidRPr="00E141F1">
              <w:rPr>
                <w:rFonts w:cs="Arial"/>
                <w:i/>
                <w:sz w:val="16"/>
                <w:szCs w:val="16"/>
              </w:rPr>
              <w:t>, 8153.0-Internet Activity, Australia, June 2013.</w:t>
            </w:r>
          </w:p>
        </w:tc>
      </w:tr>
    </w:tbl>
    <w:p w:rsidR="001E6FB8" w:rsidRPr="00E141F1" w:rsidRDefault="001E6FB8" w:rsidP="001E6FB8">
      <w:pPr>
        <w:rPr>
          <w:rFonts w:cs="Arial"/>
        </w:rPr>
      </w:pPr>
    </w:p>
    <w:p w:rsidR="001E6FB8" w:rsidRPr="00E141F1" w:rsidRDefault="001E6FB8" w:rsidP="001E6FB8">
      <w:pPr>
        <w:spacing w:after="80" w:line="240" w:lineRule="auto"/>
        <w:rPr>
          <w:rFonts w:cs="Arial"/>
        </w:rPr>
      </w:pPr>
      <w:r w:rsidRPr="00E141F1">
        <w:rPr>
          <w:rFonts w:cs="Arial"/>
        </w:rPr>
        <w:t>ACMA research shows that 62 per cent of Australian adults (10.91 million people) had used the internet via their mobile handset during the six months to May 2013. This is a 19 per cent increase from the previous year where 52 per cent (9.19 million people) had used the internet via their mobile handset during the six months to May 2012. In addition, the availability of mobile applications and increased data allowances has further facilitated the use of internet services via mobile phones. At June 2013:</w:t>
      </w:r>
    </w:p>
    <w:p w:rsidR="001E6FB8" w:rsidRPr="00E141F1" w:rsidRDefault="001E6FB8" w:rsidP="001E6FB8">
      <w:pPr>
        <w:pStyle w:val="ListBullet"/>
        <w:rPr>
          <w:rFonts w:cs="Arial"/>
        </w:rPr>
      </w:pPr>
      <w:r w:rsidRPr="00E141F1">
        <w:rPr>
          <w:rFonts w:cs="Arial"/>
        </w:rPr>
        <w:t>52 per cent of mobile phone users had downloaded an application during June 2013 compared to 50 per cent during June 2012</w:t>
      </w:r>
    </w:p>
    <w:p w:rsidR="001E6FB8" w:rsidRPr="00465B4B" w:rsidRDefault="001E6FB8" w:rsidP="001E6FB8">
      <w:pPr>
        <w:pStyle w:val="ListBullet"/>
        <w:spacing w:after="240" w:line="240" w:lineRule="auto"/>
        <w:rPr>
          <w:rFonts w:cs="Arial"/>
        </w:rPr>
      </w:pPr>
      <w:r w:rsidRPr="00465B4B">
        <w:rPr>
          <w:rFonts w:cs="Arial"/>
        </w:rPr>
        <w:t>of those mobile phone users with a data allowance, 54 per cent had a monthly allowance of one gigabyte or more, compared to 52 per cent at June 2012.</w:t>
      </w:r>
      <w:r w:rsidRPr="0023753D">
        <w:rPr>
          <w:rStyle w:val="EndnoteReference"/>
          <w:rFonts w:cs="Arial"/>
        </w:rPr>
        <w:endnoteReference w:id="14"/>
      </w:r>
      <w:r w:rsidRPr="00465B4B">
        <w:rPr>
          <w:rFonts w:cs="Arial"/>
        </w:rPr>
        <w:t xml:space="preserve"> </w:t>
      </w:r>
    </w:p>
    <w:p w:rsidR="001E6FB8" w:rsidRDefault="001E6FB8" w:rsidP="001E6FB8">
      <w:pPr>
        <w:pStyle w:val="ListBullet"/>
        <w:numPr>
          <w:ilvl w:val="0"/>
          <w:numId w:val="0"/>
        </w:numPr>
        <w:spacing w:after="0"/>
        <w:rPr>
          <w:rFonts w:cs="Arial"/>
        </w:rPr>
      </w:pPr>
      <w:r w:rsidRPr="00E141F1">
        <w:rPr>
          <w:rFonts w:cs="Arial"/>
        </w:rPr>
        <w:t xml:space="preserve">Growth in use of the internet via mobile phone handsets has been facilitated by the availability of </w:t>
      </w:r>
      <w:proofErr w:type="spellStart"/>
      <w:r w:rsidRPr="00E141F1">
        <w:rPr>
          <w:rFonts w:cs="Arial"/>
        </w:rPr>
        <w:t>smartphones</w:t>
      </w:r>
      <w:proofErr w:type="spellEnd"/>
      <w:r w:rsidRPr="00E141F1">
        <w:rPr>
          <w:rFonts w:cs="Arial"/>
        </w:rPr>
        <w:t xml:space="preserve">. Sixty-four per cent of adults (11.19 million people) were estimated to be using a </w:t>
      </w:r>
      <w:proofErr w:type="spellStart"/>
      <w:r w:rsidRPr="00E141F1">
        <w:rPr>
          <w:rFonts w:cs="Arial"/>
        </w:rPr>
        <w:t>smartphone</w:t>
      </w:r>
      <w:proofErr w:type="spellEnd"/>
      <w:r w:rsidRPr="00E141F1">
        <w:rPr>
          <w:rFonts w:cs="Arial"/>
        </w:rPr>
        <w:t xml:space="preserve"> at May 2013 compared to 49 per cent (8.67</w:t>
      </w:r>
      <w:r>
        <w:rPr>
          <w:rFonts w:cs="Arial"/>
        </w:rPr>
        <w:t> </w:t>
      </w:r>
      <w:r w:rsidRPr="00E141F1">
        <w:rPr>
          <w:rFonts w:cs="Arial"/>
        </w:rPr>
        <w:t xml:space="preserve">million) at May 2012, an increase of 29 per cent (Figure 1.7). Smartphone adoption was highest for people aged 18–24 at 89 per cent. </w:t>
      </w:r>
    </w:p>
    <w:p w:rsidR="001E6FB8" w:rsidRPr="00E141F1" w:rsidRDefault="001E6FB8" w:rsidP="001E6FB8">
      <w:pPr>
        <w:pStyle w:val="ListBullet"/>
        <w:numPr>
          <w:ilvl w:val="0"/>
          <w:numId w:val="0"/>
        </w:numPr>
        <w:spacing w:after="0"/>
        <w:rPr>
          <w:rFonts w:cs="Arial"/>
        </w:rPr>
      </w:pPr>
    </w:p>
    <w:tbl>
      <w:tblPr>
        <w:tblW w:w="9675" w:type="dxa"/>
        <w:tblLayout w:type="fixed"/>
        <w:tblCellMar>
          <w:left w:w="0" w:type="dxa"/>
          <w:right w:w="0" w:type="dxa"/>
        </w:tblCellMar>
        <w:tblLook w:val="01E0"/>
      </w:tblPr>
      <w:tblGrid>
        <w:gridCol w:w="9675"/>
      </w:tblGrid>
      <w:tr w:rsidR="001E6FB8" w:rsidRPr="00E141F1" w:rsidTr="001E6FB8">
        <w:trPr>
          <w:trHeight w:val="625"/>
        </w:trPr>
        <w:tc>
          <w:tcPr>
            <w:tcW w:w="967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7</w:t>
            </w:r>
            <w:r w:rsidR="00421002" w:rsidRPr="00E141F1">
              <w:rPr>
                <w:rFonts w:cs="Arial"/>
              </w:rPr>
              <w:fldChar w:fldCharType="end"/>
            </w:r>
            <w:r w:rsidRPr="00E141F1">
              <w:rPr>
                <w:rFonts w:cs="Arial"/>
              </w:rPr>
              <w:t xml:space="preserve"> Take-up of internet-enabled mobile phones</w:t>
            </w:r>
          </w:p>
        </w:tc>
      </w:tr>
      <w:tr w:rsidR="001E6FB8" w:rsidRPr="00E141F1" w:rsidTr="001E6FB8">
        <w:trPr>
          <w:trHeight w:val="3381"/>
        </w:trPr>
        <w:tc>
          <w:tcPr>
            <w:tcW w:w="9675" w:type="dxa"/>
            <w:shd w:val="clear" w:color="auto" w:fill="auto"/>
            <w:tcMar>
              <w:left w:w="28" w:type="dxa"/>
            </w:tcMar>
          </w:tcPr>
          <w:p w:rsidR="001E6FB8" w:rsidRPr="00E141F1" w:rsidRDefault="001E6FB8" w:rsidP="001E6FB8">
            <w:pPr>
              <w:keepNext/>
              <w:keepLines/>
              <w:rPr>
                <w:rFonts w:cs="Arial"/>
                <w:color w:val="808285"/>
                <w:spacing w:val="-28"/>
                <w:sz w:val="53"/>
              </w:rPr>
            </w:pPr>
            <w:r w:rsidRPr="00E141F1">
              <w:rPr>
                <w:rFonts w:cs="Arial"/>
                <w:noProof/>
                <w:color w:val="808285"/>
                <w:spacing w:val="-28"/>
                <w:sz w:val="53"/>
              </w:rPr>
              <w:drawing>
                <wp:inline distT="0" distB="0" distL="0" distR="0">
                  <wp:extent cx="6127422" cy="2696066"/>
                  <wp:effectExtent l="0" t="0" r="0" b="0"/>
                  <wp:docPr id="285"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1E6FB8" w:rsidRPr="00E141F1" w:rsidTr="001E6FB8">
        <w:trPr>
          <w:trHeight w:val="319"/>
        </w:trPr>
        <w:tc>
          <w:tcPr>
            <w:tcW w:w="9675" w:type="dxa"/>
            <w:tcBorders>
              <w:bottom w:val="single" w:sz="2" w:space="0" w:color="505050"/>
            </w:tcBorders>
            <w:shd w:val="clear" w:color="auto" w:fill="auto"/>
          </w:tcPr>
          <w:p w:rsidR="001E6FB8" w:rsidRPr="00E141F1" w:rsidRDefault="001E6FB8" w:rsidP="001E6FB8">
            <w:pPr>
              <w:keepNext/>
              <w:keepLines/>
              <w:spacing w:line="240" w:lineRule="auto"/>
              <w:rPr>
                <w:rFonts w:cs="Arial"/>
                <w:i/>
                <w:sz w:val="16"/>
                <w:szCs w:val="16"/>
              </w:rPr>
            </w:pPr>
            <w:r w:rsidRPr="00E141F1">
              <w:rPr>
                <w:rFonts w:cs="Arial"/>
                <w:sz w:val="16"/>
                <w:szCs w:val="16"/>
              </w:rPr>
              <w:t xml:space="preserve">Base: </w:t>
            </w:r>
            <w:r w:rsidRPr="00E141F1">
              <w:rPr>
                <w:rFonts w:cs="Arial"/>
                <w:i/>
                <w:sz w:val="16"/>
                <w:szCs w:val="16"/>
              </w:rPr>
              <w:t xml:space="preserve">People with a fixed-line telephone and/or a mobile telephone. </w:t>
            </w:r>
            <w:r w:rsidRPr="00E141F1">
              <w:rPr>
                <w:rFonts w:cs="Arial"/>
                <w:i/>
                <w:sz w:val="16"/>
                <w:szCs w:val="16"/>
              </w:rPr>
              <w:br/>
              <w:t xml:space="preserve">Note: Data </w:t>
            </w:r>
            <w:r>
              <w:rPr>
                <w:rFonts w:cs="Arial"/>
                <w:i/>
                <w:sz w:val="16"/>
                <w:szCs w:val="16"/>
              </w:rPr>
              <w:t>is at</w:t>
            </w:r>
            <w:r w:rsidRPr="00E141F1">
              <w:rPr>
                <w:rFonts w:cs="Arial"/>
                <w:i/>
                <w:sz w:val="16"/>
                <w:szCs w:val="16"/>
              </w:rPr>
              <w:t xml:space="preserve"> May 2012 and </w:t>
            </w:r>
            <w:r>
              <w:rPr>
                <w:rFonts w:cs="Arial"/>
                <w:i/>
                <w:sz w:val="16"/>
                <w:szCs w:val="16"/>
              </w:rPr>
              <w:t xml:space="preserve">May </w:t>
            </w:r>
            <w:r w:rsidRPr="00E141F1">
              <w:rPr>
                <w:rFonts w:cs="Arial"/>
                <w:i/>
                <w:sz w:val="16"/>
                <w:szCs w:val="16"/>
              </w:rPr>
              <w:t>2013 with the exception of mobile phone internet use which relates to use in the six months to May in 2012 and 2013.</w:t>
            </w:r>
            <w:r w:rsidRPr="00E141F1">
              <w:rPr>
                <w:rFonts w:cs="Arial"/>
                <w:sz w:val="16"/>
                <w:szCs w:val="16"/>
              </w:rPr>
              <w:t xml:space="preserve"> </w:t>
            </w:r>
            <w:r w:rsidRPr="00E141F1">
              <w:rPr>
                <w:rFonts w:cs="Arial"/>
                <w:i/>
                <w:sz w:val="16"/>
                <w:szCs w:val="16"/>
              </w:rPr>
              <w:t xml:space="preserve">A </w:t>
            </w:r>
            <w:proofErr w:type="spellStart"/>
            <w:r w:rsidRPr="00E141F1">
              <w:rPr>
                <w:rFonts w:cs="Arial"/>
                <w:i/>
                <w:sz w:val="16"/>
                <w:szCs w:val="16"/>
              </w:rPr>
              <w:t>smartphone</w:t>
            </w:r>
            <w:proofErr w:type="spellEnd"/>
            <w:r w:rsidRPr="00E141F1">
              <w:rPr>
                <w:rFonts w:cs="Arial"/>
                <w:i/>
                <w:sz w:val="16"/>
                <w:szCs w:val="16"/>
              </w:rPr>
              <w:t xml:space="preserve"> is a mobile phone built on a mobile operating system, with advanced computing capability and connectivity. Examples of </w:t>
            </w:r>
            <w:proofErr w:type="spellStart"/>
            <w:r w:rsidRPr="00E141F1">
              <w:rPr>
                <w:rFonts w:cs="Arial"/>
                <w:i/>
                <w:sz w:val="16"/>
                <w:szCs w:val="16"/>
              </w:rPr>
              <w:t>smartphones</w:t>
            </w:r>
            <w:proofErr w:type="spellEnd"/>
            <w:r w:rsidRPr="00E141F1">
              <w:rPr>
                <w:rFonts w:cs="Arial"/>
                <w:i/>
                <w:sz w:val="16"/>
                <w:szCs w:val="16"/>
              </w:rPr>
              <w:t xml:space="preserve"> include Apple </w:t>
            </w:r>
            <w:proofErr w:type="spellStart"/>
            <w:r w:rsidRPr="00E141F1">
              <w:rPr>
                <w:rFonts w:cs="Arial"/>
                <w:i/>
                <w:sz w:val="16"/>
                <w:szCs w:val="16"/>
              </w:rPr>
              <w:t>iPhone</w:t>
            </w:r>
            <w:proofErr w:type="spellEnd"/>
            <w:r w:rsidRPr="00E141F1">
              <w:rPr>
                <w:rFonts w:cs="Arial"/>
                <w:i/>
                <w:sz w:val="16"/>
                <w:szCs w:val="16"/>
              </w:rPr>
              <w:t xml:space="preserve">, Android phones such as HTC Desire and Samsung Galaxy, Windows mobile phones such as the Nokia </w:t>
            </w:r>
            <w:proofErr w:type="spellStart"/>
            <w:r w:rsidRPr="00E141F1">
              <w:rPr>
                <w:rFonts w:cs="Arial"/>
                <w:i/>
                <w:sz w:val="16"/>
                <w:szCs w:val="16"/>
              </w:rPr>
              <w:t>Lumia</w:t>
            </w:r>
            <w:proofErr w:type="spellEnd"/>
            <w:r w:rsidRPr="00E141F1">
              <w:rPr>
                <w:rFonts w:cs="Arial"/>
                <w:i/>
                <w:sz w:val="16"/>
                <w:szCs w:val="16"/>
              </w:rPr>
              <w:t xml:space="preserve"> 800 and HTC Mozart and Blackberries.</w:t>
            </w:r>
          </w:p>
          <w:p w:rsidR="001E6FB8" w:rsidRPr="00E141F1" w:rsidRDefault="001E6FB8" w:rsidP="001E6FB8">
            <w:pPr>
              <w:keepNext/>
              <w:keepLines/>
              <w:spacing w:after="60" w:line="240" w:lineRule="auto"/>
              <w:rPr>
                <w:rFonts w:cs="Arial"/>
              </w:rPr>
            </w:pPr>
            <w:r w:rsidRPr="00E141F1">
              <w:rPr>
                <w:rFonts w:cs="Arial"/>
                <w:i/>
                <w:sz w:val="16"/>
                <w:szCs w:val="16"/>
              </w:rPr>
              <w:t xml:space="preserve">Source: </w:t>
            </w:r>
            <w:r>
              <w:rPr>
                <w:rFonts w:cs="Arial"/>
                <w:i/>
                <w:sz w:val="16"/>
                <w:szCs w:val="16"/>
              </w:rPr>
              <w:t>ACMA-commissioned survey</w:t>
            </w:r>
            <w:r w:rsidRPr="00E141F1">
              <w:rPr>
                <w:rFonts w:cs="Arial"/>
                <w:i/>
                <w:sz w:val="16"/>
                <w:szCs w:val="16"/>
              </w:rPr>
              <w:t>.</w:t>
            </w:r>
          </w:p>
        </w:tc>
      </w:tr>
    </w:tbl>
    <w:p w:rsidR="001E6FB8" w:rsidRPr="00E141F1" w:rsidRDefault="001E6FB8" w:rsidP="001E6FB8">
      <w:pPr>
        <w:spacing w:line="240" w:lineRule="auto"/>
        <w:rPr>
          <w:rFonts w:cs="Arial"/>
        </w:rPr>
      </w:pPr>
    </w:p>
    <w:p w:rsidR="001E6FB8" w:rsidRPr="00E141F1" w:rsidRDefault="001E6FB8" w:rsidP="001E6FB8">
      <w:pPr>
        <w:pStyle w:val="Heading2"/>
        <w:rPr>
          <w:sz w:val="24"/>
          <w:szCs w:val="24"/>
        </w:rPr>
      </w:pPr>
      <w:bookmarkStart w:id="124" w:name="_Toc371588982"/>
      <w:bookmarkStart w:id="125" w:name="_Toc373149044"/>
      <w:r w:rsidRPr="00E141F1">
        <w:rPr>
          <w:sz w:val="24"/>
          <w:szCs w:val="24"/>
        </w:rPr>
        <w:t>Internet service availability</w:t>
      </w:r>
      <w:bookmarkEnd w:id="124"/>
      <w:bookmarkEnd w:id="125"/>
    </w:p>
    <w:p w:rsidR="001E6FB8" w:rsidRPr="00E141F1" w:rsidRDefault="001E6FB8" w:rsidP="001E6FB8">
      <w:pPr>
        <w:pStyle w:val="Heading3"/>
        <w:rPr>
          <w:b w:val="0"/>
          <w:bCs w:val="0"/>
        </w:rPr>
      </w:pPr>
      <w:bookmarkStart w:id="126" w:name="_Toc371588983"/>
      <w:bookmarkStart w:id="127" w:name="_Toc373149045"/>
      <w:r w:rsidRPr="00E141F1">
        <w:t>Number of Internet Service Providers</w:t>
      </w:r>
      <w:bookmarkEnd w:id="126"/>
      <w:bookmarkEnd w:id="127"/>
    </w:p>
    <w:p w:rsidR="001E6FB8" w:rsidRPr="00E141F1" w:rsidRDefault="001E6FB8" w:rsidP="001E6FB8">
      <w:pPr>
        <w:pStyle w:val="ListBullet"/>
        <w:numPr>
          <w:ilvl w:val="0"/>
          <w:numId w:val="0"/>
        </w:numPr>
        <w:rPr>
          <w:rFonts w:cs="Arial"/>
        </w:rPr>
      </w:pPr>
      <w:r w:rsidRPr="00E141F1">
        <w:rPr>
          <w:rFonts w:cs="Arial"/>
        </w:rPr>
        <w:t>At June 2013 there were 419 Internet Service Providers</w:t>
      </w:r>
      <w:r>
        <w:rPr>
          <w:rFonts w:cs="Arial"/>
        </w:rPr>
        <w:t xml:space="preserve"> (ISPs) operating in Australia. </w:t>
      </w:r>
      <w:r w:rsidRPr="00E141F1">
        <w:rPr>
          <w:rFonts w:cs="Arial"/>
        </w:rPr>
        <w:t>The distribution of ISPs by number of internet subscribers was:</w:t>
      </w:r>
    </w:p>
    <w:p w:rsidR="001E6FB8" w:rsidRPr="00E141F1" w:rsidRDefault="001E6FB8" w:rsidP="001E6FB8">
      <w:pPr>
        <w:pStyle w:val="ListBullet"/>
        <w:tabs>
          <w:tab w:val="clear" w:pos="295"/>
          <w:tab w:val="num" w:pos="0"/>
        </w:tabs>
        <w:rPr>
          <w:rFonts w:cs="Arial"/>
        </w:rPr>
      </w:pPr>
      <w:r w:rsidRPr="00E141F1">
        <w:rPr>
          <w:rFonts w:cs="Arial"/>
        </w:rPr>
        <w:t>215 with 1–100 subscribers (data for June 2012 not available)</w:t>
      </w:r>
    </w:p>
    <w:p w:rsidR="001E6FB8" w:rsidRPr="00E141F1" w:rsidRDefault="001E6FB8" w:rsidP="001E6FB8">
      <w:pPr>
        <w:pStyle w:val="ListBullet"/>
        <w:tabs>
          <w:tab w:val="clear" w:pos="295"/>
          <w:tab w:val="num" w:pos="0"/>
        </w:tabs>
        <w:rPr>
          <w:rFonts w:cs="Arial"/>
        </w:rPr>
      </w:pPr>
      <w:r w:rsidRPr="00E141F1">
        <w:rPr>
          <w:rFonts w:cs="Arial"/>
        </w:rPr>
        <w:t>127 with 101–1,000 subscribers (data for June 2012 not available)</w:t>
      </w:r>
    </w:p>
    <w:p w:rsidR="001E6FB8" w:rsidRPr="00E141F1" w:rsidRDefault="001E6FB8" w:rsidP="001E6FB8">
      <w:pPr>
        <w:pStyle w:val="ListBullet"/>
        <w:tabs>
          <w:tab w:val="clear" w:pos="295"/>
          <w:tab w:val="num" w:pos="0"/>
        </w:tabs>
        <w:rPr>
          <w:rFonts w:cs="Arial"/>
        </w:rPr>
      </w:pPr>
      <w:r w:rsidRPr="00E141F1">
        <w:rPr>
          <w:rFonts w:cs="Arial"/>
        </w:rPr>
        <w:t>51 with 1,001–10,000 subscribers, up from 49 at June 2012</w:t>
      </w:r>
    </w:p>
    <w:p w:rsidR="001E6FB8" w:rsidRPr="00E141F1" w:rsidRDefault="001E6FB8" w:rsidP="001E6FB8">
      <w:pPr>
        <w:pStyle w:val="ListBullet"/>
        <w:tabs>
          <w:tab w:val="clear" w:pos="295"/>
          <w:tab w:val="num" w:pos="0"/>
        </w:tabs>
        <w:rPr>
          <w:rFonts w:cs="Arial"/>
        </w:rPr>
      </w:pPr>
      <w:r w:rsidRPr="00E141F1">
        <w:rPr>
          <w:rFonts w:cs="Arial"/>
        </w:rPr>
        <w:t>17 with 10,001–100,000 subscribers, down from 24 at June 2012</w:t>
      </w:r>
    </w:p>
    <w:p w:rsidR="001E6FB8" w:rsidRPr="00E141F1" w:rsidRDefault="001E6FB8" w:rsidP="001E6FB8">
      <w:pPr>
        <w:pStyle w:val="ListBullet"/>
        <w:spacing w:after="240"/>
        <w:rPr>
          <w:rFonts w:cs="Arial"/>
        </w:rPr>
      </w:pPr>
      <w:r>
        <w:rPr>
          <w:rFonts w:cs="Arial"/>
        </w:rPr>
        <w:t>nine</w:t>
      </w:r>
      <w:r w:rsidRPr="00E141F1">
        <w:rPr>
          <w:rFonts w:cs="Arial"/>
        </w:rPr>
        <w:t xml:space="preserve"> with 100,001 or more subscribers, up from </w:t>
      </w:r>
      <w:r>
        <w:rPr>
          <w:rFonts w:cs="Arial"/>
        </w:rPr>
        <w:t>eight</w:t>
      </w:r>
      <w:r w:rsidRPr="00E141F1">
        <w:rPr>
          <w:rFonts w:cs="Arial"/>
        </w:rPr>
        <w:t xml:space="preserve"> at June 2012.</w:t>
      </w:r>
      <w:r w:rsidRPr="008E2236">
        <w:rPr>
          <w:rFonts w:cs="Arial"/>
          <w:vertAlign w:val="superscript"/>
        </w:rPr>
        <w:endnoteReference w:id="15"/>
      </w:r>
    </w:p>
    <w:p w:rsidR="001E6FB8" w:rsidRDefault="001E6FB8" w:rsidP="001E6FB8">
      <w:r w:rsidRPr="00E141F1">
        <w:t xml:space="preserve">In 2012–13, there was significantly less activity relating to </w:t>
      </w:r>
      <w:r>
        <w:t xml:space="preserve">ISP </w:t>
      </w:r>
      <w:r w:rsidRPr="00E141F1">
        <w:t xml:space="preserve">acquisitions and mergers in comparison to previous years. The only major </w:t>
      </w:r>
      <w:r>
        <w:t xml:space="preserve">ISP </w:t>
      </w:r>
      <w:r w:rsidRPr="00E141F1">
        <w:t xml:space="preserve">acquisitions of note were made by the M2 Group. Following on from its purchase of </w:t>
      </w:r>
      <w:proofErr w:type="spellStart"/>
      <w:r w:rsidRPr="00E141F1">
        <w:t>iPrimus</w:t>
      </w:r>
      <w:proofErr w:type="spellEnd"/>
      <w:r w:rsidRPr="00E141F1">
        <w:t xml:space="preserve"> in June 2012, the M2 Group purchased </w:t>
      </w:r>
      <w:proofErr w:type="spellStart"/>
      <w:r w:rsidRPr="00E141F1">
        <w:t>DoDo</w:t>
      </w:r>
      <w:proofErr w:type="spellEnd"/>
      <w:r w:rsidRPr="00E141F1">
        <w:t xml:space="preserve"> and </w:t>
      </w:r>
      <w:proofErr w:type="spellStart"/>
      <w:r w:rsidRPr="00E141F1">
        <w:t>Eftel</w:t>
      </w:r>
      <w:proofErr w:type="spellEnd"/>
      <w:r w:rsidRPr="00E141F1">
        <w:t xml:space="preserve">. </w:t>
      </w:r>
    </w:p>
    <w:p w:rsidR="001E6FB8" w:rsidRPr="00E141F1" w:rsidRDefault="001E6FB8" w:rsidP="001E6FB8"/>
    <w:p w:rsidR="001E6FB8" w:rsidRPr="00E141F1" w:rsidRDefault="001E6FB8" w:rsidP="001E6FB8">
      <w:r w:rsidRPr="00E141F1">
        <w:t xml:space="preserve">Table 1.3 provides a snapshot of the internet services in operation (SIOs) for the top five ISPs in the Australian market—Telstra, Optus, </w:t>
      </w:r>
      <w:proofErr w:type="spellStart"/>
      <w:r w:rsidRPr="00E141F1">
        <w:t>iiNet</w:t>
      </w:r>
      <w:proofErr w:type="spellEnd"/>
      <w:r w:rsidRPr="00E141F1">
        <w:t>, TPG and M2.</w:t>
      </w:r>
    </w:p>
    <w:p w:rsidR="001E6FB8" w:rsidRPr="00E141F1" w:rsidRDefault="001E6FB8" w:rsidP="001E6FB8"/>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Table 1.</w:t>
            </w:r>
            <w:r w:rsidR="00421002" w:rsidRPr="00E141F1">
              <w:rPr>
                <w:rFonts w:cs="Arial"/>
              </w:rPr>
              <w:fldChar w:fldCharType="begin"/>
            </w:r>
            <w:r w:rsidRPr="00E141F1">
              <w:rPr>
                <w:rFonts w:cs="Arial"/>
              </w:rPr>
              <w:instrText xml:space="preserve"> SEQ Table \* ARABIC </w:instrText>
            </w:r>
            <w:r w:rsidR="00421002" w:rsidRPr="00E141F1">
              <w:rPr>
                <w:rFonts w:cs="Arial"/>
              </w:rPr>
              <w:fldChar w:fldCharType="separate"/>
            </w:r>
            <w:r>
              <w:rPr>
                <w:rFonts w:cs="Arial"/>
                <w:noProof/>
              </w:rPr>
              <w:t>3</w:t>
            </w:r>
            <w:r w:rsidR="00421002" w:rsidRPr="00E141F1">
              <w:rPr>
                <w:rFonts w:cs="Arial"/>
              </w:rPr>
              <w:fldChar w:fldCharType="end"/>
            </w:r>
            <w:r w:rsidRPr="00E141F1">
              <w:rPr>
                <w:rFonts w:cs="Arial"/>
              </w:rPr>
              <w:t xml:space="preserve"> SIOs for key Australian ISPs at June 2013</w:t>
            </w:r>
          </w:p>
        </w:tc>
      </w:tr>
      <w:tr w:rsidR="001E6FB8" w:rsidRPr="00E141F1" w:rsidTr="001E6FB8">
        <w:trPr>
          <w:trHeight w:val="3086"/>
        </w:trPr>
        <w:tc>
          <w:tcPr>
            <w:tcW w:w="9645" w:type="dxa"/>
            <w:shd w:val="clear" w:color="auto" w:fill="auto"/>
            <w:tcMar>
              <w:left w:w="28" w:type="dxa"/>
            </w:tcMar>
          </w:tcPr>
          <w:tbl>
            <w:tblPr>
              <w:tblW w:w="0" w:type="auto"/>
              <w:tblBorders>
                <w:top w:val="single" w:sz="4" w:space="0" w:color="C8C8C8"/>
                <w:bottom w:val="single" w:sz="4" w:space="0" w:color="C8C8C8"/>
                <w:insideH w:val="single" w:sz="4" w:space="0" w:color="C8C8C8"/>
              </w:tblBorders>
              <w:tblLayout w:type="fixed"/>
              <w:tblCellMar>
                <w:top w:w="57" w:type="dxa"/>
                <w:left w:w="85" w:type="dxa"/>
                <w:bottom w:w="57" w:type="dxa"/>
                <w:right w:w="0" w:type="dxa"/>
              </w:tblCellMar>
              <w:tblLook w:val="01E0"/>
            </w:tblPr>
            <w:tblGrid>
              <w:gridCol w:w="2292"/>
              <w:gridCol w:w="1959"/>
              <w:gridCol w:w="4950"/>
            </w:tblGrid>
            <w:tr w:rsidR="001E6FB8" w:rsidRPr="00E141F1" w:rsidTr="001E6FB8">
              <w:trPr>
                <w:trHeight w:val="572"/>
              </w:trPr>
              <w:tc>
                <w:tcPr>
                  <w:tcW w:w="2292" w:type="dxa"/>
                  <w:shd w:val="clear" w:color="auto" w:fill="00709E"/>
                  <w:tcMar>
                    <w:top w:w="34" w:type="dxa"/>
                    <w:left w:w="113" w:type="dxa"/>
                  </w:tcMar>
                </w:tcPr>
                <w:p w:rsidR="001E6FB8" w:rsidRPr="00E141F1" w:rsidRDefault="001E6FB8" w:rsidP="001E6FB8">
                  <w:pPr>
                    <w:keepNext/>
                    <w:keepLines/>
                    <w:widowControl w:val="0"/>
                    <w:spacing w:after="360" w:line="240" w:lineRule="auto"/>
                    <w:outlineLvl w:val="0"/>
                    <w:rPr>
                      <w:rFonts w:cs="Arial"/>
                      <w:b/>
                      <w:color w:val="FFFFFF" w:themeColor="background1"/>
                      <w:sz w:val="18"/>
                      <w:szCs w:val="18"/>
                    </w:rPr>
                  </w:pPr>
                </w:p>
              </w:tc>
              <w:tc>
                <w:tcPr>
                  <w:tcW w:w="1959" w:type="dxa"/>
                  <w:shd w:val="clear" w:color="auto" w:fill="00709E"/>
                </w:tcPr>
                <w:p w:rsidR="001E6FB8" w:rsidRPr="00E141F1" w:rsidRDefault="001E6FB8" w:rsidP="001E6FB8">
                  <w:pPr>
                    <w:keepNext/>
                    <w:keepLines/>
                    <w:spacing w:line="240" w:lineRule="auto"/>
                    <w:ind w:right="141"/>
                    <w:rPr>
                      <w:rFonts w:cs="Arial"/>
                      <w:b/>
                      <w:color w:val="FFFFFF" w:themeColor="background1"/>
                      <w:sz w:val="18"/>
                      <w:szCs w:val="18"/>
                    </w:rPr>
                  </w:pPr>
                  <w:r w:rsidRPr="00E141F1">
                    <w:rPr>
                      <w:rFonts w:cs="Arial"/>
                      <w:b/>
                      <w:color w:val="FFFFFF" w:themeColor="background1"/>
                      <w:sz w:val="18"/>
                      <w:szCs w:val="18"/>
                    </w:rPr>
                    <w:t>(‘000)</w:t>
                  </w:r>
                </w:p>
              </w:tc>
              <w:tc>
                <w:tcPr>
                  <w:tcW w:w="4950" w:type="dxa"/>
                  <w:shd w:val="clear" w:color="auto" w:fill="00709E"/>
                  <w:tcMar>
                    <w:left w:w="113" w:type="dxa"/>
                  </w:tcMar>
                </w:tcPr>
                <w:p w:rsidR="001E6FB8" w:rsidRPr="00E141F1" w:rsidRDefault="001E6FB8" w:rsidP="001E6FB8">
                  <w:pPr>
                    <w:keepNext/>
                    <w:keepLines/>
                    <w:spacing w:line="240" w:lineRule="auto"/>
                    <w:rPr>
                      <w:rFonts w:cs="Arial"/>
                      <w:b/>
                      <w:color w:val="FFFFFF" w:themeColor="background1"/>
                      <w:sz w:val="18"/>
                      <w:szCs w:val="18"/>
                    </w:rPr>
                  </w:pPr>
                  <w:r w:rsidRPr="00E141F1">
                    <w:rPr>
                      <w:rFonts w:cs="Arial"/>
                      <w:b/>
                      <w:color w:val="FFFFFF" w:themeColor="background1"/>
                      <w:sz w:val="18"/>
                      <w:szCs w:val="18"/>
                    </w:rPr>
                    <w:t>Internet SIO</w:t>
                  </w:r>
                </w:p>
              </w:tc>
            </w:tr>
            <w:tr w:rsidR="001E6FB8" w:rsidRPr="00E141F1" w:rsidTr="001E6FB8">
              <w:trPr>
                <w:trHeight w:val="284"/>
              </w:trPr>
              <w:tc>
                <w:tcPr>
                  <w:tcW w:w="2292" w:type="dxa"/>
                  <w:shd w:val="clear" w:color="auto" w:fill="auto"/>
                  <w:tcMar>
                    <w:left w:w="113" w:type="dxa"/>
                  </w:tcMar>
                </w:tcPr>
                <w:p w:rsidR="001E6FB8" w:rsidRPr="00E141F1" w:rsidRDefault="001E6FB8" w:rsidP="001E6FB8">
                  <w:pPr>
                    <w:keepNext/>
                    <w:keepLines/>
                    <w:spacing w:line="240" w:lineRule="auto"/>
                    <w:rPr>
                      <w:rFonts w:cs="Arial"/>
                      <w:sz w:val="18"/>
                      <w:szCs w:val="18"/>
                    </w:rPr>
                  </w:pPr>
                  <w:r w:rsidRPr="00E141F1">
                    <w:rPr>
                      <w:rFonts w:cs="Arial"/>
                      <w:sz w:val="18"/>
                      <w:szCs w:val="18"/>
                    </w:rPr>
                    <w:t>Telstra</w:t>
                  </w:r>
                </w:p>
              </w:tc>
              <w:tc>
                <w:tcPr>
                  <w:tcW w:w="1959" w:type="dxa"/>
                </w:tcPr>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4,826</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2,772</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769</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1,285</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3,570</w:t>
                  </w:r>
                </w:p>
              </w:tc>
              <w:tc>
                <w:tcPr>
                  <w:tcW w:w="4950" w:type="dxa"/>
                  <w:shd w:val="clear" w:color="auto" w:fill="auto"/>
                  <w:tcMar>
                    <w:left w:w="113" w:type="dxa"/>
                  </w:tcMar>
                </w:tcPr>
                <w:p w:rsidR="001E6FB8" w:rsidRPr="00E141F1" w:rsidRDefault="001E6FB8" w:rsidP="001E6FB8">
                  <w:pPr>
                    <w:keepNext/>
                    <w:keepLines/>
                    <w:spacing w:after="40" w:line="240" w:lineRule="auto"/>
                    <w:rPr>
                      <w:rFonts w:cs="Arial"/>
                      <w:sz w:val="18"/>
                      <w:szCs w:val="18"/>
                    </w:rPr>
                  </w:pPr>
                  <w:r w:rsidRPr="00E141F1">
                    <w:rPr>
                      <w:rFonts w:cs="Arial"/>
                      <w:sz w:val="18"/>
                      <w:szCs w:val="18"/>
                    </w:rPr>
                    <w:t>Total fixed internet subscribers</w:t>
                  </w:r>
                </w:p>
                <w:p w:rsidR="001E6FB8" w:rsidRPr="00E141F1" w:rsidRDefault="001E6FB8" w:rsidP="001E6FB8">
                  <w:pPr>
                    <w:keepNext/>
                    <w:keepLines/>
                    <w:spacing w:after="40" w:line="240" w:lineRule="auto"/>
                    <w:ind w:left="171"/>
                    <w:rPr>
                      <w:rFonts w:cs="Arial"/>
                      <w:sz w:val="18"/>
                      <w:szCs w:val="18"/>
                    </w:rPr>
                  </w:pPr>
                  <w:r w:rsidRPr="00E141F1">
                    <w:rPr>
                      <w:rFonts w:cs="Arial"/>
                      <w:sz w:val="18"/>
                      <w:szCs w:val="18"/>
                    </w:rPr>
                    <w:t xml:space="preserve">Fixed-broadband retail </w:t>
                  </w:r>
                </w:p>
                <w:p w:rsidR="001E6FB8" w:rsidRPr="00E141F1" w:rsidRDefault="001E6FB8" w:rsidP="001E6FB8">
                  <w:pPr>
                    <w:keepNext/>
                    <w:keepLines/>
                    <w:spacing w:after="40" w:line="240" w:lineRule="auto"/>
                    <w:ind w:left="171"/>
                    <w:rPr>
                      <w:rFonts w:cs="Arial"/>
                      <w:sz w:val="18"/>
                      <w:szCs w:val="18"/>
                    </w:rPr>
                  </w:pPr>
                  <w:r w:rsidRPr="00E141F1">
                    <w:rPr>
                      <w:rFonts w:cs="Arial"/>
                      <w:sz w:val="18"/>
                      <w:szCs w:val="18"/>
                    </w:rPr>
                    <w:t xml:space="preserve">Fixed-broadband wholesale </w:t>
                  </w:r>
                </w:p>
                <w:p w:rsidR="001E6FB8" w:rsidRPr="00E141F1" w:rsidRDefault="001E6FB8" w:rsidP="001E6FB8">
                  <w:pPr>
                    <w:keepNext/>
                    <w:keepLines/>
                    <w:spacing w:after="40" w:line="240" w:lineRule="auto"/>
                    <w:ind w:left="171"/>
                    <w:rPr>
                      <w:rFonts w:cs="Arial"/>
                      <w:sz w:val="18"/>
                      <w:szCs w:val="18"/>
                    </w:rPr>
                  </w:pPr>
                  <w:r w:rsidRPr="00E141F1">
                    <w:rPr>
                      <w:rFonts w:cs="Arial"/>
                      <w:sz w:val="18"/>
                      <w:szCs w:val="18"/>
                    </w:rPr>
                    <w:t>ISDN access (basic line equivalents)</w:t>
                  </w:r>
                </w:p>
                <w:p w:rsidR="001E6FB8" w:rsidRPr="00E141F1" w:rsidRDefault="001E6FB8" w:rsidP="001E6FB8">
                  <w:pPr>
                    <w:keepNext/>
                    <w:keepLines/>
                    <w:spacing w:after="40" w:line="240" w:lineRule="auto"/>
                    <w:rPr>
                      <w:rFonts w:cs="Arial"/>
                      <w:sz w:val="18"/>
                      <w:szCs w:val="18"/>
                    </w:rPr>
                  </w:pPr>
                  <w:r w:rsidRPr="00E141F1">
                    <w:rPr>
                      <w:rFonts w:cs="Arial"/>
                      <w:sz w:val="18"/>
                      <w:szCs w:val="18"/>
                    </w:rPr>
                    <w:t>Mobile broadband (data card)</w:t>
                  </w:r>
                </w:p>
              </w:tc>
            </w:tr>
            <w:tr w:rsidR="001E6FB8" w:rsidRPr="00E141F1" w:rsidTr="001E6FB8">
              <w:trPr>
                <w:trHeight w:val="836"/>
              </w:trPr>
              <w:tc>
                <w:tcPr>
                  <w:tcW w:w="2292" w:type="dxa"/>
                  <w:shd w:val="clear" w:color="auto" w:fill="auto"/>
                  <w:tcMar>
                    <w:left w:w="113" w:type="dxa"/>
                  </w:tcMar>
                </w:tcPr>
                <w:p w:rsidR="001E6FB8" w:rsidRPr="00E141F1" w:rsidRDefault="001E6FB8" w:rsidP="001E6FB8">
                  <w:pPr>
                    <w:keepNext/>
                    <w:keepLines/>
                    <w:spacing w:line="240" w:lineRule="auto"/>
                    <w:rPr>
                      <w:rFonts w:cs="Arial"/>
                      <w:sz w:val="18"/>
                      <w:szCs w:val="18"/>
                    </w:rPr>
                  </w:pPr>
                  <w:r w:rsidRPr="00E141F1">
                    <w:rPr>
                      <w:rFonts w:cs="Arial"/>
                      <w:sz w:val="18"/>
                      <w:szCs w:val="18"/>
                    </w:rPr>
                    <w:t xml:space="preserve">Optus </w:t>
                  </w:r>
                </w:p>
              </w:tc>
              <w:tc>
                <w:tcPr>
                  <w:tcW w:w="1959" w:type="dxa"/>
                </w:tcPr>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1,011</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986</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13</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12</w:t>
                  </w:r>
                </w:p>
              </w:tc>
              <w:tc>
                <w:tcPr>
                  <w:tcW w:w="4950" w:type="dxa"/>
                  <w:shd w:val="clear" w:color="auto" w:fill="auto"/>
                  <w:tcMar>
                    <w:left w:w="113" w:type="dxa"/>
                  </w:tcMar>
                </w:tcPr>
                <w:p w:rsidR="001E6FB8" w:rsidRPr="00E141F1" w:rsidRDefault="001E6FB8" w:rsidP="001E6FB8">
                  <w:pPr>
                    <w:keepNext/>
                    <w:keepLines/>
                    <w:spacing w:after="40" w:line="240" w:lineRule="auto"/>
                    <w:rPr>
                      <w:rFonts w:cs="Arial"/>
                      <w:sz w:val="18"/>
                      <w:szCs w:val="18"/>
                    </w:rPr>
                  </w:pPr>
                  <w:r w:rsidRPr="00E141F1">
                    <w:rPr>
                      <w:rFonts w:cs="Arial"/>
                      <w:sz w:val="18"/>
                      <w:szCs w:val="18"/>
                    </w:rPr>
                    <w:t>Total fixed internet subscribers</w:t>
                  </w:r>
                </w:p>
                <w:p w:rsidR="001E6FB8" w:rsidRPr="00E141F1" w:rsidRDefault="001E6FB8" w:rsidP="001E6FB8">
                  <w:pPr>
                    <w:keepNext/>
                    <w:keepLines/>
                    <w:spacing w:after="40" w:line="240" w:lineRule="auto"/>
                    <w:ind w:left="171"/>
                    <w:rPr>
                      <w:rFonts w:cs="Arial"/>
                      <w:sz w:val="18"/>
                      <w:szCs w:val="18"/>
                    </w:rPr>
                  </w:pPr>
                  <w:r w:rsidRPr="00E141F1">
                    <w:rPr>
                      <w:rFonts w:cs="Arial"/>
                      <w:sz w:val="18"/>
                      <w:szCs w:val="18"/>
                    </w:rPr>
                    <w:t>On-net broadband customers*</w:t>
                  </w:r>
                </w:p>
                <w:p w:rsidR="001E6FB8" w:rsidRPr="00E141F1" w:rsidRDefault="001E6FB8" w:rsidP="001E6FB8">
                  <w:pPr>
                    <w:keepNext/>
                    <w:keepLines/>
                    <w:spacing w:after="40" w:line="240" w:lineRule="auto"/>
                    <w:ind w:left="171"/>
                    <w:rPr>
                      <w:rFonts w:cs="Arial"/>
                      <w:sz w:val="18"/>
                      <w:szCs w:val="18"/>
                    </w:rPr>
                  </w:pPr>
                  <w:r w:rsidRPr="00E141F1">
                    <w:rPr>
                      <w:rFonts w:cs="Arial"/>
                      <w:sz w:val="18"/>
                      <w:szCs w:val="18"/>
                    </w:rPr>
                    <w:t xml:space="preserve">Off-net </w:t>
                  </w:r>
                </w:p>
                <w:p w:rsidR="001E6FB8" w:rsidRPr="00E141F1" w:rsidRDefault="001E6FB8" w:rsidP="001E6FB8">
                  <w:pPr>
                    <w:keepNext/>
                    <w:keepLines/>
                    <w:spacing w:after="40" w:line="240" w:lineRule="auto"/>
                    <w:ind w:left="171"/>
                    <w:rPr>
                      <w:rFonts w:cs="Arial"/>
                      <w:sz w:val="18"/>
                      <w:szCs w:val="18"/>
                    </w:rPr>
                  </w:pPr>
                  <w:r w:rsidRPr="00E141F1">
                    <w:rPr>
                      <w:rFonts w:cs="Arial"/>
                      <w:sz w:val="18"/>
                      <w:szCs w:val="18"/>
                    </w:rPr>
                    <w:t>Dial-up</w:t>
                  </w:r>
                </w:p>
              </w:tc>
            </w:tr>
            <w:tr w:rsidR="001E6FB8" w:rsidRPr="00E141F1" w:rsidTr="001E6FB8">
              <w:trPr>
                <w:trHeight w:val="339"/>
              </w:trPr>
              <w:tc>
                <w:tcPr>
                  <w:tcW w:w="2292" w:type="dxa"/>
                  <w:shd w:val="clear" w:color="auto" w:fill="auto"/>
                  <w:tcMar>
                    <w:left w:w="113" w:type="dxa"/>
                  </w:tcMar>
                </w:tcPr>
                <w:p w:rsidR="001E6FB8" w:rsidRPr="00E141F1" w:rsidRDefault="001E6FB8" w:rsidP="001E6FB8">
                  <w:pPr>
                    <w:keepNext/>
                    <w:keepLines/>
                    <w:spacing w:line="240" w:lineRule="auto"/>
                    <w:rPr>
                      <w:rFonts w:cs="Arial"/>
                      <w:sz w:val="18"/>
                      <w:szCs w:val="18"/>
                    </w:rPr>
                  </w:pPr>
                  <w:proofErr w:type="spellStart"/>
                  <w:r w:rsidRPr="00E141F1">
                    <w:rPr>
                      <w:rFonts w:cs="Arial"/>
                      <w:sz w:val="18"/>
                      <w:szCs w:val="18"/>
                    </w:rPr>
                    <w:t>iiNet</w:t>
                  </w:r>
                  <w:proofErr w:type="spellEnd"/>
                </w:p>
              </w:tc>
              <w:tc>
                <w:tcPr>
                  <w:tcW w:w="1959" w:type="dxa"/>
                </w:tcPr>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840</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549</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271</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20</w:t>
                  </w:r>
                </w:p>
                <w:p w:rsidR="001E6FB8" w:rsidRPr="00E141F1" w:rsidRDefault="001E6FB8" w:rsidP="001E6FB8">
                  <w:pPr>
                    <w:keepNext/>
                    <w:keepLines/>
                    <w:spacing w:after="40" w:line="240" w:lineRule="auto"/>
                    <w:ind w:right="141"/>
                    <w:rPr>
                      <w:rFonts w:cs="Arial"/>
                      <w:sz w:val="18"/>
                      <w:szCs w:val="18"/>
                    </w:rPr>
                  </w:pPr>
                  <w:r w:rsidRPr="00E141F1">
                    <w:rPr>
                      <w:rFonts w:cs="Arial"/>
                      <w:sz w:val="18"/>
                      <w:szCs w:val="18"/>
                    </w:rPr>
                    <w:t>108</w:t>
                  </w:r>
                </w:p>
              </w:tc>
              <w:tc>
                <w:tcPr>
                  <w:tcW w:w="4950" w:type="dxa"/>
                  <w:shd w:val="clear" w:color="auto" w:fill="auto"/>
                  <w:tcMar>
                    <w:left w:w="113" w:type="dxa"/>
                  </w:tcMar>
                </w:tcPr>
                <w:p w:rsidR="001E6FB8" w:rsidRPr="00E141F1" w:rsidRDefault="001E6FB8" w:rsidP="001E6FB8">
                  <w:pPr>
                    <w:keepNext/>
                    <w:keepLines/>
                    <w:spacing w:after="40" w:line="240" w:lineRule="auto"/>
                    <w:rPr>
                      <w:rFonts w:cs="Arial"/>
                      <w:color w:val="808285"/>
                      <w:spacing w:val="-28"/>
                      <w:sz w:val="18"/>
                      <w:szCs w:val="18"/>
                    </w:rPr>
                  </w:pPr>
                  <w:r w:rsidRPr="00E141F1">
                    <w:rPr>
                      <w:rFonts w:cs="Arial"/>
                      <w:sz w:val="18"/>
                      <w:szCs w:val="18"/>
                    </w:rPr>
                    <w:t>Total fixed internet subscribers</w:t>
                  </w:r>
                </w:p>
                <w:p w:rsidR="001E6FB8" w:rsidRPr="00E141F1" w:rsidRDefault="001E6FB8" w:rsidP="001E6FB8">
                  <w:pPr>
                    <w:keepNext/>
                    <w:keepLines/>
                    <w:spacing w:after="40" w:line="240" w:lineRule="auto"/>
                    <w:ind w:left="171"/>
                    <w:rPr>
                      <w:rFonts w:cs="Arial"/>
                      <w:color w:val="808285"/>
                      <w:spacing w:val="-28"/>
                      <w:sz w:val="18"/>
                      <w:szCs w:val="18"/>
                    </w:rPr>
                  </w:pPr>
                  <w:r w:rsidRPr="00E141F1">
                    <w:rPr>
                      <w:rFonts w:cs="Arial"/>
                      <w:sz w:val="18"/>
                      <w:szCs w:val="18"/>
                    </w:rPr>
                    <w:t xml:space="preserve">On-net </w:t>
                  </w:r>
                </w:p>
                <w:p w:rsidR="001E6FB8" w:rsidRPr="00E141F1" w:rsidRDefault="001E6FB8" w:rsidP="001E6FB8">
                  <w:pPr>
                    <w:keepNext/>
                    <w:keepLines/>
                    <w:spacing w:after="40" w:line="240" w:lineRule="auto"/>
                    <w:ind w:left="171"/>
                    <w:rPr>
                      <w:rFonts w:cs="Arial"/>
                      <w:color w:val="808285"/>
                      <w:spacing w:val="-28"/>
                      <w:sz w:val="18"/>
                      <w:szCs w:val="18"/>
                    </w:rPr>
                  </w:pPr>
                  <w:r w:rsidRPr="00E141F1">
                    <w:rPr>
                      <w:rFonts w:cs="Arial"/>
                      <w:sz w:val="18"/>
                      <w:szCs w:val="18"/>
                    </w:rPr>
                    <w:t xml:space="preserve">Off-net </w:t>
                  </w:r>
                </w:p>
                <w:p w:rsidR="001E6FB8" w:rsidRPr="00E141F1" w:rsidRDefault="001E6FB8" w:rsidP="001E6FB8">
                  <w:pPr>
                    <w:keepNext/>
                    <w:keepLines/>
                    <w:spacing w:after="40" w:line="240" w:lineRule="auto"/>
                    <w:ind w:left="171"/>
                    <w:rPr>
                      <w:rFonts w:cs="Arial"/>
                      <w:color w:val="808285"/>
                      <w:spacing w:val="-28"/>
                      <w:sz w:val="18"/>
                      <w:szCs w:val="18"/>
                    </w:rPr>
                  </w:pPr>
                  <w:r w:rsidRPr="00E141F1">
                    <w:rPr>
                      <w:rFonts w:cs="Arial"/>
                      <w:sz w:val="18"/>
                      <w:szCs w:val="18"/>
                    </w:rPr>
                    <w:t>NBN + Fibre</w:t>
                  </w:r>
                </w:p>
                <w:p w:rsidR="001E6FB8" w:rsidRPr="00E141F1" w:rsidRDefault="001E6FB8" w:rsidP="001E6FB8">
                  <w:pPr>
                    <w:keepNext/>
                    <w:keepLines/>
                    <w:spacing w:after="40" w:line="240" w:lineRule="auto"/>
                    <w:rPr>
                      <w:rFonts w:cs="Arial"/>
                      <w:color w:val="808285"/>
                      <w:spacing w:val="-28"/>
                      <w:sz w:val="18"/>
                      <w:szCs w:val="18"/>
                    </w:rPr>
                  </w:pPr>
                  <w:r w:rsidRPr="00E141F1">
                    <w:rPr>
                      <w:rFonts w:cs="Arial"/>
                      <w:sz w:val="18"/>
                      <w:szCs w:val="18"/>
                    </w:rPr>
                    <w:t xml:space="preserve">Mobile </w:t>
                  </w:r>
                </w:p>
              </w:tc>
            </w:tr>
            <w:tr w:rsidR="001E6FB8" w:rsidRPr="00E141F1" w:rsidTr="001E6FB8">
              <w:trPr>
                <w:trHeight w:val="339"/>
              </w:trPr>
              <w:tc>
                <w:tcPr>
                  <w:tcW w:w="2292" w:type="dxa"/>
                  <w:shd w:val="clear" w:color="auto" w:fill="auto"/>
                  <w:tcMar>
                    <w:left w:w="113" w:type="dxa"/>
                  </w:tcMar>
                </w:tcPr>
                <w:p w:rsidR="001E6FB8" w:rsidRPr="00E141F1" w:rsidRDefault="001E6FB8" w:rsidP="001E6FB8">
                  <w:pPr>
                    <w:keepNext/>
                    <w:keepLines/>
                    <w:spacing w:line="240" w:lineRule="auto"/>
                    <w:rPr>
                      <w:rFonts w:cs="Arial"/>
                      <w:color w:val="808285"/>
                      <w:spacing w:val="-28"/>
                      <w:sz w:val="18"/>
                      <w:szCs w:val="18"/>
                    </w:rPr>
                  </w:pPr>
                  <w:r w:rsidRPr="00E141F1">
                    <w:rPr>
                      <w:rFonts w:cs="Arial"/>
                      <w:sz w:val="18"/>
                      <w:szCs w:val="18"/>
                    </w:rPr>
                    <w:t>TPG</w:t>
                  </w:r>
                </w:p>
              </w:tc>
              <w:tc>
                <w:tcPr>
                  <w:tcW w:w="1959" w:type="dxa"/>
                </w:tcPr>
                <w:p w:rsidR="001E6FB8" w:rsidRPr="00E141F1" w:rsidRDefault="001E6FB8" w:rsidP="001E6FB8">
                  <w:pPr>
                    <w:keepNext/>
                    <w:keepLines/>
                    <w:spacing w:after="40" w:line="240" w:lineRule="auto"/>
                    <w:ind w:right="141"/>
                    <w:rPr>
                      <w:rFonts w:cs="Arial"/>
                      <w:color w:val="808285"/>
                      <w:spacing w:val="-28"/>
                      <w:sz w:val="18"/>
                      <w:szCs w:val="18"/>
                    </w:rPr>
                  </w:pPr>
                  <w:r w:rsidRPr="00E141F1">
                    <w:rPr>
                      <w:rFonts w:cs="Arial"/>
                      <w:sz w:val="18"/>
                      <w:szCs w:val="18"/>
                    </w:rPr>
                    <w:t>671</w:t>
                  </w:r>
                </w:p>
                <w:p w:rsidR="001E6FB8" w:rsidRPr="00E141F1" w:rsidRDefault="001E6FB8" w:rsidP="001E6FB8">
                  <w:pPr>
                    <w:keepNext/>
                    <w:keepLines/>
                    <w:spacing w:after="40" w:line="240" w:lineRule="auto"/>
                    <w:ind w:right="141"/>
                    <w:rPr>
                      <w:rFonts w:cs="Arial"/>
                      <w:color w:val="808285"/>
                      <w:spacing w:val="-28"/>
                      <w:sz w:val="18"/>
                      <w:szCs w:val="18"/>
                    </w:rPr>
                  </w:pPr>
                  <w:r w:rsidRPr="00E141F1">
                    <w:rPr>
                      <w:rFonts w:cs="Arial"/>
                      <w:sz w:val="18"/>
                      <w:szCs w:val="18"/>
                    </w:rPr>
                    <w:t>351</w:t>
                  </w:r>
                </w:p>
                <w:p w:rsidR="001E6FB8" w:rsidRPr="00E141F1" w:rsidRDefault="001E6FB8" w:rsidP="001E6FB8">
                  <w:pPr>
                    <w:keepNext/>
                    <w:keepLines/>
                    <w:spacing w:after="40" w:line="240" w:lineRule="auto"/>
                    <w:ind w:right="141"/>
                    <w:rPr>
                      <w:rFonts w:cs="Arial"/>
                      <w:color w:val="808285"/>
                      <w:spacing w:val="-28"/>
                      <w:sz w:val="18"/>
                      <w:szCs w:val="18"/>
                    </w:rPr>
                  </w:pPr>
                  <w:r w:rsidRPr="00E141F1">
                    <w:rPr>
                      <w:rFonts w:cs="Arial"/>
                      <w:sz w:val="18"/>
                      <w:szCs w:val="18"/>
                    </w:rPr>
                    <w:t>236</w:t>
                  </w:r>
                </w:p>
                <w:p w:rsidR="001E6FB8" w:rsidRPr="00E141F1" w:rsidRDefault="001E6FB8" w:rsidP="001E6FB8">
                  <w:pPr>
                    <w:keepNext/>
                    <w:keepLines/>
                    <w:spacing w:after="40" w:line="240" w:lineRule="auto"/>
                    <w:ind w:right="141"/>
                    <w:rPr>
                      <w:rFonts w:cs="Arial"/>
                      <w:color w:val="808285"/>
                      <w:spacing w:val="-28"/>
                      <w:sz w:val="18"/>
                      <w:szCs w:val="18"/>
                    </w:rPr>
                  </w:pPr>
                  <w:r w:rsidRPr="00E141F1">
                    <w:rPr>
                      <w:rFonts w:cs="Arial"/>
                      <w:sz w:val="18"/>
                      <w:szCs w:val="18"/>
                    </w:rPr>
                    <w:t>84</w:t>
                  </w:r>
                </w:p>
              </w:tc>
              <w:tc>
                <w:tcPr>
                  <w:tcW w:w="4950" w:type="dxa"/>
                  <w:shd w:val="clear" w:color="auto" w:fill="auto"/>
                  <w:tcMar>
                    <w:left w:w="113" w:type="dxa"/>
                  </w:tcMar>
                </w:tcPr>
                <w:p w:rsidR="001E6FB8" w:rsidRPr="00E141F1" w:rsidRDefault="001E6FB8" w:rsidP="001E6FB8">
                  <w:pPr>
                    <w:keepNext/>
                    <w:keepLines/>
                    <w:spacing w:after="40" w:line="240" w:lineRule="auto"/>
                    <w:rPr>
                      <w:rFonts w:cs="Arial"/>
                      <w:color w:val="808285"/>
                      <w:spacing w:val="-28"/>
                      <w:sz w:val="18"/>
                      <w:szCs w:val="18"/>
                    </w:rPr>
                  </w:pPr>
                  <w:r w:rsidRPr="00E141F1">
                    <w:rPr>
                      <w:rFonts w:cs="Arial"/>
                      <w:sz w:val="18"/>
                      <w:szCs w:val="18"/>
                    </w:rPr>
                    <w:t>Total broadband subscribers</w:t>
                  </w:r>
                </w:p>
                <w:p w:rsidR="001E6FB8" w:rsidRPr="00E141F1" w:rsidRDefault="001E6FB8" w:rsidP="001E6FB8">
                  <w:pPr>
                    <w:keepNext/>
                    <w:keepLines/>
                    <w:spacing w:after="40" w:line="240" w:lineRule="auto"/>
                    <w:ind w:left="171"/>
                    <w:rPr>
                      <w:rFonts w:cs="Arial"/>
                      <w:color w:val="808285"/>
                      <w:spacing w:val="-28"/>
                      <w:sz w:val="18"/>
                      <w:szCs w:val="18"/>
                    </w:rPr>
                  </w:pPr>
                  <w:r w:rsidRPr="00E141F1">
                    <w:rPr>
                      <w:rFonts w:cs="Arial"/>
                      <w:sz w:val="18"/>
                      <w:szCs w:val="18"/>
                    </w:rPr>
                    <w:t>On-net bundle</w:t>
                  </w:r>
                </w:p>
                <w:p w:rsidR="001E6FB8" w:rsidRPr="00E141F1" w:rsidRDefault="001E6FB8" w:rsidP="001E6FB8">
                  <w:pPr>
                    <w:keepNext/>
                    <w:keepLines/>
                    <w:spacing w:after="40" w:line="240" w:lineRule="auto"/>
                    <w:ind w:left="171"/>
                    <w:rPr>
                      <w:rFonts w:cs="Arial"/>
                      <w:color w:val="808285"/>
                      <w:spacing w:val="-28"/>
                      <w:sz w:val="18"/>
                      <w:szCs w:val="18"/>
                    </w:rPr>
                  </w:pPr>
                  <w:r w:rsidRPr="00E141F1">
                    <w:rPr>
                      <w:rFonts w:cs="Arial"/>
                      <w:sz w:val="18"/>
                      <w:szCs w:val="18"/>
                    </w:rPr>
                    <w:t>On-net standalone</w:t>
                  </w:r>
                </w:p>
                <w:p w:rsidR="001E6FB8" w:rsidRPr="00E141F1" w:rsidRDefault="001E6FB8" w:rsidP="001E6FB8">
                  <w:pPr>
                    <w:keepNext/>
                    <w:keepLines/>
                    <w:spacing w:after="40" w:line="240" w:lineRule="auto"/>
                    <w:ind w:left="171"/>
                    <w:rPr>
                      <w:rFonts w:cs="Arial"/>
                      <w:color w:val="808285"/>
                      <w:spacing w:val="-28"/>
                      <w:sz w:val="18"/>
                      <w:szCs w:val="18"/>
                    </w:rPr>
                  </w:pPr>
                  <w:r w:rsidRPr="00E141F1">
                    <w:rPr>
                      <w:rFonts w:cs="Arial"/>
                      <w:sz w:val="18"/>
                      <w:szCs w:val="18"/>
                    </w:rPr>
                    <w:t xml:space="preserve">Off-net </w:t>
                  </w:r>
                </w:p>
              </w:tc>
            </w:tr>
            <w:tr w:rsidR="001E6FB8" w:rsidRPr="00E141F1" w:rsidTr="001E6FB8">
              <w:trPr>
                <w:trHeight w:val="339"/>
              </w:trPr>
              <w:tc>
                <w:tcPr>
                  <w:tcW w:w="2292" w:type="dxa"/>
                  <w:shd w:val="clear" w:color="auto" w:fill="auto"/>
                  <w:tcMar>
                    <w:left w:w="113" w:type="dxa"/>
                  </w:tcMar>
                </w:tcPr>
                <w:p w:rsidR="001E6FB8" w:rsidRPr="00E141F1" w:rsidRDefault="001E6FB8" w:rsidP="001E6FB8">
                  <w:pPr>
                    <w:keepNext/>
                    <w:keepLines/>
                    <w:spacing w:line="240" w:lineRule="auto"/>
                    <w:rPr>
                      <w:rFonts w:cs="Arial"/>
                      <w:color w:val="808285"/>
                      <w:spacing w:val="-28"/>
                      <w:sz w:val="18"/>
                      <w:szCs w:val="18"/>
                    </w:rPr>
                  </w:pPr>
                  <w:r w:rsidRPr="00E141F1">
                    <w:rPr>
                      <w:rFonts w:cs="Arial"/>
                      <w:sz w:val="18"/>
                      <w:szCs w:val="18"/>
                    </w:rPr>
                    <w:t>M2 Group</w:t>
                  </w:r>
                </w:p>
              </w:tc>
              <w:tc>
                <w:tcPr>
                  <w:tcW w:w="1959" w:type="dxa"/>
                </w:tcPr>
                <w:p w:rsidR="001E6FB8" w:rsidRPr="00E141F1" w:rsidRDefault="001E6FB8" w:rsidP="001E6FB8">
                  <w:pPr>
                    <w:keepNext/>
                    <w:keepLines/>
                    <w:spacing w:after="40" w:line="240" w:lineRule="auto"/>
                    <w:ind w:right="141"/>
                    <w:rPr>
                      <w:rFonts w:cs="Arial"/>
                      <w:color w:val="808285"/>
                      <w:spacing w:val="-28"/>
                      <w:sz w:val="18"/>
                      <w:szCs w:val="18"/>
                    </w:rPr>
                  </w:pPr>
                  <w:r w:rsidRPr="00E141F1">
                    <w:rPr>
                      <w:rFonts w:cs="Arial"/>
                      <w:sz w:val="18"/>
                      <w:szCs w:val="18"/>
                    </w:rPr>
                    <w:t>412</w:t>
                  </w:r>
                </w:p>
                <w:p w:rsidR="001E6FB8" w:rsidRPr="00E141F1" w:rsidRDefault="001E6FB8" w:rsidP="001E6FB8">
                  <w:pPr>
                    <w:keepNext/>
                    <w:keepLines/>
                    <w:spacing w:after="40" w:line="240" w:lineRule="auto"/>
                    <w:ind w:right="141"/>
                    <w:rPr>
                      <w:rFonts w:cs="Arial"/>
                      <w:color w:val="808285"/>
                      <w:spacing w:val="-28"/>
                      <w:sz w:val="18"/>
                      <w:szCs w:val="18"/>
                    </w:rPr>
                  </w:pPr>
                  <w:r w:rsidRPr="00E141F1">
                    <w:rPr>
                      <w:rFonts w:cs="Arial"/>
                      <w:sz w:val="18"/>
                      <w:szCs w:val="18"/>
                    </w:rPr>
                    <w:t>350</w:t>
                  </w:r>
                </w:p>
                <w:p w:rsidR="001E6FB8" w:rsidRPr="00E141F1" w:rsidRDefault="001E6FB8" w:rsidP="001E6FB8">
                  <w:pPr>
                    <w:keepNext/>
                    <w:keepLines/>
                    <w:spacing w:after="40" w:line="240" w:lineRule="auto"/>
                    <w:ind w:right="141"/>
                    <w:rPr>
                      <w:rFonts w:cs="Arial"/>
                      <w:color w:val="808285"/>
                      <w:spacing w:val="-28"/>
                      <w:sz w:val="18"/>
                      <w:szCs w:val="18"/>
                    </w:rPr>
                  </w:pPr>
                  <w:r w:rsidRPr="00E141F1">
                    <w:rPr>
                      <w:rFonts w:cs="Arial"/>
                      <w:sz w:val="18"/>
                      <w:szCs w:val="18"/>
                    </w:rPr>
                    <w:t>38</w:t>
                  </w:r>
                </w:p>
                <w:p w:rsidR="001E6FB8" w:rsidRPr="00E141F1" w:rsidRDefault="001E6FB8" w:rsidP="001E6FB8">
                  <w:pPr>
                    <w:keepNext/>
                    <w:keepLines/>
                    <w:spacing w:after="40" w:line="240" w:lineRule="auto"/>
                    <w:ind w:right="141"/>
                    <w:rPr>
                      <w:rFonts w:cs="Arial"/>
                      <w:color w:val="808285"/>
                      <w:spacing w:val="-28"/>
                      <w:sz w:val="18"/>
                      <w:szCs w:val="18"/>
                    </w:rPr>
                  </w:pPr>
                  <w:r w:rsidRPr="00E141F1">
                    <w:rPr>
                      <w:rFonts w:cs="Arial"/>
                      <w:sz w:val="18"/>
                      <w:szCs w:val="18"/>
                    </w:rPr>
                    <w:t>25</w:t>
                  </w:r>
                </w:p>
              </w:tc>
              <w:tc>
                <w:tcPr>
                  <w:tcW w:w="4950" w:type="dxa"/>
                  <w:shd w:val="clear" w:color="auto" w:fill="auto"/>
                  <w:tcMar>
                    <w:left w:w="113" w:type="dxa"/>
                  </w:tcMar>
                </w:tcPr>
                <w:p w:rsidR="001E6FB8" w:rsidRPr="00E141F1" w:rsidRDefault="001E6FB8" w:rsidP="001E6FB8">
                  <w:pPr>
                    <w:keepNext/>
                    <w:keepLines/>
                    <w:spacing w:after="40" w:line="240" w:lineRule="auto"/>
                    <w:rPr>
                      <w:rFonts w:cs="Arial"/>
                      <w:color w:val="808285"/>
                      <w:spacing w:val="-28"/>
                      <w:sz w:val="18"/>
                      <w:szCs w:val="18"/>
                    </w:rPr>
                  </w:pPr>
                  <w:r w:rsidRPr="00E141F1">
                    <w:rPr>
                      <w:rFonts w:cs="Arial"/>
                      <w:sz w:val="18"/>
                      <w:szCs w:val="18"/>
                    </w:rPr>
                    <w:t>Total fixed-broadband subscribers</w:t>
                  </w:r>
                </w:p>
                <w:p w:rsidR="001E6FB8" w:rsidRPr="00E141F1" w:rsidRDefault="001E6FB8" w:rsidP="001E6FB8">
                  <w:pPr>
                    <w:keepNext/>
                    <w:keepLines/>
                    <w:spacing w:after="40" w:line="240" w:lineRule="auto"/>
                    <w:ind w:left="171"/>
                    <w:rPr>
                      <w:rFonts w:cs="Arial"/>
                      <w:color w:val="808285"/>
                      <w:spacing w:val="-28"/>
                      <w:sz w:val="18"/>
                      <w:szCs w:val="18"/>
                    </w:rPr>
                  </w:pPr>
                  <w:r w:rsidRPr="00E141F1">
                    <w:rPr>
                      <w:rFonts w:cs="Arial"/>
                      <w:sz w:val="18"/>
                      <w:szCs w:val="18"/>
                    </w:rPr>
                    <w:t>Consumer subscribers</w:t>
                  </w:r>
                </w:p>
                <w:p w:rsidR="001E6FB8" w:rsidRPr="00E141F1" w:rsidRDefault="001E6FB8" w:rsidP="001E6FB8">
                  <w:pPr>
                    <w:keepNext/>
                    <w:keepLines/>
                    <w:spacing w:after="40" w:line="240" w:lineRule="auto"/>
                    <w:ind w:left="171"/>
                    <w:rPr>
                      <w:rFonts w:cs="Arial"/>
                      <w:color w:val="808285"/>
                      <w:spacing w:val="-28"/>
                      <w:sz w:val="18"/>
                      <w:szCs w:val="18"/>
                    </w:rPr>
                  </w:pPr>
                  <w:r w:rsidRPr="00E141F1">
                    <w:rPr>
                      <w:rFonts w:cs="Arial"/>
                      <w:sz w:val="18"/>
                      <w:szCs w:val="18"/>
                    </w:rPr>
                    <w:t>Business subscribers</w:t>
                  </w:r>
                </w:p>
                <w:p w:rsidR="001E6FB8" w:rsidRPr="00E141F1" w:rsidRDefault="001E6FB8" w:rsidP="001E6FB8">
                  <w:pPr>
                    <w:keepNext/>
                    <w:keepLines/>
                    <w:spacing w:after="40" w:line="240" w:lineRule="auto"/>
                    <w:ind w:left="171"/>
                    <w:rPr>
                      <w:rFonts w:cs="Arial"/>
                      <w:color w:val="808285"/>
                      <w:spacing w:val="-28"/>
                      <w:sz w:val="18"/>
                      <w:szCs w:val="18"/>
                    </w:rPr>
                  </w:pPr>
                  <w:r w:rsidRPr="00E141F1">
                    <w:rPr>
                      <w:rFonts w:cs="Arial"/>
                      <w:sz w:val="18"/>
                      <w:szCs w:val="18"/>
                    </w:rPr>
                    <w:t>Wholesale</w:t>
                  </w:r>
                </w:p>
              </w:tc>
            </w:tr>
          </w:tbl>
          <w:p w:rsidR="001E6FB8" w:rsidRPr="00E141F1" w:rsidRDefault="001E6FB8" w:rsidP="001E6FB8">
            <w:pPr>
              <w:keepNext/>
              <w:keepLines/>
              <w:spacing w:line="240" w:lineRule="auto"/>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240" w:line="240" w:lineRule="auto"/>
              <w:rPr>
                <w:rFonts w:cs="Arial"/>
                <w:i/>
                <w:sz w:val="16"/>
                <w:szCs w:val="16"/>
              </w:rPr>
            </w:pPr>
            <w:r w:rsidRPr="00E141F1">
              <w:rPr>
                <w:rFonts w:cs="Arial"/>
                <w:i/>
                <w:sz w:val="16"/>
                <w:szCs w:val="16"/>
              </w:rPr>
              <w:t>*Optus on-net includes HFC, ULL and business grade broadband customers.</w:t>
            </w:r>
          </w:p>
          <w:p w:rsidR="001E6FB8" w:rsidRPr="00E141F1" w:rsidRDefault="001E6FB8" w:rsidP="001E6FB8">
            <w:pPr>
              <w:keepNext/>
              <w:keepLines/>
              <w:spacing w:line="240" w:lineRule="auto"/>
              <w:rPr>
                <w:rFonts w:cs="Arial"/>
                <w:i/>
                <w:sz w:val="16"/>
                <w:szCs w:val="16"/>
              </w:rPr>
            </w:pPr>
            <w:r w:rsidRPr="00E141F1">
              <w:rPr>
                <w:rFonts w:cs="Arial"/>
                <w:i/>
                <w:sz w:val="16"/>
                <w:szCs w:val="16"/>
              </w:rPr>
              <w:t xml:space="preserve">Note: Includes re-sale figures. Terminology used is consistent with that used in company annual reports. The number of subscribers is measured using the number of subscriber lines rather than number of users. Subscribers may have multiple accounts with more than one ISP. Numbers presented in the table also includes SIO of subsidiaries. </w:t>
            </w:r>
            <w:r>
              <w:rPr>
                <w:rFonts w:cs="Arial"/>
                <w:i/>
                <w:sz w:val="16"/>
                <w:szCs w:val="16"/>
              </w:rPr>
              <w:t>Numbers may not add up due to rounding.</w:t>
            </w:r>
          </w:p>
          <w:p w:rsidR="001E6FB8" w:rsidRPr="00E141F1" w:rsidRDefault="001E6FB8" w:rsidP="001E6FB8">
            <w:pPr>
              <w:keepNext/>
              <w:keepLines/>
              <w:spacing w:after="60" w:line="240" w:lineRule="auto"/>
              <w:rPr>
                <w:rFonts w:cs="Arial"/>
              </w:rPr>
            </w:pPr>
            <w:r w:rsidRPr="00E141F1">
              <w:rPr>
                <w:rFonts w:cs="Arial"/>
                <w:i/>
                <w:sz w:val="16"/>
                <w:szCs w:val="16"/>
              </w:rPr>
              <w:t xml:space="preserve">Source: </w:t>
            </w:r>
            <w:r>
              <w:rPr>
                <w:rFonts w:cs="Arial"/>
                <w:i/>
                <w:sz w:val="16"/>
                <w:szCs w:val="16"/>
              </w:rPr>
              <w:t>Company annual reports.</w:t>
            </w:r>
          </w:p>
        </w:tc>
      </w:tr>
    </w:tbl>
    <w:p w:rsidR="001E6FB8" w:rsidRPr="00E141F1" w:rsidRDefault="001E6FB8" w:rsidP="001E6FB8">
      <w:pPr>
        <w:spacing w:line="240" w:lineRule="auto"/>
        <w:rPr>
          <w:rFonts w:cs="Arial"/>
        </w:rPr>
      </w:pPr>
    </w:p>
    <w:p w:rsidR="001E6FB8" w:rsidRPr="00C57FA6" w:rsidRDefault="001E6FB8" w:rsidP="001E6FB8">
      <w:pPr>
        <w:pStyle w:val="Heading3"/>
      </w:pPr>
      <w:bookmarkStart w:id="128" w:name="_Toc371588984"/>
      <w:bookmarkStart w:id="129" w:name="_Toc373149046"/>
      <w:r w:rsidRPr="00E141F1">
        <w:t>Number of internet subscribers</w:t>
      </w:r>
      <w:bookmarkEnd w:id="128"/>
      <w:bookmarkEnd w:id="129"/>
    </w:p>
    <w:p w:rsidR="001E6FB8" w:rsidRDefault="001E6FB8" w:rsidP="001E6FB8">
      <w:r w:rsidRPr="00E141F1">
        <w:t>There has been continued growth in the number of internet subscribers (driven by take-up of mobile internet and NBN-related services (Table 1.4)</w:t>
      </w:r>
      <w:r>
        <w:t>)</w:t>
      </w:r>
      <w:r w:rsidRPr="00E141F1">
        <w:t xml:space="preserve">. </w:t>
      </w:r>
    </w:p>
    <w:p w:rsidR="001E6FB8" w:rsidRPr="00E141F1" w:rsidRDefault="001E6FB8" w:rsidP="001E6FB8"/>
    <w:p w:rsidR="001E6FB8" w:rsidRPr="00E141F1" w:rsidRDefault="001E6FB8" w:rsidP="001E6FB8">
      <w:pPr>
        <w:spacing w:after="80"/>
      </w:pPr>
      <w:r w:rsidRPr="00E141F1">
        <w:t>Fixed internet subscribers (19 per cent of all internet subscribers) increased by one per cent in the twelve months to June 2013 to reach 6.11 million subscribers, with:</w:t>
      </w:r>
    </w:p>
    <w:p w:rsidR="001E6FB8" w:rsidRPr="00E141F1" w:rsidRDefault="001E6FB8" w:rsidP="001E6FB8">
      <w:pPr>
        <w:pStyle w:val="ListBullet"/>
        <w:tabs>
          <w:tab w:val="clear" w:pos="295"/>
          <w:tab w:val="num" w:pos="0"/>
        </w:tabs>
        <w:rPr>
          <w:rFonts w:cs="Arial"/>
        </w:rPr>
      </w:pPr>
      <w:r w:rsidRPr="00E141F1">
        <w:rPr>
          <w:rFonts w:cs="Arial"/>
        </w:rPr>
        <w:t>fixed wireless subscribers up 63 per cent (from 30,000 to 49,000)</w:t>
      </w:r>
    </w:p>
    <w:p w:rsidR="001E6FB8" w:rsidRPr="00E141F1" w:rsidRDefault="001E6FB8" w:rsidP="001E6FB8">
      <w:pPr>
        <w:pStyle w:val="ListBullet"/>
        <w:tabs>
          <w:tab w:val="clear" w:pos="295"/>
          <w:tab w:val="num" w:pos="0"/>
        </w:tabs>
        <w:rPr>
          <w:rFonts w:cs="Arial"/>
        </w:rPr>
      </w:pPr>
      <w:r w:rsidRPr="00E141F1">
        <w:rPr>
          <w:rFonts w:cs="Arial"/>
        </w:rPr>
        <w:t xml:space="preserve">fibre subscribers up 121 per cent (from 52,000 to 115,000) </w:t>
      </w:r>
    </w:p>
    <w:p w:rsidR="001E6FB8" w:rsidRPr="00E141F1" w:rsidRDefault="001E6FB8" w:rsidP="001E6FB8">
      <w:pPr>
        <w:pStyle w:val="ListBullet"/>
        <w:tabs>
          <w:tab w:val="clear" w:pos="295"/>
          <w:tab w:val="num" w:pos="0"/>
        </w:tabs>
        <w:rPr>
          <w:rFonts w:cs="Arial"/>
        </w:rPr>
      </w:pPr>
      <w:r w:rsidRPr="00E141F1">
        <w:rPr>
          <w:rFonts w:cs="Arial"/>
        </w:rPr>
        <w:t>ADSL subscribers up three per cent (from 4.63 million to 4.79 million)</w:t>
      </w:r>
    </w:p>
    <w:p w:rsidR="001E6FB8" w:rsidRPr="00E141F1" w:rsidRDefault="001E6FB8" w:rsidP="001E6FB8">
      <w:pPr>
        <w:pStyle w:val="ListBullet"/>
        <w:tabs>
          <w:tab w:val="clear" w:pos="295"/>
          <w:tab w:val="num" w:pos="0"/>
        </w:tabs>
        <w:rPr>
          <w:rFonts w:cs="Arial"/>
        </w:rPr>
      </w:pPr>
      <w:r w:rsidRPr="00E141F1">
        <w:rPr>
          <w:rFonts w:cs="Arial"/>
        </w:rPr>
        <w:t>cable subscribers up two per cent (from 917,000 to 934,000)</w:t>
      </w:r>
    </w:p>
    <w:p w:rsidR="001E6FB8" w:rsidRPr="00E141F1" w:rsidRDefault="001E6FB8" w:rsidP="001E6FB8">
      <w:pPr>
        <w:pStyle w:val="ListBullet"/>
        <w:spacing w:after="240"/>
        <w:rPr>
          <w:rFonts w:cs="Arial"/>
        </w:rPr>
      </w:pPr>
      <w:r w:rsidRPr="00E141F1">
        <w:rPr>
          <w:rFonts w:cs="Arial"/>
        </w:rPr>
        <w:t>dial-up continuing to decrease, down 48 per cent.</w:t>
      </w:r>
    </w:p>
    <w:p w:rsidR="001E6FB8" w:rsidRPr="00E141F1" w:rsidRDefault="001E6FB8" w:rsidP="001E6FB8">
      <w:pPr>
        <w:spacing w:after="80"/>
      </w:pPr>
      <w:r w:rsidRPr="00E141F1">
        <w:t>Mobile handset and wireless internet subscribers (81 per cent of all internet subscribers) increased by 17 per cent over the 12 months June 2013, with:</w:t>
      </w:r>
    </w:p>
    <w:p w:rsidR="001E6FB8" w:rsidRPr="00E141F1" w:rsidRDefault="001E6FB8" w:rsidP="001E6FB8">
      <w:pPr>
        <w:pStyle w:val="ListBullet"/>
        <w:rPr>
          <w:rFonts w:cs="Arial"/>
        </w:rPr>
      </w:pPr>
      <w:r w:rsidRPr="00E141F1">
        <w:rPr>
          <w:rFonts w:cs="Arial"/>
        </w:rPr>
        <w:t>mobile handset internet subscribers up 21 per cent</w:t>
      </w:r>
    </w:p>
    <w:p w:rsidR="001E6FB8" w:rsidRPr="00E141F1" w:rsidRDefault="001E6FB8" w:rsidP="001E6FB8">
      <w:pPr>
        <w:pStyle w:val="ListBullet"/>
        <w:spacing w:after="240"/>
        <w:rPr>
          <w:rFonts w:cs="Arial"/>
        </w:rPr>
      </w:pPr>
      <w:r w:rsidRPr="00E141F1">
        <w:rPr>
          <w:rFonts w:cs="Arial"/>
        </w:rPr>
        <w:t xml:space="preserve">mobile wireless (dongle, </w:t>
      </w:r>
      <w:proofErr w:type="spellStart"/>
      <w:r w:rsidRPr="00E141F1">
        <w:rPr>
          <w:rFonts w:cs="Arial"/>
        </w:rPr>
        <w:t>datacard</w:t>
      </w:r>
      <w:proofErr w:type="spellEnd"/>
      <w:r w:rsidRPr="00E141F1">
        <w:rPr>
          <w:rFonts w:cs="Arial"/>
        </w:rPr>
        <w:t xml:space="preserve"> and USB modem servic</w:t>
      </w:r>
      <w:r>
        <w:rPr>
          <w:rFonts w:cs="Arial"/>
        </w:rPr>
        <w:t>e subscribers) up five per cent</w:t>
      </w:r>
      <w:r w:rsidRPr="00E141F1">
        <w:rPr>
          <w:rFonts w:cs="Arial"/>
        </w:rPr>
        <w:t>.</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Table 1.</w:t>
            </w:r>
            <w:r w:rsidR="00421002" w:rsidRPr="00E141F1">
              <w:rPr>
                <w:rFonts w:cs="Arial"/>
              </w:rPr>
              <w:fldChar w:fldCharType="begin"/>
            </w:r>
            <w:r w:rsidRPr="00E141F1">
              <w:rPr>
                <w:rFonts w:cs="Arial"/>
              </w:rPr>
              <w:instrText xml:space="preserve"> SEQ Table \* ARABIC </w:instrText>
            </w:r>
            <w:r w:rsidR="00421002" w:rsidRPr="00E141F1">
              <w:rPr>
                <w:rFonts w:cs="Arial"/>
              </w:rPr>
              <w:fldChar w:fldCharType="separate"/>
            </w:r>
            <w:r>
              <w:rPr>
                <w:rFonts w:cs="Arial"/>
                <w:noProof/>
              </w:rPr>
              <w:t>4</w:t>
            </w:r>
            <w:r w:rsidR="00421002" w:rsidRPr="00E141F1">
              <w:rPr>
                <w:rFonts w:cs="Arial"/>
              </w:rPr>
              <w:fldChar w:fldCharType="end"/>
            </w:r>
            <w:r w:rsidRPr="00E141F1">
              <w:rPr>
                <w:rFonts w:cs="Arial"/>
              </w:rPr>
              <w:t xml:space="preserve"> Internet subscribers by technology type</w:t>
            </w:r>
          </w:p>
        </w:tc>
      </w:tr>
      <w:tr w:rsidR="001E6FB8" w:rsidRPr="00E141F1" w:rsidTr="001E6FB8">
        <w:trPr>
          <w:trHeight w:val="3086"/>
        </w:trPr>
        <w:tc>
          <w:tcPr>
            <w:tcW w:w="9645" w:type="dxa"/>
            <w:shd w:val="clear" w:color="auto" w:fill="auto"/>
            <w:tcMar>
              <w:left w:w="28" w:type="dxa"/>
            </w:tcMar>
          </w:tcPr>
          <w:tbl>
            <w:tblPr>
              <w:tblW w:w="0" w:type="auto"/>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3121"/>
              <w:gridCol w:w="1261"/>
              <w:gridCol w:w="1262"/>
              <w:gridCol w:w="1261"/>
              <w:gridCol w:w="1262"/>
              <w:gridCol w:w="1262"/>
            </w:tblGrid>
            <w:tr w:rsidR="001E6FB8" w:rsidRPr="00E141F1" w:rsidTr="001E6FB8">
              <w:trPr>
                <w:trHeight w:val="780"/>
              </w:trPr>
              <w:tc>
                <w:tcPr>
                  <w:tcW w:w="3121" w:type="dxa"/>
                  <w:shd w:val="clear" w:color="auto" w:fill="00709E"/>
                  <w:tcMar>
                    <w:top w:w="34" w:type="dxa"/>
                    <w:left w:w="113" w:type="dxa"/>
                  </w:tcMar>
                </w:tcPr>
                <w:p w:rsidR="001E6FB8" w:rsidRPr="00E141F1" w:rsidRDefault="001E6FB8" w:rsidP="001E6FB8">
                  <w:pPr>
                    <w:keepNext/>
                    <w:keepLines/>
                    <w:widowControl w:val="0"/>
                    <w:spacing w:before="40" w:after="40" w:line="240" w:lineRule="auto"/>
                    <w:outlineLvl w:val="0"/>
                    <w:rPr>
                      <w:rFonts w:cs="Arial"/>
                      <w:b/>
                      <w:color w:val="FFFFFF" w:themeColor="background1"/>
                      <w:spacing w:val="-28"/>
                      <w:sz w:val="18"/>
                      <w:szCs w:val="18"/>
                    </w:rPr>
                  </w:pPr>
                  <w:r w:rsidRPr="00E141F1">
                    <w:rPr>
                      <w:rFonts w:cs="Arial"/>
                      <w:b/>
                      <w:color w:val="FFFFFF" w:themeColor="background1"/>
                      <w:sz w:val="18"/>
                      <w:szCs w:val="18"/>
                    </w:rPr>
                    <w:t>Internet subscribers by access technology</w:t>
                  </w:r>
                </w:p>
              </w:tc>
              <w:tc>
                <w:tcPr>
                  <w:tcW w:w="1261" w:type="dxa"/>
                  <w:shd w:val="clear" w:color="auto" w:fill="00709E"/>
                </w:tcPr>
                <w:p w:rsidR="001E6FB8" w:rsidRPr="00E141F1" w:rsidRDefault="001E6FB8" w:rsidP="001E6FB8">
                  <w:pPr>
                    <w:keepNext/>
                    <w:keepLines/>
                    <w:widowControl w:val="0"/>
                    <w:spacing w:before="40" w:after="40" w:line="240" w:lineRule="auto"/>
                    <w:ind w:right="124"/>
                    <w:jc w:val="right"/>
                    <w:outlineLvl w:val="0"/>
                    <w:rPr>
                      <w:rFonts w:cs="Arial"/>
                      <w:b/>
                      <w:color w:val="FFFFFF" w:themeColor="background1"/>
                      <w:spacing w:val="-28"/>
                      <w:sz w:val="18"/>
                      <w:szCs w:val="18"/>
                    </w:rPr>
                  </w:pPr>
                  <w:r w:rsidRPr="00E141F1">
                    <w:rPr>
                      <w:rFonts w:cs="Arial"/>
                      <w:b/>
                      <w:color w:val="FFFFFF" w:themeColor="background1"/>
                      <w:sz w:val="18"/>
                      <w:szCs w:val="18"/>
                    </w:rPr>
                    <w:t xml:space="preserve">Dec-11 </w:t>
                  </w:r>
                  <w:r w:rsidRPr="00E141F1">
                    <w:rPr>
                      <w:rFonts w:cs="Arial"/>
                      <w:b/>
                      <w:color w:val="FFFFFF" w:themeColor="background1"/>
                      <w:sz w:val="18"/>
                      <w:szCs w:val="18"/>
                    </w:rPr>
                    <w:br/>
                    <w:t>(‘000)</w:t>
                  </w:r>
                </w:p>
              </w:tc>
              <w:tc>
                <w:tcPr>
                  <w:tcW w:w="1262" w:type="dxa"/>
                  <w:shd w:val="clear" w:color="auto" w:fill="00709E"/>
                </w:tcPr>
                <w:p w:rsidR="001E6FB8" w:rsidRPr="00E141F1" w:rsidRDefault="001E6FB8" w:rsidP="001E6FB8">
                  <w:pPr>
                    <w:keepNext/>
                    <w:keepLines/>
                    <w:widowControl w:val="0"/>
                    <w:spacing w:before="40" w:after="40" w:line="240" w:lineRule="auto"/>
                    <w:ind w:right="124"/>
                    <w:jc w:val="right"/>
                    <w:outlineLvl w:val="0"/>
                    <w:rPr>
                      <w:rFonts w:cs="Arial"/>
                      <w:b/>
                      <w:color w:val="FFFFFF" w:themeColor="background1"/>
                      <w:spacing w:val="-28"/>
                      <w:sz w:val="18"/>
                      <w:szCs w:val="18"/>
                    </w:rPr>
                  </w:pPr>
                  <w:r w:rsidRPr="00E141F1">
                    <w:rPr>
                      <w:rFonts w:cs="Arial"/>
                      <w:b/>
                      <w:color w:val="FFFFFF" w:themeColor="background1"/>
                      <w:sz w:val="18"/>
                      <w:szCs w:val="18"/>
                    </w:rPr>
                    <w:t>Jun-12</w:t>
                  </w:r>
                </w:p>
                <w:p w:rsidR="001E6FB8" w:rsidRPr="00E141F1" w:rsidRDefault="001E6FB8" w:rsidP="001E6FB8">
                  <w:pPr>
                    <w:keepNext/>
                    <w:keepLines/>
                    <w:widowControl w:val="0"/>
                    <w:spacing w:before="40" w:after="40" w:line="240" w:lineRule="auto"/>
                    <w:ind w:right="124"/>
                    <w:jc w:val="right"/>
                    <w:outlineLvl w:val="0"/>
                    <w:rPr>
                      <w:rFonts w:cs="Arial"/>
                      <w:b/>
                      <w:color w:val="FFFFFF" w:themeColor="background1"/>
                      <w:spacing w:val="-28"/>
                      <w:sz w:val="18"/>
                      <w:szCs w:val="18"/>
                    </w:rPr>
                  </w:pPr>
                  <w:r w:rsidRPr="00E141F1">
                    <w:rPr>
                      <w:rFonts w:cs="Arial"/>
                      <w:b/>
                      <w:color w:val="FFFFFF" w:themeColor="background1"/>
                      <w:sz w:val="18"/>
                      <w:szCs w:val="18"/>
                    </w:rPr>
                    <w:t>(‘000)</w:t>
                  </w:r>
                </w:p>
              </w:tc>
              <w:tc>
                <w:tcPr>
                  <w:tcW w:w="1261" w:type="dxa"/>
                  <w:shd w:val="clear" w:color="auto" w:fill="00709E"/>
                </w:tcPr>
                <w:p w:rsidR="001E6FB8" w:rsidRPr="00E141F1" w:rsidRDefault="001E6FB8" w:rsidP="001E6FB8">
                  <w:pPr>
                    <w:keepNext/>
                    <w:keepLines/>
                    <w:widowControl w:val="0"/>
                    <w:spacing w:before="40" w:after="40" w:line="240" w:lineRule="auto"/>
                    <w:ind w:right="124"/>
                    <w:jc w:val="right"/>
                    <w:outlineLvl w:val="0"/>
                    <w:rPr>
                      <w:rFonts w:cs="Arial"/>
                      <w:b/>
                      <w:color w:val="FFFFFF" w:themeColor="background1"/>
                      <w:spacing w:val="-28"/>
                      <w:sz w:val="18"/>
                      <w:szCs w:val="18"/>
                    </w:rPr>
                  </w:pPr>
                  <w:r w:rsidRPr="00E141F1">
                    <w:rPr>
                      <w:rFonts w:cs="Arial"/>
                      <w:b/>
                      <w:color w:val="FFFFFF" w:themeColor="background1"/>
                      <w:sz w:val="18"/>
                      <w:szCs w:val="18"/>
                    </w:rPr>
                    <w:t>Dec-12</w:t>
                  </w:r>
                </w:p>
                <w:p w:rsidR="001E6FB8" w:rsidRPr="00E141F1" w:rsidRDefault="001E6FB8" w:rsidP="001E6FB8">
                  <w:pPr>
                    <w:keepNext/>
                    <w:keepLines/>
                    <w:widowControl w:val="0"/>
                    <w:spacing w:before="40" w:after="40" w:line="240" w:lineRule="auto"/>
                    <w:ind w:right="124"/>
                    <w:jc w:val="right"/>
                    <w:outlineLvl w:val="0"/>
                    <w:rPr>
                      <w:rFonts w:cs="Arial"/>
                      <w:b/>
                      <w:color w:val="FFFFFF" w:themeColor="background1"/>
                      <w:spacing w:val="-28"/>
                      <w:sz w:val="18"/>
                      <w:szCs w:val="18"/>
                    </w:rPr>
                  </w:pPr>
                  <w:r w:rsidRPr="00E141F1">
                    <w:rPr>
                      <w:rFonts w:cs="Arial"/>
                      <w:b/>
                      <w:color w:val="FFFFFF" w:themeColor="background1"/>
                      <w:sz w:val="18"/>
                      <w:szCs w:val="18"/>
                    </w:rPr>
                    <w:t>(‘000)</w:t>
                  </w:r>
                </w:p>
              </w:tc>
              <w:tc>
                <w:tcPr>
                  <w:tcW w:w="1262" w:type="dxa"/>
                  <w:shd w:val="clear" w:color="auto" w:fill="00709E"/>
                </w:tcPr>
                <w:p w:rsidR="001E6FB8" w:rsidRPr="00E141F1" w:rsidRDefault="001E6FB8" w:rsidP="001E6FB8">
                  <w:pPr>
                    <w:keepNext/>
                    <w:keepLines/>
                    <w:widowControl w:val="0"/>
                    <w:spacing w:before="40" w:after="40" w:line="240" w:lineRule="auto"/>
                    <w:ind w:right="124"/>
                    <w:jc w:val="right"/>
                    <w:outlineLvl w:val="0"/>
                    <w:rPr>
                      <w:rFonts w:cs="Arial"/>
                      <w:b/>
                      <w:color w:val="FFFFFF" w:themeColor="background1"/>
                      <w:sz w:val="18"/>
                      <w:szCs w:val="18"/>
                    </w:rPr>
                  </w:pPr>
                  <w:r w:rsidRPr="00E141F1">
                    <w:rPr>
                      <w:rFonts w:cs="Arial"/>
                      <w:b/>
                      <w:color w:val="FFFFFF" w:themeColor="background1"/>
                      <w:sz w:val="18"/>
                      <w:szCs w:val="18"/>
                    </w:rPr>
                    <w:t>Jun-13</w:t>
                  </w:r>
                </w:p>
                <w:p w:rsidR="001E6FB8" w:rsidRPr="00E141F1" w:rsidRDefault="001E6FB8" w:rsidP="001E6FB8">
                  <w:pPr>
                    <w:keepNext/>
                    <w:keepLines/>
                    <w:widowControl w:val="0"/>
                    <w:spacing w:before="40" w:after="40" w:line="240" w:lineRule="auto"/>
                    <w:ind w:right="124"/>
                    <w:jc w:val="right"/>
                    <w:outlineLvl w:val="0"/>
                    <w:rPr>
                      <w:rFonts w:cs="Arial"/>
                      <w:b/>
                      <w:color w:val="FFFFFF" w:themeColor="background1"/>
                      <w:sz w:val="18"/>
                      <w:szCs w:val="18"/>
                    </w:rPr>
                  </w:pPr>
                  <w:r w:rsidRPr="00E141F1">
                    <w:rPr>
                      <w:rFonts w:cs="Arial"/>
                      <w:b/>
                      <w:color w:val="FFFFFF" w:themeColor="background1"/>
                      <w:sz w:val="18"/>
                      <w:szCs w:val="18"/>
                    </w:rPr>
                    <w:t>(‘000)</w:t>
                  </w:r>
                </w:p>
              </w:tc>
              <w:tc>
                <w:tcPr>
                  <w:tcW w:w="1262" w:type="dxa"/>
                  <w:shd w:val="clear" w:color="auto" w:fill="00709E"/>
                  <w:tcMar>
                    <w:left w:w="113" w:type="dxa"/>
                  </w:tcMar>
                </w:tcPr>
                <w:p w:rsidR="001E6FB8" w:rsidRPr="00E141F1" w:rsidRDefault="001E6FB8" w:rsidP="001E6FB8">
                  <w:pPr>
                    <w:keepNext/>
                    <w:keepLines/>
                    <w:widowControl w:val="0"/>
                    <w:spacing w:before="40" w:after="40" w:line="240" w:lineRule="auto"/>
                    <w:ind w:right="124"/>
                    <w:jc w:val="right"/>
                    <w:outlineLvl w:val="0"/>
                    <w:rPr>
                      <w:rFonts w:cs="Arial"/>
                      <w:b/>
                      <w:color w:val="FFFFFF" w:themeColor="background1"/>
                      <w:spacing w:val="-28"/>
                      <w:sz w:val="18"/>
                      <w:szCs w:val="18"/>
                    </w:rPr>
                  </w:pPr>
                  <w:r w:rsidRPr="00E141F1">
                    <w:rPr>
                      <w:rFonts w:cs="Arial"/>
                      <w:b/>
                      <w:color w:val="FFFFFF" w:themeColor="background1"/>
                      <w:sz w:val="18"/>
                      <w:szCs w:val="18"/>
                    </w:rPr>
                    <w:t xml:space="preserve">% change from </w:t>
                  </w:r>
                  <w:r>
                    <w:rPr>
                      <w:rFonts w:cs="Arial"/>
                      <w:b/>
                      <w:color w:val="FFFFFF" w:themeColor="background1"/>
                      <w:sz w:val="18"/>
                      <w:szCs w:val="18"/>
                    </w:rPr>
                    <w:br/>
                    <w:t>Jun-12 to Jun-</w:t>
                  </w:r>
                  <w:r w:rsidRPr="00E141F1">
                    <w:rPr>
                      <w:rFonts w:cs="Arial"/>
                      <w:b/>
                      <w:color w:val="FFFFFF" w:themeColor="background1"/>
                      <w:sz w:val="18"/>
                      <w:szCs w:val="18"/>
                    </w:rPr>
                    <w:t>13</w:t>
                  </w:r>
                </w:p>
              </w:tc>
            </w:tr>
            <w:tr w:rsidR="001E6FB8" w:rsidRPr="00E141F1" w:rsidTr="001E6FB8">
              <w:trPr>
                <w:trHeight w:val="289"/>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Mobile wireless (dongle, data card, USB modem services)</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5,491</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5,862</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5,995</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6,150</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5</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ADSL</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4,553</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4,632</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4,727</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4,787</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3</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 xml:space="preserve">Cable </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900</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917</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918</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934</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2</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Dial-up</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473</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439</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282</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227</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48</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Satellite</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100</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94</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92</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93</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1</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Fixed wireless*</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35</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30</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49</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49</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63</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Fibre</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37</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52</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91</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115</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121</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Other</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8</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10</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7</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3</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70</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Total (excluding mobile handset subscribers)</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11,596</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12,036</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12,161</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12,358</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3</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 xml:space="preserve">Mobile handset </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15,190</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16,192</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17,391</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19,645</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21</w:t>
                  </w:r>
                </w:p>
              </w:tc>
            </w:tr>
            <w:tr w:rsidR="001E6FB8" w:rsidRPr="00E141F1" w:rsidTr="001E6FB8">
              <w:trPr>
                <w:trHeight w:val="345"/>
              </w:trPr>
              <w:tc>
                <w:tcPr>
                  <w:tcW w:w="3121"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Total (including mobile handsets)</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26,786</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28,228</w:t>
                  </w:r>
                </w:p>
              </w:tc>
              <w:tc>
                <w:tcPr>
                  <w:tcW w:w="1261" w:type="dxa"/>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sidRPr="00E141F1">
                    <w:rPr>
                      <w:rFonts w:cs="Arial"/>
                      <w:sz w:val="18"/>
                      <w:szCs w:val="18"/>
                    </w:rPr>
                    <w:t>29,552</w:t>
                  </w:r>
                </w:p>
              </w:tc>
              <w:tc>
                <w:tcPr>
                  <w:tcW w:w="1262" w:type="dxa"/>
                  <w:vAlign w:val="center"/>
                </w:tcPr>
                <w:p w:rsidR="001E6FB8" w:rsidRPr="00E141F1" w:rsidRDefault="001E6FB8" w:rsidP="001E6FB8">
                  <w:pPr>
                    <w:keepNext/>
                    <w:keepLines/>
                    <w:widowControl w:val="0"/>
                    <w:spacing w:before="40" w:after="40" w:line="240" w:lineRule="auto"/>
                    <w:ind w:right="124"/>
                    <w:jc w:val="right"/>
                    <w:outlineLvl w:val="0"/>
                    <w:rPr>
                      <w:rFonts w:cs="Arial"/>
                      <w:sz w:val="18"/>
                      <w:szCs w:val="18"/>
                    </w:rPr>
                  </w:pPr>
                  <w:r w:rsidRPr="00E141F1">
                    <w:rPr>
                      <w:rFonts w:cs="Arial"/>
                      <w:sz w:val="18"/>
                      <w:szCs w:val="18"/>
                    </w:rPr>
                    <w:t>32,003</w:t>
                  </w:r>
                </w:p>
              </w:tc>
              <w:tc>
                <w:tcPr>
                  <w:tcW w:w="1262" w:type="dxa"/>
                  <w:shd w:val="clear" w:color="auto" w:fill="auto"/>
                  <w:tcMar>
                    <w:left w:w="113" w:type="dxa"/>
                  </w:tcMar>
                  <w:vAlign w:val="center"/>
                </w:tcPr>
                <w:p w:rsidR="001E6FB8" w:rsidRPr="00E141F1" w:rsidRDefault="001E6FB8" w:rsidP="001E6FB8">
                  <w:pPr>
                    <w:keepNext/>
                    <w:keepLines/>
                    <w:widowControl w:val="0"/>
                    <w:spacing w:before="40" w:after="40" w:line="240" w:lineRule="auto"/>
                    <w:ind w:right="124"/>
                    <w:jc w:val="right"/>
                    <w:outlineLvl w:val="0"/>
                    <w:rPr>
                      <w:rFonts w:cs="Arial"/>
                      <w:color w:val="808285"/>
                      <w:spacing w:val="-28"/>
                      <w:sz w:val="18"/>
                      <w:szCs w:val="18"/>
                    </w:rPr>
                  </w:pPr>
                  <w:r>
                    <w:rPr>
                      <w:rFonts w:cs="Arial"/>
                      <w:sz w:val="18"/>
                      <w:szCs w:val="18"/>
                    </w:rPr>
                    <w:t>+</w:t>
                  </w:r>
                  <w:r w:rsidRPr="00E141F1">
                    <w:rPr>
                      <w:rFonts w:cs="Arial"/>
                      <w:sz w:val="18"/>
                      <w:szCs w:val="18"/>
                    </w:rPr>
                    <w:t>13</w:t>
                  </w:r>
                </w:p>
              </w:tc>
            </w:tr>
          </w:tbl>
          <w:p w:rsidR="001E6FB8" w:rsidRPr="00E141F1" w:rsidRDefault="001E6FB8" w:rsidP="001E6FB8">
            <w:pPr>
              <w:keepNext/>
              <w:keepLines/>
              <w:spacing w:line="240" w:lineRule="auto"/>
              <w:rPr>
                <w:rFonts w:cs="Arial"/>
                <w:szCs w:val="20"/>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eastAsia="Malgun Gothic" w:cs="Arial"/>
                <w:i/>
                <w:sz w:val="16"/>
                <w:szCs w:val="16"/>
              </w:rPr>
              <w:t>*</w:t>
            </w:r>
            <w:r w:rsidRPr="00E141F1">
              <w:rPr>
                <w:rFonts w:cs="Arial"/>
                <w:i/>
                <w:sz w:val="16"/>
                <w:szCs w:val="16"/>
              </w:rPr>
              <w:t xml:space="preserve">Fixed wireless, for example </w:t>
            </w:r>
            <w:proofErr w:type="spellStart"/>
            <w:r w:rsidRPr="00E141F1">
              <w:rPr>
                <w:rFonts w:cs="Arial"/>
                <w:i/>
                <w:sz w:val="16"/>
                <w:szCs w:val="16"/>
              </w:rPr>
              <w:t>WiMAX</w:t>
            </w:r>
            <w:proofErr w:type="spellEnd"/>
            <w:r w:rsidRPr="00E141F1">
              <w:rPr>
                <w:rFonts w:cs="Arial"/>
                <w:i/>
                <w:sz w:val="16"/>
                <w:szCs w:val="16"/>
              </w:rPr>
              <w:t>, uses an air interface to connect an internet service. An antenna installed at the customer’s premises receives signals from the service provider’s base station.</w:t>
            </w:r>
          </w:p>
          <w:p w:rsidR="001E6FB8" w:rsidRPr="00E141F1" w:rsidRDefault="001E6FB8" w:rsidP="001E6FB8">
            <w:pPr>
              <w:autoSpaceDE w:val="0"/>
              <w:autoSpaceDN w:val="0"/>
              <w:adjustRightInd w:val="0"/>
              <w:spacing w:line="240" w:lineRule="auto"/>
              <w:rPr>
                <w:rFonts w:cs="Arial"/>
                <w:i/>
                <w:sz w:val="16"/>
                <w:szCs w:val="16"/>
              </w:rPr>
            </w:pPr>
            <w:r w:rsidRPr="00E141F1">
              <w:rPr>
                <w:rFonts w:cs="Arial"/>
                <w:i/>
                <w:sz w:val="16"/>
                <w:szCs w:val="16"/>
              </w:rPr>
              <w:t>Note: ABS subscriber statistics measure the number of 'subscriber lines' rather than the number of 'users'. Counts of subscribers are not the same as counts of people/organisations with internet access as some subscribers may have accounts with more than one ISP or multi</w:t>
            </w:r>
            <w:r>
              <w:rPr>
                <w:rFonts w:cs="Arial"/>
                <w:i/>
                <w:sz w:val="16"/>
                <w:szCs w:val="16"/>
              </w:rPr>
              <w:t xml:space="preserve">ple accounts with a single ISP. </w:t>
            </w:r>
            <w:r w:rsidRPr="00E141F1">
              <w:rPr>
                <w:rFonts w:cs="Arial"/>
                <w:i/>
                <w:sz w:val="16"/>
                <w:szCs w:val="16"/>
              </w:rPr>
              <w:t xml:space="preserve">Relates to ISPs with more than 1,000 subscribers. </w:t>
            </w:r>
          </w:p>
          <w:p w:rsidR="001E6FB8" w:rsidRPr="00E141F1" w:rsidRDefault="001E6FB8" w:rsidP="001E6FB8">
            <w:pPr>
              <w:keepNext/>
              <w:keepLines/>
              <w:spacing w:after="60" w:line="240" w:lineRule="auto"/>
              <w:rPr>
                <w:rFonts w:cs="Arial"/>
                <w:szCs w:val="20"/>
              </w:rPr>
            </w:pPr>
            <w:r w:rsidRPr="00E141F1">
              <w:rPr>
                <w:rFonts w:cs="Arial"/>
                <w:i/>
                <w:sz w:val="16"/>
                <w:szCs w:val="16"/>
              </w:rPr>
              <w:t>Source: ABS, 8153.0-Internet activity, Australia, June 2013.</w:t>
            </w:r>
          </w:p>
        </w:tc>
      </w:tr>
    </w:tbl>
    <w:p w:rsidR="001E6FB8" w:rsidRPr="00E141F1" w:rsidRDefault="001E6FB8" w:rsidP="001E6FB8">
      <w:pPr>
        <w:spacing w:line="240" w:lineRule="auto"/>
        <w:rPr>
          <w:rFonts w:cs="Arial"/>
        </w:rPr>
      </w:pPr>
    </w:p>
    <w:p w:rsidR="001E6FB8" w:rsidRPr="00E141F1" w:rsidRDefault="001E6FB8" w:rsidP="001E6FB8">
      <w:pPr>
        <w:pStyle w:val="Bodysubheader"/>
        <w:rPr>
          <w:rFonts w:cs="Arial"/>
        </w:rPr>
      </w:pPr>
      <w:r w:rsidRPr="00E141F1">
        <w:rPr>
          <w:rFonts w:cs="Arial"/>
        </w:rPr>
        <w:t>International comparisons—fixed versus mobile broadband penetration</w:t>
      </w:r>
    </w:p>
    <w:p w:rsidR="001E6FB8" w:rsidRPr="00E141F1" w:rsidRDefault="001E6FB8" w:rsidP="001E6FB8">
      <w:pPr>
        <w:pStyle w:val="ListBullet"/>
        <w:numPr>
          <w:ilvl w:val="0"/>
          <w:numId w:val="0"/>
        </w:numPr>
        <w:rPr>
          <w:rFonts w:cs="Arial"/>
        </w:rPr>
      </w:pPr>
      <w:r w:rsidRPr="00E141F1">
        <w:rPr>
          <w:rFonts w:cs="Arial"/>
        </w:rPr>
        <w:t xml:space="preserve">While Australia is one of the leaders in terms of mobile broadband penetration, it has a lower level of fixed broadband in comparison to other countries. Research by the </w:t>
      </w:r>
      <w:r>
        <w:rPr>
          <w:rFonts w:cs="Arial"/>
        </w:rPr>
        <w:t>Broadband Commission for Digital Development</w:t>
      </w:r>
      <w:r w:rsidRPr="00E141F1">
        <w:rPr>
          <w:rFonts w:cs="Arial"/>
        </w:rPr>
        <w:t xml:space="preserve"> shows that</w:t>
      </w:r>
      <w:r>
        <w:rPr>
          <w:rFonts w:cs="Arial"/>
        </w:rPr>
        <w:t xml:space="preserve"> in 2012</w:t>
      </w:r>
      <w:r w:rsidRPr="00E141F1">
        <w:rPr>
          <w:rFonts w:cs="Arial"/>
        </w:rPr>
        <w:t xml:space="preserve">, out of 189 countries, Australia </w:t>
      </w:r>
      <w:r>
        <w:rPr>
          <w:rFonts w:cs="Arial"/>
        </w:rPr>
        <w:t>was</w:t>
      </w:r>
      <w:r w:rsidRPr="00E141F1">
        <w:rPr>
          <w:rFonts w:cs="Arial"/>
        </w:rPr>
        <w:t xml:space="preserve"> ranked:</w:t>
      </w:r>
    </w:p>
    <w:p w:rsidR="001E6FB8" w:rsidRPr="0023753D" w:rsidRDefault="001E6FB8" w:rsidP="001E6FB8">
      <w:pPr>
        <w:pStyle w:val="ListBullet"/>
        <w:rPr>
          <w:rFonts w:cs="Arial"/>
        </w:rPr>
      </w:pPr>
      <w:r w:rsidRPr="0023753D">
        <w:rPr>
          <w:rFonts w:cs="Arial"/>
        </w:rPr>
        <w:t>29</w:t>
      </w:r>
      <w:r w:rsidRPr="0023753D">
        <w:rPr>
          <w:rFonts w:cs="Arial"/>
          <w:vertAlign w:val="superscript"/>
        </w:rPr>
        <w:t>th</w:t>
      </w:r>
      <w:r w:rsidRPr="0023753D">
        <w:rPr>
          <w:rFonts w:cs="Arial"/>
        </w:rPr>
        <w:t xml:space="preserve"> in </w:t>
      </w:r>
      <w:r w:rsidRPr="005733A8">
        <w:rPr>
          <w:rFonts w:cs="Arial"/>
        </w:rPr>
        <w:t>terms of fixed-line</w:t>
      </w:r>
      <w:r>
        <w:rPr>
          <w:rFonts w:cs="Arial"/>
        </w:rPr>
        <w:t xml:space="preserve"> </w:t>
      </w:r>
      <w:r w:rsidRPr="0023753D">
        <w:rPr>
          <w:rFonts w:cs="Arial"/>
        </w:rPr>
        <w:t>broadband penetration per 100 inhabitants</w:t>
      </w:r>
    </w:p>
    <w:p w:rsidR="001E6FB8" w:rsidRPr="00E141F1" w:rsidRDefault="001E6FB8" w:rsidP="001E6FB8">
      <w:pPr>
        <w:pStyle w:val="ListBullet"/>
        <w:spacing w:after="240"/>
        <w:rPr>
          <w:rFonts w:cs="Arial"/>
        </w:rPr>
      </w:pPr>
      <w:r w:rsidRPr="0023753D">
        <w:rPr>
          <w:rFonts w:cs="Arial"/>
        </w:rPr>
        <w:t>sixth in terms</w:t>
      </w:r>
      <w:r w:rsidRPr="00E141F1">
        <w:rPr>
          <w:rFonts w:cs="Arial"/>
        </w:rPr>
        <w:t xml:space="preserve"> of mobile broadband penetration per 100 inhabitants.</w:t>
      </w:r>
      <w:r w:rsidRPr="00E141F1">
        <w:rPr>
          <w:rFonts w:cs="Arial"/>
          <w:vertAlign w:val="superscript"/>
        </w:rPr>
        <w:endnoteReference w:id="16"/>
      </w:r>
    </w:p>
    <w:p w:rsidR="001E6FB8" w:rsidRPr="00E141F1" w:rsidRDefault="001E6FB8" w:rsidP="001E6FB8">
      <w:pPr>
        <w:pStyle w:val="Heading3"/>
        <w:rPr>
          <w:b w:val="0"/>
          <w:bCs w:val="0"/>
        </w:rPr>
      </w:pPr>
      <w:bookmarkStart w:id="130" w:name="_Toc371588985"/>
      <w:bookmarkStart w:id="131" w:name="_Toc373149047"/>
      <w:r w:rsidRPr="00E141F1">
        <w:t>Volume of data downloaded</w:t>
      </w:r>
      <w:bookmarkEnd w:id="130"/>
      <w:bookmarkEnd w:id="131"/>
    </w:p>
    <w:p w:rsidR="001E6FB8" w:rsidRPr="00E141F1" w:rsidRDefault="001E6FB8" w:rsidP="001E6FB8">
      <w:pPr>
        <w:pStyle w:val="ListBullet"/>
        <w:numPr>
          <w:ilvl w:val="0"/>
          <w:numId w:val="0"/>
        </w:numPr>
        <w:rPr>
          <w:rFonts w:cs="Arial"/>
        </w:rPr>
      </w:pPr>
      <w:r w:rsidRPr="00E141F1">
        <w:rPr>
          <w:rFonts w:cs="Arial"/>
        </w:rPr>
        <w:t>Despite the numerical superiority of mobile-internet subscribers</w:t>
      </w:r>
      <w:r>
        <w:rPr>
          <w:rFonts w:cs="Arial"/>
        </w:rPr>
        <w:t xml:space="preserve"> (mobile wireless and mobile handset)</w:t>
      </w:r>
      <w:r w:rsidRPr="00E141F1">
        <w:rPr>
          <w:rFonts w:cs="Arial"/>
        </w:rPr>
        <w:t xml:space="preserve"> and the relatively strong growth in these services historically, fixed-</w:t>
      </w:r>
      <w:r>
        <w:rPr>
          <w:rFonts w:cs="Arial"/>
        </w:rPr>
        <w:t xml:space="preserve">line </w:t>
      </w:r>
      <w:r w:rsidRPr="00E141F1">
        <w:rPr>
          <w:rFonts w:cs="Arial"/>
        </w:rPr>
        <w:t>broadband subscribers continued to drive growth in the volume of data download</w:t>
      </w:r>
      <w:r>
        <w:rPr>
          <w:rFonts w:cs="Arial"/>
        </w:rPr>
        <w:t>ed</w:t>
      </w:r>
      <w:r w:rsidRPr="00E141F1">
        <w:rPr>
          <w:rFonts w:cs="Arial"/>
        </w:rPr>
        <w:t xml:space="preserve"> (Figure 1.8) with 95 per cent of the growth in data downloads during the June quarter 2013 attributed to fixed-line broadband subscribers. The total volume of data downloaded in Australia during the June quarter of 2013 was 59 per cent higher in comparison to the volume of data downloaded during the June quarter of 2012. During this period, the volume of data downloaded over:</w:t>
      </w:r>
    </w:p>
    <w:p w:rsidR="001E6FB8" w:rsidRPr="00E141F1" w:rsidRDefault="001E6FB8" w:rsidP="001E6FB8">
      <w:pPr>
        <w:pStyle w:val="ListBullet"/>
        <w:rPr>
          <w:rFonts w:cs="Arial"/>
        </w:rPr>
      </w:pPr>
      <w:r w:rsidRPr="00E141F1">
        <w:rPr>
          <w:rFonts w:cs="Arial"/>
        </w:rPr>
        <w:t>fixed-line broadband increased by 62 per cent</w:t>
      </w:r>
    </w:p>
    <w:p w:rsidR="001E6FB8" w:rsidRPr="00E141F1" w:rsidRDefault="001E6FB8" w:rsidP="001E6FB8">
      <w:pPr>
        <w:pStyle w:val="ListBullet"/>
        <w:rPr>
          <w:rFonts w:cs="Arial"/>
        </w:rPr>
      </w:pPr>
      <w:r w:rsidRPr="00E141F1">
        <w:rPr>
          <w:rFonts w:cs="Arial"/>
        </w:rPr>
        <w:t>mobile handsets increased by 97 per cent</w:t>
      </w:r>
    </w:p>
    <w:p w:rsidR="001E6FB8" w:rsidRPr="00E141F1" w:rsidRDefault="001E6FB8" w:rsidP="001E6FB8">
      <w:pPr>
        <w:pStyle w:val="ListBullet"/>
        <w:spacing w:after="240"/>
        <w:rPr>
          <w:rFonts w:cs="Arial"/>
        </w:rPr>
      </w:pPr>
      <w:r w:rsidRPr="00E141F1">
        <w:rPr>
          <w:rFonts w:cs="Arial"/>
        </w:rPr>
        <w:t xml:space="preserve">wireless broadband increased by </w:t>
      </w:r>
      <w:r>
        <w:rPr>
          <w:rFonts w:cs="Arial"/>
        </w:rPr>
        <w:t>eight</w:t>
      </w:r>
      <w:r w:rsidRPr="00E141F1">
        <w:rPr>
          <w:rFonts w:cs="Arial"/>
        </w:rPr>
        <w:t xml:space="preserve"> per cent. </w:t>
      </w:r>
    </w:p>
    <w:p w:rsidR="001E6FB8" w:rsidRPr="00E141F1" w:rsidRDefault="001E6FB8" w:rsidP="001E6FB8">
      <w:pPr>
        <w:rPr>
          <w:rFonts w:cs="Arial"/>
          <w:bCs/>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8</w:t>
            </w:r>
            <w:r w:rsidR="00421002" w:rsidRPr="00E141F1">
              <w:rPr>
                <w:rFonts w:cs="Arial"/>
              </w:rPr>
              <w:fldChar w:fldCharType="end"/>
            </w:r>
            <w:r w:rsidRPr="00E141F1">
              <w:rPr>
                <w:rFonts w:cs="Arial"/>
              </w:rPr>
              <w:t xml:space="preserve"> Volume of data downloaded by Australian internet users</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keepNext/>
              <w:keepLines/>
              <w:rPr>
                <w:rFonts w:cs="Arial"/>
              </w:rPr>
            </w:pPr>
            <w:r w:rsidRPr="00E141F1">
              <w:rPr>
                <w:rFonts w:cs="Arial"/>
                <w:noProof/>
              </w:rPr>
              <w:drawing>
                <wp:inline distT="0" distB="0" distL="0" distR="0">
                  <wp:extent cx="5867400" cy="2438400"/>
                  <wp:effectExtent l="0" t="0" r="0" b="0"/>
                  <wp:docPr id="288" name="Chart 2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line="240" w:lineRule="auto"/>
              <w:rPr>
                <w:rFonts w:cs="Arial"/>
                <w:bCs/>
                <w:i/>
                <w:color w:val="4D4D4F"/>
                <w:kern w:val="32"/>
                <w:sz w:val="16"/>
                <w:szCs w:val="16"/>
              </w:rPr>
            </w:pPr>
            <w:r w:rsidRPr="00E141F1">
              <w:rPr>
                <w:rFonts w:cs="Arial"/>
                <w:i/>
                <w:sz w:val="16"/>
                <w:szCs w:val="16"/>
              </w:rPr>
              <w:t xml:space="preserve">*Excludes downloads via mobile phone handsets. Includes dongle, USB modems, </w:t>
            </w:r>
            <w:proofErr w:type="spellStart"/>
            <w:r w:rsidRPr="00E141F1">
              <w:rPr>
                <w:rFonts w:cs="Arial"/>
                <w:i/>
                <w:sz w:val="16"/>
                <w:szCs w:val="16"/>
              </w:rPr>
              <w:t>datacard</w:t>
            </w:r>
            <w:proofErr w:type="spellEnd"/>
            <w:r w:rsidRPr="00E141F1">
              <w:rPr>
                <w:rFonts w:cs="Arial"/>
                <w:i/>
                <w:sz w:val="16"/>
                <w:szCs w:val="16"/>
              </w:rPr>
              <w:t xml:space="preserve"> services, satellite, etc.</w:t>
            </w:r>
          </w:p>
          <w:p w:rsidR="001E6FB8" w:rsidRPr="00E141F1" w:rsidRDefault="001E6FB8" w:rsidP="001E6FB8">
            <w:pPr>
              <w:keepNext/>
              <w:keepLines/>
              <w:spacing w:after="60" w:line="240" w:lineRule="auto"/>
              <w:rPr>
                <w:rFonts w:cs="Arial"/>
                <w:bCs/>
                <w:i/>
                <w:color w:val="4D4D4F"/>
                <w:kern w:val="32"/>
                <w:sz w:val="16"/>
                <w:szCs w:val="16"/>
              </w:rPr>
            </w:pPr>
            <w:r w:rsidRPr="00E141F1">
              <w:rPr>
                <w:rFonts w:cs="Arial"/>
                <w:i/>
                <w:sz w:val="16"/>
                <w:szCs w:val="16"/>
              </w:rPr>
              <w:t>Note: Total volume of data downloaded is based on ABS published numbers and components may not add up due to rounding. ABS reports that ‘download data presented should only be considered an indicative measure of internet activity during the reference period.’ Source: ABS, 8153.0-Internet Activity, June 2013.</w:t>
            </w:r>
          </w:p>
        </w:tc>
      </w:tr>
    </w:tbl>
    <w:p w:rsidR="001E6FB8" w:rsidRPr="00E141F1" w:rsidRDefault="001E6FB8" w:rsidP="001E6FB8">
      <w:pPr>
        <w:spacing w:line="240" w:lineRule="auto"/>
        <w:rPr>
          <w:rFonts w:cs="Arial"/>
        </w:rPr>
      </w:pPr>
    </w:p>
    <w:p w:rsidR="001E6FB8" w:rsidRPr="0036793D" w:rsidRDefault="001E6FB8" w:rsidP="001E6FB8">
      <w:pPr>
        <w:pStyle w:val="Bodysubheader"/>
        <w:rPr>
          <w:rFonts w:cs="Arial"/>
        </w:rPr>
      </w:pPr>
      <w:r w:rsidRPr="0036793D">
        <w:rPr>
          <w:rFonts w:cs="Arial"/>
        </w:rPr>
        <w:t>Fixed-line broadband versus mobile internet</w:t>
      </w:r>
    </w:p>
    <w:p w:rsidR="001E6FB8" w:rsidRPr="00E141F1" w:rsidRDefault="001E6FB8" w:rsidP="001E6FB8">
      <w:pPr>
        <w:spacing w:line="240" w:lineRule="auto"/>
        <w:rPr>
          <w:rFonts w:cs="Arial"/>
        </w:rPr>
      </w:pPr>
      <w:r w:rsidRPr="0036793D">
        <w:rPr>
          <w:rFonts w:cs="Arial"/>
        </w:rPr>
        <w:t>In terms of the average amount of data downloaded, fixed-line broadband subscribers are more likely to be heavy users of high-bandwidth services such as video streaming than their wireless counterparts (Figure 1.9). During the June quarter of 2013, the average amount of data downloaded by a fixed-line broadband subscriber was approximately 2</w:t>
      </w:r>
      <w:r>
        <w:rPr>
          <w:rFonts w:cs="Arial"/>
        </w:rPr>
        <w:t>5</w:t>
      </w:r>
      <w:r w:rsidRPr="00E141F1">
        <w:rPr>
          <w:rFonts w:cs="Arial"/>
        </w:rPr>
        <w:t xml:space="preserve"> times greater than the average amount of data downloaded by a wireless-broadband subscriber and 108 times that of a mobile-handset internet subscriber. </w:t>
      </w:r>
    </w:p>
    <w:p w:rsidR="001E6FB8" w:rsidRPr="00E141F1" w:rsidRDefault="001E6FB8" w:rsidP="001E6FB8">
      <w:pPr>
        <w:spacing w:line="240" w:lineRule="auto"/>
        <w:rPr>
          <w:rFonts w:cs="Arial"/>
        </w:rPr>
      </w:pPr>
    </w:p>
    <w:tbl>
      <w:tblPr>
        <w:tblW w:w="9720" w:type="dxa"/>
        <w:tblLayout w:type="fixed"/>
        <w:tblCellMar>
          <w:left w:w="0" w:type="dxa"/>
          <w:right w:w="0" w:type="dxa"/>
        </w:tblCellMar>
        <w:tblLook w:val="01E0"/>
      </w:tblPr>
      <w:tblGrid>
        <w:gridCol w:w="9720"/>
      </w:tblGrid>
      <w:tr w:rsidR="001E6FB8" w:rsidRPr="00E141F1" w:rsidTr="001E6FB8">
        <w:trPr>
          <w:trHeight w:val="636"/>
        </w:trPr>
        <w:tc>
          <w:tcPr>
            <w:tcW w:w="9720"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9</w:t>
            </w:r>
            <w:r w:rsidR="00421002" w:rsidRPr="00E141F1">
              <w:rPr>
                <w:rFonts w:cs="Arial"/>
              </w:rPr>
              <w:fldChar w:fldCharType="end"/>
            </w:r>
            <w:r w:rsidRPr="00E141F1">
              <w:rPr>
                <w:rFonts w:cs="Arial"/>
              </w:rPr>
              <w:t xml:space="preserve"> Average volume of data downloaded per subscriber by type of technology</w:t>
            </w:r>
          </w:p>
        </w:tc>
      </w:tr>
      <w:tr w:rsidR="001E6FB8" w:rsidRPr="00E141F1" w:rsidTr="001E6FB8">
        <w:trPr>
          <w:trHeight w:val="3001"/>
        </w:trPr>
        <w:tc>
          <w:tcPr>
            <w:tcW w:w="9720" w:type="dxa"/>
            <w:shd w:val="clear" w:color="auto" w:fill="auto"/>
            <w:tcMar>
              <w:left w:w="28" w:type="dxa"/>
            </w:tcMar>
          </w:tcPr>
          <w:p w:rsidR="001E6FB8" w:rsidRPr="00E141F1" w:rsidRDefault="001E6FB8" w:rsidP="001E6FB8">
            <w:pPr>
              <w:rPr>
                <w:rFonts w:cs="Arial"/>
              </w:rPr>
            </w:pPr>
            <w:r w:rsidRPr="00E141F1">
              <w:rPr>
                <w:rFonts w:cs="Arial"/>
                <w:noProof/>
              </w:rPr>
              <w:t xml:space="preserve"> </w:t>
            </w:r>
            <w:r w:rsidRPr="00752440">
              <w:rPr>
                <w:rFonts w:cs="Arial"/>
                <w:noProof/>
              </w:rPr>
              <w:drawing>
                <wp:inline distT="0" distB="0" distL="0" distR="0">
                  <wp:extent cx="5108448" cy="1914144"/>
                  <wp:effectExtent l="0" t="0" r="0" b="0"/>
                  <wp:docPr id="2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1E6FB8" w:rsidRPr="00E141F1" w:rsidTr="001E6FB8">
        <w:trPr>
          <w:trHeight w:val="325"/>
        </w:trPr>
        <w:tc>
          <w:tcPr>
            <w:tcW w:w="9720" w:type="dxa"/>
            <w:tcBorders>
              <w:bottom w:val="single" w:sz="2" w:space="0" w:color="505050"/>
            </w:tcBorders>
            <w:shd w:val="clear" w:color="auto" w:fill="auto"/>
          </w:tcPr>
          <w:p w:rsidR="001E6FB8" w:rsidRPr="00E141F1" w:rsidRDefault="001E6FB8" w:rsidP="001E6FB8">
            <w:pPr>
              <w:spacing w:before="120" w:line="240" w:lineRule="auto"/>
              <w:rPr>
                <w:rFonts w:cs="Arial"/>
                <w:i/>
                <w:sz w:val="16"/>
                <w:szCs w:val="16"/>
              </w:rPr>
            </w:pPr>
            <w:r w:rsidRPr="00E141F1">
              <w:rPr>
                <w:rFonts w:cs="Arial"/>
                <w:i/>
                <w:sz w:val="16"/>
                <w:szCs w:val="16"/>
              </w:rPr>
              <w:t xml:space="preserve">Note: Fixed line includes ADSL, cable, fibre and other fixed line broadband. Wireless includes satellite, fixed wireless, mobile wireless via a </w:t>
            </w:r>
            <w:proofErr w:type="spellStart"/>
            <w:r w:rsidRPr="00E141F1">
              <w:rPr>
                <w:rFonts w:cs="Arial"/>
                <w:i/>
                <w:sz w:val="16"/>
                <w:szCs w:val="16"/>
              </w:rPr>
              <w:t>datacard</w:t>
            </w:r>
            <w:proofErr w:type="spellEnd"/>
            <w:r w:rsidRPr="00E141F1">
              <w:rPr>
                <w:rFonts w:cs="Arial"/>
                <w:i/>
                <w:sz w:val="16"/>
                <w:szCs w:val="16"/>
              </w:rPr>
              <w:t xml:space="preserve">, dongle, USB modem or tablet SIM card and other wireless broadband. </w:t>
            </w:r>
            <w:r w:rsidRPr="00E141F1">
              <w:rPr>
                <w:rFonts w:cs="Arial"/>
                <w:i/>
                <w:iCs/>
                <w:sz w:val="16"/>
                <w:szCs w:val="16"/>
              </w:rPr>
              <w:t xml:space="preserve">ABS has revised volume of data downloaded by mobile handset internet subscribers </w:t>
            </w:r>
            <w:r>
              <w:rPr>
                <w:rFonts w:cs="Arial"/>
                <w:i/>
                <w:iCs/>
                <w:sz w:val="16"/>
                <w:szCs w:val="16"/>
              </w:rPr>
              <w:t xml:space="preserve">as </w:t>
            </w:r>
            <w:r w:rsidRPr="00E141F1">
              <w:rPr>
                <w:rFonts w:cs="Arial"/>
                <w:i/>
                <w:iCs/>
                <w:sz w:val="16"/>
                <w:szCs w:val="16"/>
              </w:rPr>
              <w:t xml:space="preserve">published </w:t>
            </w:r>
            <w:r>
              <w:rPr>
                <w:rFonts w:cs="Arial"/>
                <w:i/>
                <w:iCs/>
                <w:sz w:val="16"/>
                <w:szCs w:val="16"/>
              </w:rPr>
              <w:t xml:space="preserve">in </w:t>
            </w:r>
            <w:r w:rsidRPr="00E141F1">
              <w:rPr>
                <w:rFonts w:cs="Arial"/>
                <w:i/>
                <w:iCs/>
                <w:sz w:val="16"/>
                <w:szCs w:val="16"/>
              </w:rPr>
              <w:t>previous ACMA reports.</w:t>
            </w:r>
          </w:p>
          <w:p w:rsidR="001E6FB8" w:rsidRPr="00E141F1" w:rsidRDefault="001E6FB8" w:rsidP="001E6FB8">
            <w:pPr>
              <w:spacing w:after="60" w:line="240" w:lineRule="auto"/>
              <w:rPr>
                <w:rFonts w:cs="Arial"/>
                <w:i/>
                <w:sz w:val="16"/>
                <w:szCs w:val="16"/>
              </w:rPr>
            </w:pPr>
            <w:r w:rsidRPr="00E141F1">
              <w:rPr>
                <w:rFonts w:cs="Arial"/>
                <w:i/>
                <w:sz w:val="16"/>
                <w:szCs w:val="16"/>
              </w:rPr>
              <w:t>Source: ABS, 8153.0-Internet activity, Australia, June 2013.</w:t>
            </w:r>
          </w:p>
        </w:tc>
      </w:tr>
    </w:tbl>
    <w:p w:rsidR="001E6FB8" w:rsidRPr="00E141F1" w:rsidRDefault="001E6FB8" w:rsidP="001E6FB8">
      <w:pPr>
        <w:spacing w:line="240" w:lineRule="auto"/>
        <w:rPr>
          <w:rFonts w:cs="Arial"/>
        </w:rPr>
      </w:pPr>
    </w:p>
    <w:p w:rsidR="001E6FB8" w:rsidRPr="00E141F1" w:rsidRDefault="001E6FB8" w:rsidP="001E6FB8">
      <w:pPr>
        <w:spacing w:line="240" w:lineRule="auto"/>
        <w:rPr>
          <w:rFonts w:cs="Arial"/>
        </w:rPr>
      </w:pPr>
      <w:r w:rsidRPr="00E141F1">
        <w:rPr>
          <w:rFonts w:cs="Arial"/>
        </w:rPr>
        <w:t>Although the average volume of data downloaded per subscriber by mobile handsets is minimal compared to fixed-</w:t>
      </w:r>
      <w:r>
        <w:rPr>
          <w:rFonts w:cs="Arial"/>
        </w:rPr>
        <w:t xml:space="preserve">line </w:t>
      </w:r>
      <w:r w:rsidRPr="00E141F1">
        <w:rPr>
          <w:rFonts w:cs="Arial"/>
        </w:rPr>
        <w:t>broad</w:t>
      </w:r>
      <w:r>
        <w:rPr>
          <w:rFonts w:cs="Arial"/>
        </w:rPr>
        <w:t>band downloads, it rose from 0.6</w:t>
      </w:r>
      <w:r w:rsidRPr="00E141F1">
        <w:rPr>
          <w:rFonts w:cs="Arial"/>
        </w:rPr>
        <w:t xml:space="preserve">1 to 1.0 gigabytes from the quarter ending June 2012 to the quarter ending June 2013. This is expected to </w:t>
      </w:r>
      <w:r>
        <w:rPr>
          <w:rFonts w:cs="Arial"/>
        </w:rPr>
        <w:t>continue to increase</w:t>
      </w:r>
      <w:r w:rsidRPr="00E141F1">
        <w:rPr>
          <w:rFonts w:cs="Arial"/>
        </w:rPr>
        <w:t xml:space="preserve"> as a greater number of consumers transition to </w:t>
      </w:r>
      <w:proofErr w:type="spellStart"/>
      <w:r w:rsidRPr="00E141F1">
        <w:rPr>
          <w:rFonts w:cs="Arial"/>
        </w:rPr>
        <w:t>smartphones</w:t>
      </w:r>
      <w:proofErr w:type="spellEnd"/>
      <w:r w:rsidRPr="00E141F1">
        <w:rPr>
          <w:rFonts w:cs="Arial"/>
        </w:rPr>
        <w:t>, more mobile applications are developed facilitating access to services online via mobile phones and more consumers become comfortable using mobile-internet services.</w:t>
      </w:r>
      <w:r>
        <w:rPr>
          <w:rFonts w:cs="Arial"/>
        </w:rPr>
        <w:t xml:space="preserve"> </w:t>
      </w:r>
    </w:p>
    <w:p w:rsidR="001E6FB8" w:rsidRPr="00E141F1" w:rsidRDefault="001E6FB8" w:rsidP="001E6FB8">
      <w:pPr>
        <w:pStyle w:val="Heading3"/>
        <w:rPr>
          <w:b w:val="0"/>
          <w:bCs w:val="0"/>
        </w:rPr>
      </w:pPr>
      <w:bookmarkStart w:id="132" w:name="_Toc371588986"/>
      <w:bookmarkStart w:id="133" w:name="_Toc373149048"/>
      <w:r w:rsidRPr="00E141F1">
        <w:t>Diversification of consumer internet access devices</w:t>
      </w:r>
      <w:bookmarkEnd w:id="132"/>
      <w:bookmarkEnd w:id="133"/>
    </w:p>
    <w:p w:rsidR="001E6FB8" w:rsidRPr="00E141F1" w:rsidRDefault="001E6FB8" w:rsidP="001E6FB8">
      <w:pPr>
        <w:spacing w:line="240" w:lineRule="auto"/>
        <w:rPr>
          <w:rFonts w:cs="Arial"/>
        </w:rPr>
      </w:pPr>
      <w:r w:rsidRPr="00E141F1">
        <w:rPr>
          <w:rFonts w:cs="Arial"/>
        </w:rPr>
        <w:t>At June 2013, approximately 80 per cent of adults resided in a household with internet access, while 74 per cent of adults were estimated to have broadband internet in the home.</w:t>
      </w:r>
      <w:r w:rsidRPr="00E141F1">
        <w:rPr>
          <w:rFonts w:cs="Arial"/>
          <w:vertAlign w:val="superscript"/>
        </w:rPr>
        <w:endnoteReference w:id="17"/>
      </w:r>
    </w:p>
    <w:p w:rsidR="001E6FB8" w:rsidRPr="00E141F1" w:rsidRDefault="001E6FB8" w:rsidP="001E6FB8">
      <w:pPr>
        <w:spacing w:line="240" w:lineRule="auto"/>
        <w:rPr>
          <w:rFonts w:cs="Arial"/>
        </w:rPr>
      </w:pPr>
    </w:p>
    <w:p w:rsidR="001E6FB8" w:rsidRPr="00E141F1" w:rsidRDefault="001E6FB8" w:rsidP="001E6FB8">
      <w:pPr>
        <w:spacing w:line="240" w:lineRule="auto"/>
        <w:rPr>
          <w:rFonts w:cs="Arial"/>
        </w:rPr>
      </w:pPr>
      <w:r w:rsidRPr="00E141F1">
        <w:rPr>
          <w:rFonts w:cs="Arial"/>
        </w:rPr>
        <w:t xml:space="preserve">Australians with household internet access go online from home via a range of consumer devices (Figure 1.10). Although laptop and desktop computers have remained the most dominant devices to access the internet, other consumer technologies are emerging within the home environment. During the 12 months to May 2013, Australians have significantly increased their use of portable internet devices such as mobile phones and tablet computers with take-up of these devices increasing by six percentage points and 18 percentage points, respectively. However, many Australian internet users access the internet via multiple devices, an indication of the complementary nature of internet access. </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10</w:t>
            </w:r>
            <w:r w:rsidR="00421002" w:rsidRPr="00E141F1">
              <w:rPr>
                <w:rFonts w:cs="Arial"/>
              </w:rPr>
              <w:fldChar w:fldCharType="end"/>
            </w:r>
            <w:r w:rsidRPr="00E141F1">
              <w:rPr>
                <w:rFonts w:cs="Arial"/>
              </w:rPr>
              <w:t xml:space="preserve"> Internet take-up and devices used to access the internet from home</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rPr>
                <w:rFonts w:cs="Arial"/>
              </w:rPr>
            </w:pPr>
            <w:r w:rsidRPr="00657BFA">
              <w:rPr>
                <w:rFonts w:cs="Arial"/>
                <w:noProof/>
              </w:rPr>
              <w:drawing>
                <wp:inline distT="0" distB="0" distL="0" distR="0">
                  <wp:extent cx="6257925" cy="2924175"/>
                  <wp:effectExtent l="0" t="0" r="0" b="0"/>
                  <wp:docPr id="2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120" w:line="240" w:lineRule="auto"/>
              <w:rPr>
                <w:rFonts w:cs="Arial"/>
                <w:i/>
                <w:sz w:val="16"/>
                <w:szCs w:val="16"/>
              </w:rPr>
            </w:pPr>
            <w:r w:rsidRPr="00E141F1">
              <w:rPr>
                <w:rFonts w:cs="Arial"/>
                <w:i/>
                <w:sz w:val="16"/>
                <w:szCs w:val="16"/>
              </w:rPr>
              <w:t>Base: People with a fixed-line telephone and/or a mobile telephone</w:t>
            </w:r>
            <w:r>
              <w:rPr>
                <w:rFonts w:cs="Arial"/>
                <w:i/>
                <w:sz w:val="16"/>
                <w:szCs w:val="16"/>
              </w:rPr>
              <w:t xml:space="preserve"> with household internet access</w:t>
            </w:r>
            <w:r w:rsidRPr="00E141F1">
              <w:rPr>
                <w:rFonts w:cs="Arial"/>
                <w:i/>
                <w:sz w:val="16"/>
                <w:szCs w:val="16"/>
              </w:rPr>
              <w:t xml:space="preserve">. </w:t>
            </w:r>
            <w:r w:rsidRPr="00E141F1">
              <w:rPr>
                <w:rFonts w:cs="Arial"/>
                <w:i/>
                <w:sz w:val="16"/>
                <w:szCs w:val="16"/>
              </w:rPr>
              <w:br/>
              <w:t>Note: Multiple responses allowed.</w:t>
            </w:r>
          </w:p>
          <w:p w:rsidR="001E6FB8" w:rsidRPr="00E141F1" w:rsidRDefault="001E6FB8" w:rsidP="001E6FB8">
            <w:pPr>
              <w:spacing w:after="60" w:line="240" w:lineRule="auto"/>
              <w:rPr>
                <w:rFonts w:cs="Arial"/>
              </w:rPr>
            </w:pPr>
            <w:r w:rsidRPr="00E141F1">
              <w:rPr>
                <w:rFonts w:cs="Arial"/>
                <w:i/>
                <w:sz w:val="16"/>
                <w:szCs w:val="16"/>
              </w:rPr>
              <w:t>Source: ACMA-commissioned surveys.</w:t>
            </w:r>
          </w:p>
        </w:tc>
      </w:tr>
    </w:tbl>
    <w:p w:rsidR="001E6FB8" w:rsidRPr="00E141F1" w:rsidRDefault="001E6FB8" w:rsidP="001E6FB8">
      <w:pPr>
        <w:spacing w:line="240" w:lineRule="auto"/>
        <w:rPr>
          <w:rFonts w:cs="Arial"/>
        </w:rPr>
      </w:pPr>
    </w:p>
    <w:p w:rsidR="001E6FB8" w:rsidRPr="00E141F1" w:rsidRDefault="001E6FB8" w:rsidP="001E6FB8">
      <w:pPr>
        <w:pStyle w:val="Heading3"/>
        <w:rPr>
          <w:b w:val="0"/>
        </w:rPr>
      </w:pPr>
      <w:bookmarkStart w:id="134" w:name="_Toc371588987"/>
      <w:bookmarkStart w:id="135" w:name="_Toc373149049"/>
      <w:r w:rsidRPr="00E141F1">
        <w:t>Complementary use of internet access devices</w:t>
      </w:r>
      <w:bookmarkEnd w:id="134"/>
      <w:bookmarkEnd w:id="135"/>
    </w:p>
    <w:p w:rsidR="001E6FB8" w:rsidRPr="00E141F1" w:rsidRDefault="001E6FB8" w:rsidP="001E6FB8">
      <w:pPr>
        <w:spacing w:line="240" w:lineRule="auto"/>
        <w:rPr>
          <w:rFonts w:cs="Arial"/>
        </w:rPr>
      </w:pPr>
      <w:r w:rsidRPr="00E141F1">
        <w:rPr>
          <w:rFonts w:cs="Arial"/>
        </w:rPr>
        <w:t xml:space="preserve">In the six months to May 2013, 62 per cent of internet users accessed the internet via three or more devices, compared to 20 per cent using two devices and 18 per cent using one device (Figure 1.11). </w:t>
      </w:r>
    </w:p>
    <w:p w:rsidR="001E6FB8" w:rsidRPr="00E141F1" w:rsidRDefault="001E6FB8" w:rsidP="001E6FB8">
      <w:pPr>
        <w:spacing w:line="240" w:lineRule="auto"/>
        <w:rPr>
          <w:rFonts w:cs="Arial"/>
        </w:rPr>
      </w:pPr>
    </w:p>
    <w:p w:rsidR="001E6FB8" w:rsidRPr="00E141F1" w:rsidRDefault="001E6FB8" w:rsidP="001E6FB8">
      <w:pPr>
        <w:spacing w:line="240" w:lineRule="auto"/>
        <w:rPr>
          <w:rFonts w:cs="Arial"/>
        </w:rPr>
      </w:pPr>
      <w:r w:rsidRPr="00E141F1">
        <w:rPr>
          <w:rFonts w:cs="Arial"/>
        </w:rPr>
        <w:t>Age is a significant factor in the number of internet access devices used. Eighty-four</w:t>
      </w:r>
      <w:r>
        <w:rPr>
          <w:rFonts w:cs="Arial"/>
        </w:rPr>
        <w:t> </w:t>
      </w:r>
      <w:r w:rsidRPr="00E141F1">
        <w:rPr>
          <w:rFonts w:cs="Arial"/>
        </w:rPr>
        <w:t xml:space="preserve">per cent of internet users aged 18–24 years accessed the internet in the six months to May 2013 via three or more devices, compared to 27 per cent for people 65 years and over. Correspondingly, only three per cent of internet users aged 18–24 used one internet access device compared to 44 per cent for people aged 65 years and over. </w:t>
      </w:r>
    </w:p>
    <w:p w:rsidR="001E6FB8" w:rsidRPr="00E141F1" w:rsidRDefault="001E6FB8" w:rsidP="001E6FB8">
      <w:pPr>
        <w:spacing w:line="240" w:lineRule="auto"/>
        <w:rPr>
          <w:rFonts w:cs="Arial"/>
        </w:rPr>
      </w:pPr>
    </w:p>
    <w:tbl>
      <w:tblPr>
        <w:tblW w:w="9960" w:type="dxa"/>
        <w:tblLayout w:type="fixed"/>
        <w:tblCellMar>
          <w:left w:w="0" w:type="dxa"/>
          <w:right w:w="0" w:type="dxa"/>
        </w:tblCellMar>
        <w:tblLook w:val="01E0"/>
      </w:tblPr>
      <w:tblGrid>
        <w:gridCol w:w="9960"/>
      </w:tblGrid>
      <w:tr w:rsidR="001E6FB8" w:rsidRPr="00E141F1" w:rsidTr="001E6FB8">
        <w:trPr>
          <w:trHeight w:val="715"/>
        </w:trPr>
        <w:tc>
          <w:tcPr>
            <w:tcW w:w="9960"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11</w:t>
            </w:r>
            <w:r w:rsidR="00421002" w:rsidRPr="00E141F1">
              <w:rPr>
                <w:rFonts w:cs="Arial"/>
              </w:rPr>
              <w:fldChar w:fldCharType="end"/>
            </w:r>
            <w:r w:rsidRPr="00E141F1">
              <w:rPr>
                <w:rFonts w:cs="Arial"/>
              </w:rPr>
              <w:t xml:space="preserve"> Number of devices used to access the internet in the six months to May 2013</w:t>
            </w:r>
          </w:p>
        </w:tc>
      </w:tr>
      <w:tr w:rsidR="001E6FB8" w:rsidRPr="00E141F1" w:rsidTr="001E6FB8">
        <w:trPr>
          <w:trHeight w:val="3873"/>
        </w:trPr>
        <w:tc>
          <w:tcPr>
            <w:tcW w:w="9960" w:type="dxa"/>
            <w:shd w:val="clear" w:color="auto" w:fill="auto"/>
            <w:tcMar>
              <w:left w:w="28" w:type="dxa"/>
            </w:tcMar>
          </w:tcPr>
          <w:p w:rsidR="001E6FB8" w:rsidRPr="00E141F1" w:rsidRDefault="001E6FB8" w:rsidP="001E6FB8">
            <w:pPr>
              <w:keepNext/>
              <w:rPr>
                <w:rFonts w:cs="Arial"/>
              </w:rPr>
            </w:pPr>
            <w:r w:rsidRPr="002460B8">
              <w:rPr>
                <w:rFonts w:cs="Arial"/>
                <w:noProof/>
              </w:rPr>
              <w:drawing>
                <wp:inline distT="0" distB="0" distL="0" distR="0">
                  <wp:extent cx="6306532" cy="3091992"/>
                  <wp:effectExtent l="0" t="0" r="0" b="0"/>
                  <wp:docPr id="300"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1E6FB8" w:rsidRPr="00E141F1" w:rsidTr="001E6FB8">
        <w:trPr>
          <w:trHeight w:val="219"/>
        </w:trPr>
        <w:tc>
          <w:tcPr>
            <w:tcW w:w="9960" w:type="dxa"/>
            <w:tcBorders>
              <w:bottom w:val="single" w:sz="2" w:space="0" w:color="505050"/>
            </w:tcBorders>
            <w:shd w:val="clear" w:color="auto" w:fill="auto"/>
          </w:tcPr>
          <w:p w:rsidR="001E6FB8" w:rsidRPr="00E141F1" w:rsidRDefault="001E6FB8" w:rsidP="001E6FB8">
            <w:pPr>
              <w:keepNext/>
              <w:spacing w:after="60" w:line="240" w:lineRule="auto"/>
              <w:rPr>
                <w:rFonts w:cs="Arial"/>
              </w:rPr>
            </w:pPr>
            <w:r w:rsidRPr="00E141F1">
              <w:rPr>
                <w:rFonts w:cs="Arial"/>
                <w:i/>
                <w:sz w:val="16"/>
                <w:szCs w:val="16"/>
              </w:rPr>
              <w:t>Source: ACMA-commissioned surveys.</w:t>
            </w:r>
          </w:p>
        </w:tc>
      </w:tr>
    </w:tbl>
    <w:p w:rsidR="001E6FB8" w:rsidRPr="00E141F1" w:rsidRDefault="001E6FB8" w:rsidP="001E6FB8">
      <w:pPr>
        <w:spacing w:line="240" w:lineRule="auto"/>
        <w:rPr>
          <w:rFonts w:cs="Arial"/>
        </w:rPr>
      </w:pPr>
    </w:p>
    <w:p w:rsidR="001E6FB8" w:rsidRPr="00E141F1" w:rsidRDefault="001E6FB8" w:rsidP="001E6FB8">
      <w:pPr>
        <w:pStyle w:val="Bodysubheader"/>
        <w:rPr>
          <w:rFonts w:cs="Arial"/>
          <w:i w:val="0"/>
        </w:rPr>
      </w:pPr>
      <w:r w:rsidRPr="00E141F1">
        <w:rPr>
          <w:rFonts w:cs="Arial"/>
        </w:rPr>
        <w:t>International comparisons—internet access devices</w:t>
      </w:r>
    </w:p>
    <w:p w:rsidR="001E6FB8" w:rsidRPr="00E141F1" w:rsidRDefault="001E6FB8" w:rsidP="001E6FB8">
      <w:pPr>
        <w:spacing w:after="80" w:line="240" w:lineRule="auto"/>
        <w:rPr>
          <w:rFonts w:cs="Arial"/>
        </w:rPr>
      </w:pPr>
      <w:r w:rsidRPr="00E141F1">
        <w:rPr>
          <w:rFonts w:cs="Arial"/>
        </w:rPr>
        <w:t>The trend towards using multiple devices is evident in other countries with:</w:t>
      </w:r>
    </w:p>
    <w:p w:rsidR="001E6FB8" w:rsidRPr="00E141F1" w:rsidRDefault="001E6FB8" w:rsidP="001E6FB8">
      <w:pPr>
        <w:pStyle w:val="ListBullet"/>
        <w:rPr>
          <w:rFonts w:cs="Arial"/>
        </w:rPr>
      </w:pPr>
      <w:proofErr w:type="spellStart"/>
      <w:r w:rsidRPr="00E141F1">
        <w:rPr>
          <w:rFonts w:cs="Arial"/>
        </w:rPr>
        <w:t>smartphone</w:t>
      </w:r>
      <w:proofErr w:type="spellEnd"/>
      <w:r w:rsidRPr="00E141F1">
        <w:rPr>
          <w:rFonts w:cs="Arial"/>
        </w:rPr>
        <w:t xml:space="preserve"> ownership up by 10 percentage points to 56 per cent in the USA, and 12 percentage </w:t>
      </w:r>
      <w:r>
        <w:rPr>
          <w:rFonts w:cs="Arial"/>
        </w:rPr>
        <w:t>points to 51 per cent in the UK</w:t>
      </w:r>
      <w:r w:rsidRPr="00E141F1">
        <w:rPr>
          <w:rFonts w:cs="Arial"/>
        </w:rPr>
        <w:t xml:space="preserve"> </w:t>
      </w:r>
    </w:p>
    <w:p w:rsidR="001E6FB8" w:rsidRPr="00E141F1" w:rsidRDefault="001E6FB8" w:rsidP="001E6FB8">
      <w:pPr>
        <w:pStyle w:val="ListBullet"/>
        <w:spacing w:after="240"/>
        <w:rPr>
          <w:rFonts w:cs="Arial"/>
          <w:vertAlign w:val="superscript"/>
        </w:rPr>
      </w:pPr>
      <w:r w:rsidRPr="00E141F1">
        <w:rPr>
          <w:rFonts w:cs="Arial"/>
        </w:rPr>
        <w:t>tablet ownership up by 16 percentage points to 34 per cent in the USA, and 13</w:t>
      </w:r>
      <w:r>
        <w:rPr>
          <w:rFonts w:cs="Arial"/>
        </w:rPr>
        <w:t> </w:t>
      </w:r>
      <w:r w:rsidRPr="00E141F1">
        <w:rPr>
          <w:rFonts w:cs="Arial"/>
        </w:rPr>
        <w:t>percentage p</w:t>
      </w:r>
      <w:r>
        <w:rPr>
          <w:rFonts w:cs="Arial"/>
        </w:rPr>
        <w:t>oints to 24 per cent in the UK.</w:t>
      </w:r>
      <w:r w:rsidRPr="00E141F1">
        <w:rPr>
          <w:rFonts w:cs="Arial"/>
          <w:vertAlign w:val="superscript"/>
        </w:rPr>
        <w:endnoteReference w:id="18"/>
      </w:r>
      <w:r w:rsidRPr="00E141F1">
        <w:rPr>
          <w:rFonts w:cs="Arial"/>
          <w:vertAlign w:val="superscript"/>
        </w:rPr>
        <w:t xml:space="preserve"> </w:t>
      </w:r>
      <w:r w:rsidRPr="009A2CE2">
        <w:rPr>
          <w:rFonts w:cs="Arial"/>
          <w:vertAlign w:val="superscript"/>
        </w:rPr>
        <w:endnoteReference w:id="19"/>
      </w:r>
    </w:p>
    <w:p w:rsidR="001E6FB8" w:rsidRPr="00E141F1" w:rsidRDefault="001E6FB8" w:rsidP="001E6FB8">
      <w:pPr>
        <w:pStyle w:val="Heading3"/>
        <w:rPr>
          <w:b w:val="0"/>
          <w:bCs w:val="0"/>
        </w:rPr>
      </w:pPr>
      <w:bookmarkStart w:id="136" w:name="_Toc371588988"/>
      <w:bookmarkStart w:id="137" w:name="_Toc373149050"/>
      <w:r w:rsidRPr="00E141F1">
        <w:t>Consumer expectations of internet services</w:t>
      </w:r>
      <w:bookmarkEnd w:id="136"/>
      <w:bookmarkEnd w:id="137"/>
    </w:p>
    <w:p w:rsidR="001E6FB8" w:rsidRPr="00E141F1" w:rsidRDefault="001E6FB8" w:rsidP="001E6FB8">
      <w:pPr>
        <w:spacing w:line="240" w:lineRule="auto"/>
        <w:rPr>
          <w:rFonts w:cs="Arial"/>
          <w:i/>
        </w:rPr>
      </w:pPr>
      <w:r w:rsidRPr="00E141F1">
        <w:rPr>
          <w:rFonts w:cs="Arial"/>
        </w:rPr>
        <w:t>The importance of the internet to Australian consumers is reflected in the growth in numbers of internet users and increased frequen</w:t>
      </w:r>
      <w:r>
        <w:rPr>
          <w:rFonts w:cs="Arial"/>
        </w:rPr>
        <w:t>cy of online interactions (see C</w:t>
      </w:r>
      <w:r w:rsidRPr="00E141F1">
        <w:rPr>
          <w:rFonts w:cs="Arial"/>
        </w:rPr>
        <w:t>hapter 5 of this report—</w:t>
      </w:r>
      <w:r w:rsidRPr="00E141F1">
        <w:rPr>
          <w:rFonts w:cs="Arial"/>
          <w:i/>
        </w:rPr>
        <w:t>Consumer benefits from participating in the digital economy).</w:t>
      </w:r>
    </w:p>
    <w:p w:rsidR="001E6FB8" w:rsidRPr="00E141F1" w:rsidRDefault="001E6FB8" w:rsidP="001E6FB8">
      <w:pPr>
        <w:spacing w:line="240" w:lineRule="auto"/>
        <w:rPr>
          <w:rFonts w:cs="Arial"/>
          <w:i/>
        </w:rPr>
      </w:pPr>
    </w:p>
    <w:p w:rsidR="001E6FB8" w:rsidRPr="00E141F1" w:rsidRDefault="001E6FB8" w:rsidP="001E6FB8">
      <w:pPr>
        <w:spacing w:line="240" w:lineRule="auto"/>
        <w:rPr>
          <w:rFonts w:cs="Arial"/>
        </w:rPr>
      </w:pPr>
      <w:r w:rsidRPr="00E141F1">
        <w:rPr>
          <w:rFonts w:cs="Arial"/>
        </w:rPr>
        <w:t xml:space="preserve">This is further reflected in the importance consumers place on internet service reliability when selecting a home ISP (Figure 1.12). </w:t>
      </w:r>
      <w:r>
        <w:rPr>
          <w:rFonts w:cs="Arial"/>
        </w:rPr>
        <w:t>I</w:t>
      </w:r>
      <w:r w:rsidRPr="00E141F1">
        <w:rPr>
          <w:rFonts w:cs="Arial"/>
        </w:rPr>
        <w:t xml:space="preserve">nternet users </w:t>
      </w:r>
      <w:r>
        <w:rPr>
          <w:rFonts w:cs="Arial"/>
        </w:rPr>
        <w:t xml:space="preserve">identified </w:t>
      </w:r>
      <w:r w:rsidRPr="00E141F1">
        <w:rPr>
          <w:rFonts w:cs="Arial"/>
        </w:rPr>
        <w:t xml:space="preserve">internet service reliability (43 per cent) as more important that service costs (31 per cent). </w:t>
      </w:r>
    </w:p>
    <w:p w:rsidR="001E6FB8" w:rsidRPr="00E141F1" w:rsidRDefault="001E6FB8" w:rsidP="001E6FB8">
      <w:pPr>
        <w:spacing w:line="240" w:lineRule="auto"/>
        <w:rPr>
          <w:rFonts w:cs="Arial"/>
        </w:rPr>
      </w:pPr>
    </w:p>
    <w:tbl>
      <w:tblPr>
        <w:tblW w:w="9990" w:type="dxa"/>
        <w:tblLayout w:type="fixed"/>
        <w:tblCellMar>
          <w:left w:w="0" w:type="dxa"/>
          <w:right w:w="0" w:type="dxa"/>
        </w:tblCellMar>
        <w:tblLook w:val="01E0"/>
      </w:tblPr>
      <w:tblGrid>
        <w:gridCol w:w="9990"/>
      </w:tblGrid>
      <w:tr w:rsidR="001E6FB8" w:rsidRPr="00E141F1" w:rsidTr="001E6FB8">
        <w:trPr>
          <w:trHeight w:val="573"/>
        </w:trPr>
        <w:tc>
          <w:tcPr>
            <w:tcW w:w="9990" w:type="dxa"/>
            <w:tcBorders>
              <w:top w:val="single" w:sz="2" w:space="0" w:color="505050"/>
            </w:tcBorders>
            <w:shd w:val="clear" w:color="auto" w:fill="auto"/>
            <w:vAlign w:val="center"/>
          </w:tcPr>
          <w:p w:rsidR="001E6FB8" w:rsidRPr="00E141F1" w:rsidRDefault="001E6FB8" w:rsidP="001E6FB8">
            <w:pPr>
              <w:pStyle w:val="Caption"/>
              <w:keepNext/>
              <w:keepLines/>
              <w:tabs>
                <w:tab w:val="left" w:pos="7513"/>
              </w:tab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12</w:t>
            </w:r>
            <w:r w:rsidR="00421002" w:rsidRPr="00E141F1">
              <w:rPr>
                <w:rFonts w:cs="Arial"/>
              </w:rPr>
              <w:fldChar w:fldCharType="end"/>
            </w:r>
            <w:r w:rsidRPr="00E141F1">
              <w:rPr>
                <w:rFonts w:cs="Arial"/>
              </w:rPr>
              <w:t xml:space="preserve"> Most important factor in selecting an ISP, May 2013</w:t>
            </w:r>
          </w:p>
        </w:tc>
      </w:tr>
      <w:tr w:rsidR="001E6FB8" w:rsidRPr="00E141F1" w:rsidTr="001E6FB8">
        <w:trPr>
          <w:trHeight w:val="4670"/>
        </w:trPr>
        <w:tc>
          <w:tcPr>
            <w:tcW w:w="9990" w:type="dxa"/>
            <w:shd w:val="clear" w:color="auto" w:fill="auto"/>
            <w:tcMar>
              <w:left w:w="28" w:type="dxa"/>
            </w:tcMar>
          </w:tcPr>
          <w:p w:rsidR="001E6FB8" w:rsidRPr="00E141F1" w:rsidRDefault="001E6FB8" w:rsidP="001E6FB8">
            <w:pPr>
              <w:keepNext/>
              <w:keepLines/>
              <w:tabs>
                <w:tab w:val="left" w:pos="7513"/>
              </w:tabs>
              <w:rPr>
                <w:rFonts w:cs="Arial"/>
                <w:color w:val="808285"/>
                <w:spacing w:val="-28"/>
                <w:sz w:val="53"/>
              </w:rPr>
            </w:pPr>
            <w:r w:rsidRPr="001D1CF5">
              <w:rPr>
                <w:rFonts w:cs="Arial"/>
                <w:noProof/>
                <w:color w:val="808285"/>
                <w:spacing w:val="-28"/>
                <w:sz w:val="53"/>
              </w:rPr>
              <w:drawing>
                <wp:inline distT="0" distB="0" distL="0" distR="0">
                  <wp:extent cx="5534026" cy="3619500"/>
                  <wp:effectExtent l="0" t="0" r="0" b="0"/>
                  <wp:docPr id="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1E6FB8" w:rsidRPr="00E141F1" w:rsidTr="001E6FB8">
        <w:trPr>
          <w:trHeight w:val="425"/>
        </w:trPr>
        <w:tc>
          <w:tcPr>
            <w:tcW w:w="9990" w:type="dxa"/>
            <w:tcBorders>
              <w:bottom w:val="single" w:sz="2" w:space="0" w:color="505050"/>
            </w:tcBorders>
            <w:shd w:val="clear" w:color="auto" w:fill="auto"/>
          </w:tcPr>
          <w:p w:rsidR="001E6FB8" w:rsidRPr="00E141F1" w:rsidRDefault="001E6FB8" w:rsidP="001E6FB8">
            <w:pPr>
              <w:keepNext/>
              <w:keepLines/>
              <w:tabs>
                <w:tab w:val="left" w:pos="7513"/>
              </w:tabs>
              <w:spacing w:line="240" w:lineRule="auto"/>
              <w:rPr>
                <w:rFonts w:cs="Arial"/>
                <w:bCs/>
                <w:i/>
                <w:color w:val="4D4D4F"/>
                <w:kern w:val="32"/>
                <w:sz w:val="16"/>
                <w:szCs w:val="16"/>
              </w:rPr>
            </w:pPr>
            <w:r w:rsidRPr="00E141F1">
              <w:rPr>
                <w:rFonts w:cs="Arial"/>
                <w:i/>
                <w:sz w:val="16"/>
                <w:szCs w:val="16"/>
              </w:rPr>
              <w:t xml:space="preserve">Note: Only one factor allowed. </w:t>
            </w:r>
          </w:p>
          <w:p w:rsidR="001E6FB8" w:rsidRPr="00E141F1" w:rsidRDefault="001E6FB8" w:rsidP="001E6FB8">
            <w:pPr>
              <w:keepNext/>
              <w:keepLines/>
              <w:tabs>
                <w:tab w:val="left" w:pos="7513"/>
              </w:tabs>
              <w:spacing w:after="60" w:line="240" w:lineRule="auto"/>
              <w:rPr>
                <w:rFonts w:cs="Arial"/>
                <w:bCs/>
                <w:color w:val="4D4D4F"/>
                <w:spacing w:val="-28"/>
                <w:kern w:val="32"/>
                <w:sz w:val="53"/>
                <w:szCs w:val="32"/>
              </w:rPr>
            </w:pPr>
            <w:r w:rsidRPr="00E141F1">
              <w:rPr>
                <w:rFonts w:cs="Arial"/>
                <w:i/>
                <w:sz w:val="16"/>
                <w:szCs w:val="16"/>
              </w:rPr>
              <w:t>Source: ACMA-commissioned survey.</w:t>
            </w:r>
          </w:p>
        </w:tc>
      </w:tr>
    </w:tbl>
    <w:p w:rsidR="001E6FB8" w:rsidRPr="00E141F1" w:rsidRDefault="001E6FB8" w:rsidP="001E6FB8">
      <w:pPr>
        <w:tabs>
          <w:tab w:val="left" w:pos="7513"/>
        </w:tabs>
        <w:spacing w:line="240" w:lineRule="auto"/>
        <w:rPr>
          <w:rFonts w:cs="Arial"/>
        </w:rPr>
      </w:pPr>
    </w:p>
    <w:p w:rsidR="001E6FB8" w:rsidRPr="00E141F1" w:rsidRDefault="001E6FB8" w:rsidP="001E6FB8">
      <w:pPr>
        <w:pStyle w:val="Bodysubheader"/>
        <w:rPr>
          <w:rFonts w:cs="Arial"/>
        </w:rPr>
      </w:pPr>
      <w:r w:rsidRPr="00E141F1">
        <w:rPr>
          <w:rFonts w:cs="Arial"/>
        </w:rPr>
        <w:t>Reasons for changing home ISP</w:t>
      </w:r>
    </w:p>
    <w:p w:rsidR="001E6FB8" w:rsidRPr="00E141F1" w:rsidRDefault="001E6FB8" w:rsidP="001E6FB8">
      <w:pPr>
        <w:spacing w:after="80" w:line="240" w:lineRule="auto"/>
        <w:rPr>
          <w:rFonts w:cs="Arial"/>
        </w:rPr>
      </w:pPr>
      <w:r w:rsidRPr="00E141F1">
        <w:rPr>
          <w:rFonts w:cs="Arial"/>
        </w:rPr>
        <w:t>Of the 1.2 million people estimated to have changed their home ISP in the 12 months to May 2013:</w:t>
      </w:r>
    </w:p>
    <w:p w:rsidR="001E6FB8" w:rsidRPr="001C242F" w:rsidRDefault="001E6FB8" w:rsidP="001E6FB8">
      <w:pPr>
        <w:pStyle w:val="ListBullet"/>
      </w:pPr>
      <w:r w:rsidRPr="00E141F1">
        <w:t xml:space="preserve">49 per cent did so </w:t>
      </w:r>
      <w:r w:rsidRPr="001C242F">
        <w:t>because they were offered a cheaper service by another ISP</w:t>
      </w:r>
    </w:p>
    <w:p w:rsidR="001E6FB8" w:rsidRPr="001C242F" w:rsidRDefault="001E6FB8" w:rsidP="001E6FB8">
      <w:pPr>
        <w:pStyle w:val="ListBullet"/>
      </w:pPr>
      <w:r w:rsidRPr="001C242F">
        <w:t>22 per cent wanted a faster internet service</w:t>
      </w:r>
    </w:p>
    <w:p w:rsidR="001E6FB8" w:rsidRPr="001C242F" w:rsidRDefault="001E6FB8" w:rsidP="001E6FB8">
      <w:pPr>
        <w:pStyle w:val="ListBullet"/>
      </w:pPr>
      <w:r w:rsidRPr="001C242F">
        <w:t>17 per cent were dissatisfied with the service from the previous ISP</w:t>
      </w:r>
    </w:p>
    <w:p w:rsidR="001E6FB8" w:rsidRPr="00E141F1" w:rsidRDefault="001E6FB8" w:rsidP="001E6FB8">
      <w:pPr>
        <w:pStyle w:val="ListBullet"/>
      </w:pPr>
      <w:r w:rsidRPr="001C242F">
        <w:t>12 per cent because their previous internet</w:t>
      </w:r>
      <w:r w:rsidRPr="00E141F1">
        <w:t xml:space="preserve"> service was not reliable </w:t>
      </w:r>
    </w:p>
    <w:p w:rsidR="001E6FB8" w:rsidRPr="00E141F1" w:rsidRDefault="001E6FB8" w:rsidP="001E6FB8">
      <w:pPr>
        <w:numPr>
          <w:ilvl w:val="0"/>
          <w:numId w:val="1"/>
        </w:numPr>
        <w:tabs>
          <w:tab w:val="left" w:pos="7513"/>
        </w:tabs>
        <w:spacing w:after="240" w:line="240" w:lineRule="auto"/>
        <w:rPr>
          <w:rFonts w:cs="Arial"/>
        </w:rPr>
      </w:pPr>
      <w:r w:rsidRPr="00E141F1">
        <w:rPr>
          <w:rFonts w:cs="Arial"/>
        </w:rPr>
        <w:t>10 per cent because of an offer of a bundled service with other communications services.</w:t>
      </w:r>
      <w:r w:rsidRPr="00E141F1">
        <w:rPr>
          <w:rStyle w:val="EndnoteReference"/>
          <w:rFonts w:cs="Arial"/>
        </w:rPr>
        <w:endnoteReference w:id="20"/>
      </w:r>
    </w:p>
    <w:p w:rsidR="001E6FB8" w:rsidRPr="00E141F1" w:rsidRDefault="001E6FB8" w:rsidP="001E6FB8">
      <w:pPr>
        <w:pStyle w:val="Heading3"/>
      </w:pPr>
      <w:bookmarkStart w:id="138" w:name="_Toc371588989"/>
      <w:bookmarkStart w:id="139" w:name="_Toc373149051"/>
      <w:r w:rsidRPr="00E141F1">
        <w:t>National Broadband Network</w:t>
      </w:r>
      <w:bookmarkEnd w:id="138"/>
      <w:bookmarkEnd w:id="139"/>
    </w:p>
    <w:p w:rsidR="001E6FB8" w:rsidRDefault="001E6FB8" w:rsidP="001E6FB8">
      <w:r w:rsidRPr="00E141F1">
        <w:t xml:space="preserve">The NBN is a wholesale network </w:t>
      </w:r>
      <w:r>
        <w:t xml:space="preserve">built and </w:t>
      </w:r>
      <w:r w:rsidRPr="00E141F1">
        <w:t xml:space="preserve">operated by </w:t>
      </w:r>
      <w:r>
        <w:t>NBN Co</w:t>
      </w:r>
      <w:r w:rsidRPr="00E141F1">
        <w:t>, delivering high-speed broadband across Australia via optical fibre, fixed-wireless or satellite technologies</w:t>
      </w:r>
      <w:r>
        <w:t xml:space="preserve"> in 2012–13</w:t>
      </w:r>
      <w:r w:rsidRPr="00E141F1">
        <w:t xml:space="preserve">. Table 1.5 provides an overview of premises passed/covered by the NBN and the number of premises with NBN services. </w:t>
      </w:r>
    </w:p>
    <w:p w:rsidR="001E6FB8" w:rsidRPr="00E141F1" w:rsidRDefault="001E6FB8" w:rsidP="001E6FB8"/>
    <w:p w:rsidR="001E6FB8" w:rsidRPr="00E141F1" w:rsidRDefault="001E6FB8" w:rsidP="001E6FB8">
      <w:pPr>
        <w:spacing w:after="80"/>
      </w:pPr>
      <w:r w:rsidRPr="00E141F1">
        <w:t>In relation to premises passed or covered at June 2013</w:t>
      </w:r>
      <w:r>
        <w:t>, NBN Co reported</w:t>
      </w:r>
      <w:r w:rsidRPr="00E141F1">
        <w:t>:</w:t>
      </w:r>
    </w:p>
    <w:p w:rsidR="001E6FB8" w:rsidRPr="00E141F1" w:rsidRDefault="001E6FB8" w:rsidP="001E6FB8">
      <w:pPr>
        <w:pStyle w:val="ListBullet"/>
        <w:spacing w:line="240" w:lineRule="auto"/>
        <w:rPr>
          <w:rFonts w:cs="Arial"/>
          <w:bCs/>
        </w:rPr>
      </w:pPr>
      <w:r w:rsidRPr="00E141F1">
        <w:rPr>
          <w:rFonts w:cs="Arial"/>
        </w:rPr>
        <w:t>207,543 premises were passed by the NBN fibre network, compared to 38,914 premises passed at June 2012</w:t>
      </w:r>
      <w:r>
        <w:rPr>
          <w:rStyle w:val="EndnoteReference"/>
          <w:rFonts w:cs="Arial"/>
        </w:rPr>
        <w:endnoteReference w:id="21"/>
      </w:r>
    </w:p>
    <w:p w:rsidR="001E6FB8" w:rsidRPr="00E141F1" w:rsidRDefault="001E6FB8" w:rsidP="001E6FB8">
      <w:pPr>
        <w:pStyle w:val="ListBullet"/>
        <w:spacing w:after="240"/>
        <w:rPr>
          <w:rFonts w:cs="Arial"/>
        </w:rPr>
      </w:pPr>
      <w:r w:rsidRPr="00E141F1">
        <w:rPr>
          <w:rFonts w:cs="Arial"/>
        </w:rPr>
        <w:t>277,256 pre</w:t>
      </w:r>
      <w:r>
        <w:rPr>
          <w:rFonts w:cs="Arial"/>
        </w:rPr>
        <w:t>mises were covered by NBN fixed-</w:t>
      </w:r>
      <w:r w:rsidRPr="00E141F1">
        <w:rPr>
          <w:rFonts w:cs="Arial"/>
        </w:rPr>
        <w:t>wireless or satellite networks, compared with 173,885 premises covered at June 2012.</w:t>
      </w:r>
    </w:p>
    <w:p w:rsidR="001E6FB8" w:rsidRPr="00E141F1" w:rsidRDefault="001E6FB8" w:rsidP="001E6FB8">
      <w:pPr>
        <w:rPr>
          <w:i/>
        </w:rPr>
      </w:pPr>
      <w:r w:rsidRPr="00E141F1">
        <w:t xml:space="preserve">At June 2013, 70,100 premises had activated NBN services compared to 13,536 premises at June 2012. </w:t>
      </w:r>
    </w:p>
    <w:p w:rsidR="001E6FB8" w:rsidRDefault="001E6FB8" w:rsidP="001E6FB8"/>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A74B5E" w:rsidRDefault="001E6FB8" w:rsidP="001E6FB8">
            <w:pPr>
              <w:pStyle w:val="Caption"/>
              <w:keepNext/>
            </w:pPr>
            <w:r>
              <w:t xml:space="preserve">Table </w:t>
            </w:r>
            <w:r w:rsidRPr="00E141F1">
              <w:rPr>
                <w:rFonts w:cs="Arial"/>
              </w:rPr>
              <w:t>1.</w:t>
            </w:r>
            <w:r w:rsidR="00421002" w:rsidRPr="00E141F1">
              <w:rPr>
                <w:rFonts w:cs="Arial"/>
              </w:rPr>
              <w:fldChar w:fldCharType="begin"/>
            </w:r>
            <w:r w:rsidRPr="00E141F1">
              <w:rPr>
                <w:rFonts w:cs="Arial"/>
              </w:rPr>
              <w:instrText xml:space="preserve"> SEQ Table \* ARABIC </w:instrText>
            </w:r>
            <w:r w:rsidR="00421002" w:rsidRPr="00E141F1">
              <w:rPr>
                <w:rFonts w:cs="Arial"/>
              </w:rPr>
              <w:fldChar w:fldCharType="separate"/>
            </w:r>
            <w:r>
              <w:rPr>
                <w:rFonts w:cs="Arial"/>
                <w:noProof/>
              </w:rPr>
              <w:t>5</w:t>
            </w:r>
            <w:r w:rsidR="00421002" w:rsidRPr="00E141F1">
              <w:rPr>
                <w:rFonts w:cs="Arial"/>
              </w:rPr>
              <w:fldChar w:fldCharType="end"/>
            </w:r>
            <w:r w:rsidRPr="00E141F1">
              <w:rPr>
                <w:rFonts w:cs="Arial"/>
              </w:rPr>
              <w:t xml:space="preserve"> Total premises/lots passed/covered and premises activated</w:t>
            </w:r>
          </w:p>
        </w:tc>
      </w:tr>
      <w:tr w:rsidR="001E6FB8" w:rsidTr="001E6FB8">
        <w:trPr>
          <w:trHeight w:val="3086"/>
        </w:trPr>
        <w:tc>
          <w:tcPr>
            <w:tcW w:w="9645" w:type="dxa"/>
            <w:shd w:val="clear" w:color="auto" w:fill="auto"/>
            <w:tcMar>
              <w:left w:w="28" w:type="dxa"/>
            </w:tcMar>
          </w:tcPr>
          <w:tbl>
            <w:tblPr>
              <w:tblW w:w="9202" w:type="dxa"/>
              <w:tblBorders>
                <w:top w:val="single" w:sz="4" w:space="0" w:color="C8C8C8"/>
                <w:bottom w:val="single" w:sz="4" w:space="0" w:color="C8C8C8"/>
                <w:insideH w:val="single" w:sz="4" w:space="0" w:color="C8C8C8"/>
              </w:tblBorders>
              <w:tblLayout w:type="fixed"/>
              <w:tblCellMar>
                <w:top w:w="28" w:type="dxa"/>
                <w:left w:w="85" w:type="dxa"/>
                <w:bottom w:w="28" w:type="dxa"/>
                <w:right w:w="0" w:type="dxa"/>
              </w:tblCellMar>
              <w:tblLook w:val="01E0"/>
            </w:tblPr>
            <w:tblGrid>
              <w:gridCol w:w="5564"/>
              <w:gridCol w:w="1819"/>
              <w:gridCol w:w="1819"/>
            </w:tblGrid>
            <w:tr w:rsidR="001E6FB8" w:rsidRPr="00E141F1" w:rsidTr="001E6FB8">
              <w:trPr>
                <w:trHeight w:val="320"/>
              </w:trPr>
              <w:tc>
                <w:tcPr>
                  <w:tcW w:w="5564" w:type="dxa"/>
                  <w:shd w:val="clear" w:color="auto" w:fill="00709E"/>
                  <w:tcMar>
                    <w:top w:w="34" w:type="dxa"/>
                    <w:left w:w="113" w:type="dxa"/>
                  </w:tcMar>
                </w:tcPr>
                <w:p w:rsidR="001E6FB8" w:rsidRPr="00E141F1" w:rsidRDefault="001E6FB8" w:rsidP="001E6FB8">
                  <w:pPr>
                    <w:pStyle w:val="TableHeading"/>
                    <w:keepNext/>
                    <w:keepLines/>
                    <w:rPr>
                      <w:rFonts w:cs="Arial"/>
                      <w:b w:val="0"/>
                      <w:bCs/>
                      <w:color w:val="FFFFFF" w:themeColor="background1"/>
                      <w:kern w:val="32"/>
                      <w:sz w:val="18"/>
                      <w:szCs w:val="18"/>
                    </w:rPr>
                  </w:pPr>
                </w:p>
              </w:tc>
              <w:tc>
                <w:tcPr>
                  <w:tcW w:w="1819" w:type="dxa"/>
                  <w:shd w:val="clear" w:color="auto" w:fill="00709E"/>
                  <w:tcMar>
                    <w:left w:w="113" w:type="dxa"/>
                  </w:tcMar>
                </w:tcPr>
                <w:p w:rsidR="001E6FB8" w:rsidRPr="00E141F1" w:rsidRDefault="001E6FB8" w:rsidP="001E6FB8">
                  <w:pPr>
                    <w:pStyle w:val="TableHeading"/>
                    <w:keepNext/>
                    <w:keepLines/>
                    <w:jc w:val="right"/>
                    <w:rPr>
                      <w:rFonts w:cs="Arial"/>
                      <w:color w:val="FFFFFF" w:themeColor="background1"/>
                      <w:sz w:val="18"/>
                      <w:szCs w:val="18"/>
                    </w:rPr>
                  </w:pPr>
                  <w:r w:rsidRPr="00E141F1">
                    <w:rPr>
                      <w:rFonts w:cs="Arial"/>
                      <w:color w:val="FFFFFF" w:themeColor="background1"/>
                      <w:sz w:val="18"/>
                      <w:szCs w:val="18"/>
                    </w:rPr>
                    <w:t>at Jun-12</w:t>
                  </w:r>
                </w:p>
                <w:p w:rsidR="001E6FB8" w:rsidRPr="00E141F1" w:rsidRDefault="001E6FB8" w:rsidP="001E6FB8">
                  <w:pPr>
                    <w:pStyle w:val="TableHeading"/>
                    <w:keepNext/>
                    <w:keepLines/>
                    <w:jc w:val="right"/>
                    <w:rPr>
                      <w:rFonts w:cs="Arial"/>
                      <w:color w:val="FFFFFF" w:themeColor="background1"/>
                      <w:sz w:val="18"/>
                      <w:szCs w:val="18"/>
                    </w:rPr>
                  </w:pPr>
                </w:p>
              </w:tc>
              <w:tc>
                <w:tcPr>
                  <w:tcW w:w="1819" w:type="dxa"/>
                  <w:shd w:val="clear" w:color="auto" w:fill="00709E"/>
                </w:tcPr>
                <w:p w:rsidR="001E6FB8" w:rsidRPr="00E141F1" w:rsidRDefault="001E6FB8" w:rsidP="001E6FB8">
                  <w:pPr>
                    <w:pStyle w:val="TableHeading"/>
                    <w:keepNext/>
                    <w:keepLines/>
                    <w:jc w:val="right"/>
                    <w:rPr>
                      <w:rFonts w:cs="Arial"/>
                      <w:color w:val="FFFFFF" w:themeColor="background1"/>
                      <w:sz w:val="18"/>
                      <w:szCs w:val="18"/>
                    </w:rPr>
                  </w:pPr>
                  <w:r w:rsidRPr="00E141F1">
                    <w:rPr>
                      <w:rFonts w:cs="Arial"/>
                      <w:color w:val="FFFFFF" w:themeColor="background1"/>
                      <w:sz w:val="18"/>
                      <w:szCs w:val="18"/>
                    </w:rPr>
                    <w:t>at Jun-13</w:t>
                  </w: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rPr>
                      <w:rFonts w:cs="Arial"/>
                      <w:b/>
                      <w:sz w:val="18"/>
                      <w:szCs w:val="18"/>
                    </w:rPr>
                  </w:pPr>
                  <w:r w:rsidRPr="00E141F1">
                    <w:rPr>
                      <w:rFonts w:cs="Arial"/>
                      <w:b/>
                      <w:sz w:val="18"/>
                      <w:szCs w:val="18"/>
                    </w:rPr>
                    <w:t>Premises passed/covered</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p>
              </w:tc>
              <w:tc>
                <w:tcPr>
                  <w:tcW w:w="1819" w:type="dxa"/>
                  <w:vAlign w:val="center"/>
                </w:tcPr>
                <w:p w:rsidR="001E6FB8" w:rsidRPr="00E141F1" w:rsidRDefault="001E6FB8" w:rsidP="001E6FB8">
                  <w:pPr>
                    <w:keepNext/>
                    <w:keepLines/>
                    <w:jc w:val="right"/>
                    <w:rPr>
                      <w:rFonts w:cs="Arial"/>
                      <w:sz w:val="18"/>
                      <w:szCs w:val="18"/>
                    </w:rPr>
                  </w:pP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ind w:left="720"/>
                    <w:rPr>
                      <w:rFonts w:cs="Arial"/>
                      <w:sz w:val="18"/>
                      <w:szCs w:val="18"/>
                    </w:rPr>
                  </w:pPr>
                  <w:r w:rsidRPr="00E141F1">
                    <w:rPr>
                      <w:rFonts w:cs="Arial"/>
                      <w:sz w:val="18"/>
                      <w:szCs w:val="18"/>
                    </w:rPr>
                    <w:t xml:space="preserve">Fibre </w:t>
                  </w:r>
                  <w:proofErr w:type="spellStart"/>
                  <w:r w:rsidRPr="00E141F1">
                    <w:rPr>
                      <w:rFonts w:cs="Arial"/>
                      <w:sz w:val="18"/>
                      <w:szCs w:val="18"/>
                    </w:rPr>
                    <w:t>brownfields</w:t>
                  </w:r>
                  <w:proofErr w:type="spellEnd"/>
                  <w:r w:rsidRPr="00E141F1">
                    <w:rPr>
                      <w:rFonts w:cs="Arial"/>
                      <w:sz w:val="18"/>
                      <w:szCs w:val="18"/>
                    </w:rPr>
                    <w:t xml:space="preserve"> premises</w:t>
                  </w:r>
                  <w:r>
                    <w:rPr>
                      <w:rFonts w:cs="Arial"/>
                      <w:sz w:val="18"/>
                      <w:szCs w:val="18"/>
                    </w:rPr>
                    <w:t>*</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28,860</w:t>
                  </w:r>
                </w:p>
              </w:tc>
              <w:tc>
                <w:tcPr>
                  <w:tcW w:w="1819" w:type="dxa"/>
                  <w:vAlign w:val="center"/>
                </w:tcPr>
                <w:p w:rsidR="001E6FB8" w:rsidRPr="00E141F1" w:rsidRDefault="001E6FB8" w:rsidP="001E6FB8">
                  <w:pPr>
                    <w:keepNext/>
                    <w:keepLines/>
                    <w:jc w:val="right"/>
                    <w:rPr>
                      <w:rFonts w:cs="Arial"/>
                      <w:sz w:val="18"/>
                      <w:szCs w:val="18"/>
                    </w:rPr>
                  </w:pPr>
                  <w:r w:rsidRPr="00E141F1">
                    <w:rPr>
                      <w:rFonts w:cs="Arial"/>
                      <w:sz w:val="18"/>
                      <w:szCs w:val="18"/>
                    </w:rPr>
                    <w:t>163,515</w:t>
                  </w: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ind w:left="720"/>
                    <w:rPr>
                      <w:rFonts w:cs="Arial"/>
                      <w:sz w:val="18"/>
                      <w:szCs w:val="18"/>
                    </w:rPr>
                  </w:pPr>
                  <w:r w:rsidRPr="00E141F1">
                    <w:rPr>
                      <w:rFonts w:cs="Arial"/>
                      <w:sz w:val="18"/>
                      <w:szCs w:val="18"/>
                    </w:rPr>
                    <w:t xml:space="preserve">Fibre </w:t>
                  </w:r>
                  <w:proofErr w:type="spellStart"/>
                  <w:r w:rsidRPr="00E141F1">
                    <w:rPr>
                      <w:rFonts w:cs="Arial"/>
                      <w:sz w:val="18"/>
                      <w:szCs w:val="18"/>
                    </w:rPr>
                    <w:t>greenfields</w:t>
                  </w:r>
                  <w:proofErr w:type="spellEnd"/>
                  <w:r w:rsidRPr="00E141F1">
                    <w:rPr>
                      <w:rFonts w:cs="Arial"/>
                      <w:sz w:val="18"/>
                      <w:szCs w:val="18"/>
                    </w:rPr>
                    <w:t xml:space="preserve"> lots or premises</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10,054</w:t>
                  </w:r>
                </w:p>
              </w:tc>
              <w:tc>
                <w:tcPr>
                  <w:tcW w:w="1819" w:type="dxa"/>
                  <w:vAlign w:val="center"/>
                </w:tcPr>
                <w:p w:rsidR="001E6FB8" w:rsidRPr="00E141F1" w:rsidRDefault="001E6FB8" w:rsidP="001E6FB8">
                  <w:pPr>
                    <w:keepNext/>
                    <w:keepLines/>
                    <w:jc w:val="right"/>
                    <w:rPr>
                      <w:rFonts w:cs="Arial"/>
                      <w:sz w:val="18"/>
                      <w:szCs w:val="18"/>
                    </w:rPr>
                  </w:pPr>
                  <w:r w:rsidRPr="00E141F1">
                    <w:rPr>
                      <w:rFonts w:cs="Arial"/>
                      <w:sz w:val="18"/>
                      <w:szCs w:val="18"/>
                    </w:rPr>
                    <w:t>44,028</w:t>
                  </w: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ind w:left="720"/>
                    <w:rPr>
                      <w:rFonts w:cs="Arial"/>
                      <w:sz w:val="18"/>
                      <w:szCs w:val="18"/>
                    </w:rPr>
                  </w:pPr>
                  <w:r w:rsidRPr="00E141F1">
                    <w:rPr>
                      <w:rFonts w:cs="Arial"/>
                      <w:sz w:val="18"/>
                      <w:szCs w:val="18"/>
                    </w:rPr>
                    <w:t>Fixed wireless &amp; satellite premises</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173,885</w:t>
                  </w:r>
                </w:p>
              </w:tc>
              <w:tc>
                <w:tcPr>
                  <w:tcW w:w="1819" w:type="dxa"/>
                  <w:vAlign w:val="center"/>
                </w:tcPr>
                <w:p w:rsidR="001E6FB8" w:rsidRPr="00E141F1" w:rsidRDefault="001E6FB8" w:rsidP="001E6FB8">
                  <w:pPr>
                    <w:keepNext/>
                    <w:keepLines/>
                    <w:jc w:val="right"/>
                    <w:rPr>
                      <w:rFonts w:cs="Arial"/>
                      <w:sz w:val="18"/>
                      <w:szCs w:val="18"/>
                    </w:rPr>
                  </w:pPr>
                  <w:r w:rsidRPr="00E141F1">
                    <w:rPr>
                      <w:rFonts w:cs="Arial"/>
                      <w:sz w:val="18"/>
                      <w:szCs w:val="18"/>
                    </w:rPr>
                    <w:t>277,256</w:t>
                  </w: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rPr>
                      <w:rFonts w:cs="Arial"/>
                      <w:b/>
                      <w:sz w:val="18"/>
                      <w:szCs w:val="18"/>
                    </w:rPr>
                  </w:pPr>
                  <w:r w:rsidRPr="00E141F1">
                    <w:rPr>
                      <w:rFonts w:cs="Arial"/>
                      <w:b/>
                      <w:sz w:val="18"/>
                      <w:szCs w:val="18"/>
                    </w:rPr>
                    <w:tab/>
                    <w:t>Total</w:t>
                  </w:r>
                </w:p>
              </w:tc>
              <w:tc>
                <w:tcPr>
                  <w:tcW w:w="1819" w:type="dxa"/>
                  <w:shd w:val="clear" w:color="auto" w:fill="auto"/>
                  <w:tcMar>
                    <w:left w:w="113" w:type="dxa"/>
                  </w:tcMar>
                  <w:vAlign w:val="center"/>
                </w:tcPr>
                <w:p w:rsidR="001E6FB8" w:rsidRPr="00E141F1" w:rsidRDefault="001E6FB8" w:rsidP="001E6FB8">
                  <w:pPr>
                    <w:keepNext/>
                    <w:keepLines/>
                    <w:jc w:val="right"/>
                    <w:rPr>
                      <w:rFonts w:cs="Arial"/>
                      <w:b/>
                      <w:sz w:val="18"/>
                      <w:szCs w:val="18"/>
                    </w:rPr>
                  </w:pPr>
                  <w:r w:rsidRPr="00E141F1">
                    <w:rPr>
                      <w:rFonts w:cs="Arial"/>
                      <w:b/>
                      <w:sz w:val="18"/>
                      <w:szCs w:val="18"/>
                    </w:rPr>
                    <w:t>212,799</w:t>
                  </w:r>
                </w:p>
              </w:tc>
              <w:tc>
                <w:tcPr>
                  <w:tcW w:w="1819" w:type="dxa"/>
                  <w:vAlign w:val="center"/>
                </w:tcPr>
                <w:p w:rsidR="001E6FB8" w:rsidRPr="00E141F1" w:rsidRDefault="001E6FB8" w:rsidP="001E6FB8">
                  <w:pPr>
                    <w:keepNext/>
                    <w:keepLines/>
                    <w:jc w:val="right"/>
                    <w:rPr>
                      <w:rFonts w:cs="Arial"/>
                      <w:b/>
                      <w:sz w:val="18"/>
                      <w:szCs w:val="18"/>
                    </w:rPr>
                  </w:pPr>
                  <w:r w:rsidRPr="00E141F1">
                    <w:rPr>
                      <w:rFonts w:cs="Arial"/>
                      <w:b/>
                      <w:sz w:val="18"/>
                      <w:szCs w:val="18"/>
                    </w:rPr>
                    <w:t>484,799</w:t>
                  </w: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rPr>
                      <w:rFonts w:cs="Arial"/>
                      <w:b/>
                      <w:sz w:val="18"/>
                      <w:szCs w:val="18"/>
                    </w:rPr>
                  </w:pPr>
                  <w:r w:rsidRPr="00E141F1">
                    <w:rPr>
                      <w:rFonts w:cs="Arial"/>
                      <w:b/>
                      <w:sz w:val="18"/>
                      <w:szCs w:val="18"/>
                    </w:rPr>
                    <w:t>Premises activated</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p>
              </w:tc>
              <w:tc>
                <w:tcPr>
                  <w:tcW w:w="1819" w:type="dxa"/>
                  <w:vAlign w:val="center"/>
                </w:tcPr>
                <w:p w:rsidR="001E6FB8" w:rsidRPr="00E141F1" w:rsidRDefault="001E6FB8" w:rsidP="001E6FB8">
                  <w:pPr>
                    <w:keepNext/>
                    <w:keepLines/>
                    <w:rPr>
                      <w:rFonts w:cs="Arial"/>
                      <w:sz w:val="18"/>
                      <w:szCs w:val="18"/>
                    </w:rPr>
                  </w:pP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ind w:left="720"/>
                    <w:rPr>
                      <w:rFonts w:cs="Arial"/>
                      <w:sz w:val="18"/>
                      <w:szCs w:val="18"/>
                    </w:rPr>
                  </w:pPr>
                  <w:r w:rsidRPr="00E141F1">
                    <w:rPr>
                      <w:rFonts w:cs="Arial"/>
                      <w:sz w:val="18"/>
                      <w:szCs w:val="18"/>
                    </w:rPr>
                    <w:t xml:space="preserve">Fibre </w:t>
                  </w:r>
                  <w:proofErr w:type="spellStart"/>
                  <w:r w:rsidRPr="00E141F1">
                    <w:rPr>
                      <w:rFonts w:cs="Arial"/>
                      <w:sz w:val="18"/>
                      <w:szCs w:val="18"/>
                    </w:rPr>
                    <w:t>brownfields</w:t>
                  </w:r>
                  <w:proofErr w:type="spellEnd"/>
                  <w:r w:rsidRPr="00E141F1">
                    <w:rPr>
                      <w:rFonts w:cs="Arial"/>
                      <w:sz w:val="18"/>
                      <w:szCs w:val="18"/>
                    </w:rPr>
                    <w:t xml:space="preserve"> premises</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3,364</w:t>
                  </w:r>
                </w:p>
              </w:tc>
              <w:tc>
                <w:tcPr>
                  <w:tcW w:w="1819" w:type="dxa"/>
                  <w:vAlign w:val="center"/>
                </w:tcPr>
                <w:p w:rsidR="001E6FB8" w:rsidRPr="00E141F1" w:rsidRDefault="001E6FB8" w:rsidP="001E6FB8">
                  <w:pPr>
                    <w:keepNext/>
                    <w:keepLines/>
                    <w:jc w:val="right"/>
                    <w:rPr>
                      <w:rFonts w:cs="Arial"/>
                      <w:sz w:val="18"/>
                      <w:szCs w:val="18"/>
                    </w:rPr>
                  </w:pPr>
                  <w:r w:rsidRPr="00E141F1">
                    <w:rPr>
                      <w:rFonts w:cs="Arial"/>
                      <w:sz w:val="18"/>
                      <w:szCs w:val="18"/>
                    </w:rPr>
                    <w:t>20,441</w:t>
                  </w: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ind w:left="720"/>
                    <w:rPr>
                      <w:rFonts w:cs="Arial"/>
                      <w:sz w:val="18"/>
                      <w:szCs w:val="18"/>
                    </w:rPr>
                  </w:pPr>
                  <w:r w:rsidRPr="00E141F1">
                    <w:rPr>
                      <w:rFonts w:cs="Arial"/>
                      <w:sz w:val="18"/>
                      <w:szCs w:val="18"/>
                    </w:rPr>
                    <w:t xml:space="preserve">Fibre </w:t>
                  </w:r>
                  <w:proofErr w:type="spellStart"/>
                  <w:r w:rsidRPr="00E141F1">
                    <w:rPr>
                      <w:rFonts w:cs="Arial"/>
                      <w:sz w:val="18"/>
                      <w:szCs w:val="18"/>
                    </w:rPr>
                    <w:t>greenfields</w:t>
                  </w:r>
                  <w:proofErr w:type="spellEnd"/>
                  <w:r w:rsidRPr="00E141F1">
                    <w:rPr>
                      <w:rFonts w:cs="Arial"/>
                      <w:sz w:val="18"/>
                      <w:szCs w:val="18"/>
                    </w:rPr>
                    <w:t xml:space="preserve"> lots or premises</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503</w:t>
                  </w:r>
                </w:p>
              </w:tc>
              <w:tc>
                <w:tcPr>
                  <w:tcW w:w="1819" w:type="dxa"/>
                  <w:vAlign w:val="center"/>
                </w:tcPr>
                <w:p w:rsidR="001E6FB8" w:rsidRPr="00E141F1" w:rsidRDefault="001E6FB8" w:rsidP="001E6FB8">
                  <w:pPr>
                    <w:keepNext/>
                    <w:keepLines/>
                    <w:jc w:val="right"/>
                    <w:rPr>
                      <w:rFonts w:cs="Arial"/>
                      <w:sz w:val="18"/>
                      <w:szCs w:val="18"/>
                    </w:rPr>
                  </w:pPr>
                  <w:r w:rsidRPr="00E141F1">
                    <w:rPr>
                      <w:rFonts w:cs="Arial"/>
                      <w:sz w:val="18"/>
                      <w:szCs w:val="18"/>
                    </w:rPr>
                    <w:t>13,145</w:t>
                  </w: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ind w:left="720"/>
                    <w:rPr>
                      <w:rFonts w:cs="Arial"/>
                      <w:sz w:val="18"/>
                      <w:szCs w:val="18"/>
                    </w:rPr>
                  </w:pPr>
                  <w:r w:rsidRPr="00E141F1">
                    <w:rPr>
                      <w:rFonts w:cs="Arial"/>
                      <w:sz w:val="18"/>
                      <w:szCs w:val="18"/>
                    </w:rPr>
                    <w:t>Fixed wireless &amp; satellite premises</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9,669</w:t>
                  </w:r>
                </w:p>
              </w:tc>
              <w:tc>
                <w:tcPr>
                  <w:tcW w:w="1819" w:type="dxa"/>
                  <w:vAlign w:val="center"/>
                </w:tcPr>
                <w:p w:rsidR="001E6FB8" w:rsidRPr="00E141F1" w:rsidRDefault="001E6FB8" w:rsidP="001E6FB8">
                  <w:pPr>
                    <w:keepNext/>
                    <w:keepLines/>
                    <w:jc w:val="right"/>
                    <w:rPr>
                      <w:rFonts w:cs="Arial"/>
                      <w:sz w:val="18"/>
                      <w:szCs w:val="18"/>
                    </w:rPr>
                  </w:pPr>
                  <w:r w:rsidRPr="00E141F1">
                    <w:rPr>
                      <w:rFonts w:cs="Arial"/>
                      <w:sz w:val="18"/>
                      <w:szCs w:val="18"/>
                    </w:rPr>
                    <w:t>36,514</w:t>
                  </w: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ind w:left="720"/>
                    <w:rPr>
                      <w:rFonts w:cs="Arial"/>
                      <w:b/>
                      <w:sz w:val="18"/>
                      <w:szCs w:val="18"/>
                    </w:rPr>
                  </w:pPr>
                  <w:r w:rsidRPr="00E141F1">
                    <w:rPr>
                      <w:rFonts w:cs="Arial"/>
                      <w:b/>
                      <w:sz w:val="18"/>
                      <w:szCs w:val="18"/>
                    </w:rPr>
                    <w:t>Total</w:t>
                  </w:r>
                </w:p>
              </w:tc>
              <w:tc>
                <w:tcPr>
                  <w:tcW w:w="1819" w:type="dxa"/>
                  <w:shd w:val="clear" w:color="auto" w:fill="auto"/>
                  <w:tcMar>
                    <w:left w:w="113" w:type="dxa"/>
                  </w:tcMar>
                  <w:vAlign w:val="center"/>
                </w:tcPr>
                <w:p w:rsidR="001E6FB8" w:rsidRPr="00E141F1" w:rsidRDefault="001E6FB8" w:rsidP="001E6FB8">
                  <w:pPr>
                    <w:keepNext/>
                    <w:keepLines/>
                    <w:jc w:val="right"/>
                    <w:rPr>
                      <w:rFonts w:cs="Arial"/>
                      <w:b/>
                      <w:sz w:val="18"/>
                      <w:szCs w:val="18"/>
                    </w:rPr>
                  </w:pPr>
                  <w:r w:rsidRPr="00E141F1">
                    <w:rPr>
                      <w:rFonts w:cs="Arial"/>
                      <w:b/>
                      <w:sz w:val="18"/>
                      <w:szCs w:val="18"/>
                    </w:rPr>
                    <w:t>13,536</w:t>
                  </w:r>
                </w:p>
              </w:tc>
              <w:tc>
                <w:tcPr>
                  <w:tcW w:w="1819" w:type="dxa"/>
                  <w:vAlign w:val="center"/>
                </w:tcPr>
                <w:p w:rsidR="001E6FB8" w:rsidRPr="00E141F1" w:rsidRDefault="001E6FB8" w:rsidP="001E6FB8">
                  <w:pPr>
                    <w:keepNext/>
                    <w:keepLines/>
                    <w:jc w:val="right"/>
                    <w:rPr>
                      <w:rFonts w:cs="Arial"/>
                      <w:b/>
                      <w:sz w:val="18"/>
                      <w:szCs w:val="18"/>
                    </w:rPr>
                  </w:pPr>
                  <w:r w:rsidRPr="00E141F1">
                    <w:rPr>
                      <w:rFonts w:cs="Arial"/>
                      <w:b/>
                      <w:sz w:val="18"/>
                      <w:szCs w:val="18"/>
                    </w:rPr>
                    <w:t>70,100</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120" w:line="240" w:lineRule="auto"/>
              <w:rPr>
                <w:rFonts w:cs="Arial"/>
                <w:i/>
                <w:sz w:val="16"/>
                <w:szCs w:val="16"/>
              </w:rPr>
            </w:pPr>
            <w:r>
              <w:rPr>
                <w:rFonts w:cs="Arial"/>
                <w:i/>
                <w:sz w:val="16"/>
                <w:szCs w:val="16"/>
              </w:rPr>
              <w:t>*Includes Service Class 0 premises which were in the footprint of the NBN Fibre Network but not currently NBN serviceable for the purposes of the NBN Co fibre access service as at 30 June 2013.</w:t>
            </w:r>
            <w:r>
              <w:rPr>
                <w:rStyle w:val="EndnoteReference"/>
                <w:rFonts w:cs="Arial"/>
                <w:i/>
                <w:sz w:val="16"/>
                <w:szCs w:val="16"/>
              </w:rPr>
              <w:endnoteReference w:id="22"/>
            </w:r>
          </w:p>
          <w:p w:rsidR="001E6FB8" w:rsidRPr="00C00A15" w:rsidRDefault="001E6FB8" w:rsidP="001E6FB8">
            <w:pPr>
              <w:spacing w:after="60" w:line="240" w:lineRule="auto"/>
              <w:rPr>
                <w:rFonts w:cs="Arial"/>
                <w:i/>
                <w:sz w:val="16"/>
                <w:szCs w:val="16"/>
              </w:rPr>
            </w:pPr>
            <w:r w:rsidRPr="00E141F1">
              <w:rPr>
                <w:rFonts w:cs="Arial"/>
                <w:i/>
                <w:sz w:val="16"/>
                <w:szCs w:val="16"/>
              </w:rPr>
              <w:t>Source: NBN Co</w:t>
            </w:r>
            <w:r>
              <w:rPr>
                <w:rFonts w:cs="Arial"/>
                <w:i/>
                <w:sz w:val="16"/>
                <w:szCs w:val="16"/>
              </w:rPr>
              <w:t>.</w:t>
            </w:r>
          </w:p>
        </w:tc>
      </w:tr>
    </w:tbl>
    <w:p w:rsidR="001E6FB8" w:rsidRPr="00E141F1" w:rsidRDefault="001E6FB8" w:rsidP="001E6FB8">
      <w:pPr>
        <w:spacing w:line="240" w:lineRule="auto"/>
        <w:rPr>
          <w:rFonts w:cs="Arial"/>
          <w:bCs/>
        </w:rPr>
      </w:pPr>
    </w:p>
    <w:p w:rsidR="001E6FB8" w:rsidRPr="00E141F1" w:rsidRDefault="001E6FB8" w:rsidP="001E6FB8">
      <w:pPr>
        <w:pStyle w:val="Bodysubheader"/>
        <w:rPr>
          <w:rFonts w:cs="Arial"/>
        </w:rPr>
      </w:pPr>
      <w:r w:rsidRPr="00E141F1">
        <w:rPr>
          <w:rFonts w:cs="Arial"/>
        </w:rPr>
        <w:t>NBN services in operation</w:t>
      </w:r>
    </w:p>
    <w:p w:rsidR="001E6FB8" w:rsidRPr="00E141F1" w:rsidRDefault="001E6FB8" w:rsidP="001E6FB8">
      <w:pPr>
        <w:spacing w:line="240" w:lineRule="auto"/>
        <w:rPr>
          <w:rFonts w:cs="Arial"/>
          <w:bCs/>
        </w:rPr>
      </w:pPr>
      <w:r>
        <w:rPr>
          <w:rFonts w:cs="Arial"/>
          <w:bCs/>
        </w:rPr>
        <w:t>On the basis of data provided to the ACMA by NBN Co, t</w:t>
      </w:r>
      <w:r w:rsidRPr="00E141F1">
        <w:rPr>
          <w:rFonts w:cs="Arial"/>
          <w:bCs/>
        </w:rPr>
        <w:t xml:space="preserve">here were 72,644 NBN services in operation at June 2013—36,096 fibre, 34,640 interim satellite and 1,908 wireless services (Figure 1.13). </w:t>
      </w:r>
    </w:p>
    <w:p w:rsidR="001E6FB8" w:rsidRPr="00E141F1" w:rsidRDefault="001E6FB8" w:rsidP="001E6FB8">
      <w:pPr>
        <w:spacing w:line="240" w:lineRule="auto"/>
        <w:rPr>
          <w:rFonts w:cs="Arial"/>
          <w:bCs/>
        </w:rPr>
      </w:pPr>
    </w:p>
    <w:p w:rsidR="001E6FB8" w:rsidRPr="00E141F1" w:rsidRDefault="001E6FB8" w:rsidP="001E6FB8">
      <w:pPr>
        <w:spacing w:line="240" w:lineRule="auto"/>
        <w:rPr>
          <w:rFonts w:cs="Arial"/>
          <w:bCs/>
        </w:rPr>
      </w:pPr>
      <w:r w:rsidRPr="00E141F1">
        <w:rPr>
          <w:rFonts w:cs="Arial"/>
          <w:bCs/>
        </w:rPr>
        <w:t>All satellite services in operation provided maximum speeds of 6 Mbps download and 1 Mbps upl</w:t>
      </w:r>
      <w:r>
        <w:rPr>
          <w:rFonts w:cs="Arial"/>
          <w:bCs/>
        </w:rPr>
        <w:t>oad, with the majority of fixed-</w:t>
      </w:r>
      <w:r w:rsidRPr="00E141F1">
        <w:rPr>
          <w:rFonts w:cs="Arial"/>
          <w:bCs/>
        </w:rPr>
        <w:t xml:space="preserve">wireless services in operation providing a maximum speed of 12 Mbps download and 1 Mbps upload. </w:t>
      </w:r>
    </w:p>
    <w:p w:rsidR="001E6FB8" w:rsidRPr="00E141F1" w:rsidRDefault="001E6FB8" w:rsidP="001E6FB8">
      <w:pPr>
        <w:spacing w:line="240" w:lineRule="auto"/>
        <w:rPr>
          <w:rFonts w:cs="Arial"/>
          <w:bCs/>
        </w:rPr>
      </w:pPr>
    </w:p>
    <w:p w:rsidR="001E6FB8" w:rsidRPr="00E141F1" w:rsidRDefault="001E6FB8" w:rsidP="001E6FB8">
      <w:pPr>
        <w:spacing w:after="80" w:line="240" w:lineRule="auto"/>
        <w:rPr>
          <w:rFonts w:cs="Arial"/>
        </w:rPr>
      </w:pPr>
      <w:r w:rsidRPr="00E141F1">
        <w:rPr>
          <w:rFonts w:cs="Arial"/>
        </w:rPr>
        <w:t>In terms of the distribution of 36,096 NBN fibre services in operation at June 2013 by maximum download/upload speeds:</w:t>
      </w:r>
    </w:p>
    <w:p w:rsidR="001E6FB8" w:rsidRPr="00E141F1" w:rsidRDefault="001E6FB8" w:rsidP="001E6FB8">
      <w:pPr>
        <w:pStyle w:val="ListBullet"/>
        <w:rPr>
          <w:rFonts w:cs="Arial"/>
        </w:rPr>
      </w:pPr>
      <w:r w:rsidRPr="00E141F1">
        <w:rPr>
          <w:rFonts w:cs="Arial"/>
        </w:rPr>
        <w:t xml:space="preserve">46 per cent (16,734) were services providing 12/1 Mbps </w:t>
      </w:r>
    </w:p>
    <w:p w:rsidR="001E6FB8" w:rsidRPr="00E141F1" w:rsidRDefault="001E6FB8" w:rsidP="001E6FB8">
      <w:pPr>
        <w:pStyle w:val="ListBullet"/>
        <w:rPr>
          <w:rFonts w:cs="Arial"/>
        </w:rPr>
      </w:pPr>
      <w:r w:rsidRPr="00E141F1">
        <w:rPr>
          <w:rFonts w:cs="Arial"/>
        </w:rPr>
        <w:t>23 per cent (8,303) were services providing 25/5 Mbps</w:t>
      </w:r>
    </w:p>
    <w:p w:rsidR="001E6FB8" w:rsidRPr="00E141F1" w:rsidRDefault="001E6FB8" w:rsidP="001E6FB8">
      <w:pPr>
        <w:pStyle w:val="ListBullet"/>
        <w:rPr>
          <w:rFonts w:cs="Arial"/>
        </w:rPr>
      </w:pPr>
      <w:r>
        <w:rPr>
          <w:rFonts w:cs="Arial"/>
        </w:rPr>
        <w:t>one</w:t>
      </w:r>
      <w:r w:rsidRPr="00E141F1">
        <w:rPr>
          <w:rFonts w:cs="Arial"/>
        </w:rPr>
        <w:t xml:space="preserve"> per cent (302) were services providing 25/10 Mbps</w:t>
      </w:r>
    </w:p>
    <w:p w:rsidR="001E6FB8" w:rsidRPr="00E141F1" w:rsidRDefault="001E6FB8" w:rsidP="001E6FB8">
      <w:pPr>
        <w:pStyle w:val="ListBullet"/>
        <w:rPr>
          <w:rFonts w:cs="Arial"/>
        </w:rPr>
      </w:pPr>
      <w:r>
        <w:rPr>
          <w:rFonts w:cs="Arial"/>
        </w:rPr>
        <w:t>five</w:t>
      </w:r>
      <w:r w:rsidRPr="00E141F1">
        <w:rPr>
          <w:rFonts w:cs="Arial"/>
        </w:rPr>
        <w:t xml:space="preserve"> per cent (1,778) were services providing 50/20 Mbps</w:t>
      </w:r>
    </w:p>
    <w:p w:rsidR="001E6FB8" w:rsidRPr="00E141F1" w:rsidRDefault="001E6FB8" w:rsidP="001E6FB8">
      <w:pPr>
        <w:pStyle w:val="ListBullet"/>
        <w:spacing w:after="240"/>
        <w:rPr>
          <w:rFonts w:cs="Arial"/>
        </w:rPr>
      </w:pPr>
      <w:r w:rsidRPr="00E141F1">
        <w:rPr>
          <w:rFonts w:cs="Arial"/>
        </w:rPr>
        <w:t>25 per cent (8,979) were services providing 100/40 Mbps.</w:t>
      </w:r>
    </w:p>
    <w:tbl>
      <w:tblPr>
        <w:tblW w:w="9960" w:type="dxa"/>
        <w:tblLayout w:type="fixed"/>
        <w:tblCellMar>
          <w:left w:w="0" w:type="dxa"/>
          <w:right w:w="0" w:type="dxa"/>
        </w:tblCellMar>
        <w:tblLook w:val="01E0"/>
      </w:tblPr>
      <w:tblGrid>
        <w:gridCol w:w="9960"/>
      </w:tblGrid>
      <w:tr w:rsidR="001E6FB8" w:rsidRPr="00E141F1" w:rsidTr="001E6FB8">
        <w:trPr>
          <w:trHeight w:val="715"/>
        </w:trPr>
        <w:tc>
          <w:tcPr>
            <w:tcW w:w="9960" w:type="dxa"/>
            <w:tcBorders>
              <w:top w:val="single" w:sz="2" w:space="0" w:color="505050"/>
            </w:tcBorders>
            <w:shd w:val="clear" w:color="auto" w:fill="auto"/>
            <w:vAlign w:val="center"/>
          </w:tcPr>
          <w:p w:rsidR="001E6FB8" w:rsidRPr="00E141F1" w:rsidRDefault="001E6FB8" w:rsidP="001E6FB8">
            <w:pPr>
              <w:pStyle w:val="Caption"/>
              <w:keepNext/>
              <w:keepLines/>
              <w:tabs>
                <w:tab w:val="left" w:pos="7513"/>
              </w:tab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13</w:t>
            </w:r>
            <w:r w:rsidR="00421002" w:rsidRPr="00E141F1">
              <w:rPr>
                <w:rFonts w:cs="Arial"/>
              </w:rPr>
              <w:fldChar w:fldCharType="end"/>
            </w:r>
            <w:r w:rsidRPr="00E141F1">
              <w:rPr>
                <w:rFonts w:cs="Arial"/>
              </w:rPr>
              <w:t xml:space="preserve"> NBN services activated by type and upload/download speed of service at June 2013</w:t>
            </w:r>
          </w:p>
        </w:tc>
      </w:tr>
      <w:tr w:rsidR="001E6FB8" w:rsidRPr="00E141F1" w:rsidTr="001E6FB8">
        <w:trPr>
          <w:trHeight w:val="3873"/>
        </w:trPr>
        <w:tc>
          <w:tcPr>
            <w:tcW w:w="9960" w:type="dxa"/>
            <w:shd w:val="clear" w:color="auto" w:fill="auto"/>
            <w:tcMar>
              <w:left w:w="28" w:type="dxa"/>
            </w:tcMar>
          </w:tcPr>
          <w:p w:rsidR="001E6FB8" w:rsidRPr="00E141F1" w:rsidRDefault="001E6FB8" w:rsidP="001E6FB8">
            <w:pPr>
              <w:keepNext/>
              <w:keepLines/>
              <w:tabs>
                <w:tab w:val="left" w:pos="7513"/>
              </w:tabs>
              <w:rPr>
                <w:rFonts w:cs="Arial"/>
              </w:rPr>
            </w:pPr>
            <w:r>
              <w:rPr>
                <w:noProof/>
              </w:rPr>
              <w:drawing>
                <wp:inline distT="0" distB="0" distL="0" distR="0">
                  <wp:extent cx="5755903" cy="2610037"/>
                  <wp:effectExtent l="19050" t="0" r="0" b="0"/>
                  <wp:docPr id="40" name="Picture 40" descr="C:\Users\bduhigg\AppData\Local\Microsoft\Windows\Temporary Internet Files\Content.Word\Figure 1.1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bduhigg\AppData\Local\Microsoft\Windows\Temporary Internet Files\Content.Word\Figure 1.13.emf"/>
                          <pic:cNvPicPr>
                            <a:picLocks noChangeAspect="1" noChangeArrowheads="1"/>
                          </pic:cNvPicPr>
                        </pic:nvPicPr>
                        <pic:blipFill>
                          <a:blip r:embed="rId47" cstate="print"/>
                          <a:srcRect l="14690" t="2885" r="13982" b="9135"/>
                          <a:stretch>
                            <a:fillRect/>
                          </a:stretch>
                        </pic:blipFill>
                        <pic:spPr bwMode="auto">
                          <a:xfrm>
                            <a:off x="0" y="0"/>
                            <a:ext cx="5755903" cy="2610037"/>
                          </a:xfrm>
                          <a:prstGeom prst="rect">
                            <a:avLst/>
                          </a:prstGeom>
                          <a:noFill/>
                          <a:ln w="9525">
                            <a:noFill/>
                            <a:miter lim="800000"/>
                            <a:headEnd/>
                            <a:tailEnd/>
                          </a:ln>
                        </pic:spPr>
                      </pic:pic>
                    </a:graphicData>
                  </a:graphic>
                </wp:inline>
              </w:drawing>
            </w:r>
          </w:p>
        </w:tc>
      </w:tr>
      <w:tr w:rsidR="001E6FB8" w:rsidRPr="00E141F1" w:rsidTr="001E6FB8">
        <w:trPr>
          <w:trHeight w:val="365"/>
        </w:trPr>
        <w:tc>
          <w:tcPr>
            <w:tcW w:w="9960" w:type="dxa"/>
            <w:tcBorders>
              <w:bottom w:val="single" w:sz="2" w:space="0" w:color="505050"/>
            </w:tcBorders>
            <w:shd w:val="clear" w:color="auto" w:fill="auto"/>
          </w:tcPr>
          <w:p w:rsidR="001E6FB8" w:rsidRDefault="001E6FB8" w:rsidP="001E6FB8">
            <w:pPr>
              <w:keepNext/>
              <w:keepLines/>
              <w:tabs>
                <w:tab w:val="left" w:pos="7513"/>
              </w:tabs>
              <w:spacing w:before="120" w:line="240" w:lineRule="auto"/>
              <w:rPr>
                <w:rFonts w:cs="Arial"/>
              </w:rPr>
            </w:pPr>
            <w:r>
              <w:rPr>
                <w:rFonts w:cs="Arial"/>
                <w:i/>
                <w:sz w:val="16"/>
                <w:szCs w:val="16"/>
              </w:rPr>
              <w:t>*Fixed-</w:t>
            </w:r>
            <w:r w:rsidRPr="00E141F1">
              <w:rPr>
                <w:rFonts w:cs="Arial"/>
                <w:i/>
                <w:sz w:val="16"/>
                <w:szCs w:val="16"/>
              </w:rPr>
              <w:t>wireless services only available in 12/1</w:t>
            </w:r>
            <w:r>
              <w:rPr>
                <w:rFonts w:cs="Arial"/>
                <w:i/>
                <w:sz w:val="16"/>
                <w:szCs w:val="16"/>
              </w:rPr>
              <w:t xml:space="preserve"> </w:t>
            </w:r>
            <w:r w:rsidRPr="00E141F1">
              <w:rPr>
                <w:rFonts w:cs="Arial"/>
                <w:i/>
                <w:sz w:val="16"/>
                <w:szCs w:val="16"/>
              </w:rPr>
              <w:t>Mbps and 25/5 Mbps.</w:t>
            </w:r>
            <w:r w:rsidRPr="00E141F1">
              <w:rPr>
                <w:rFonts w:cs="Arial"/>
              </w:rPr>
              <w:t xml:space="preserve"> </w:t>
            </w:r>
          </w:p>
          <w:p w:rsidR="001E6FB8" w:rsidRPr="00E141F1" w:rsidRDefault="001E6FB8" w:rsidP="001E6FB8">
            <w:pPr>
              <w:keepNext/>
              <w:keepLines/>
              <w:tabs>
                <w:tab w:val="left" w:pos="7513"/>
              </w:tabs>
              <w:spacing w:line="240" w:lineRule="auto"/>
              <w:rPr>
                <w:rFonts w:cs="Arial"/>
                <w:bCs/>
                <w:i/>
                <w:color w:val="4D4D4F"/>
                <w:kern w:val="32"/>
                <w:sz w:val="16"/>
                <w:szCs w:val="16"/>
              </w:rPr>
            </w:pPr>
            <w:r w:rsidRPr="004203AE">
              <w:rPr>
                <w:rFonts w:cs="Arial"/>
                <w:i/>
                <w:sz w:val="16"/>
                <w:szCs w:val="16"/>
                <w:vertAlign w:val="superscript"/>
              </w:rPr>
              <w:t>†</w:t>
            </w:r>
            <w:r w:rsidRPr="00E141F1">
              <w:rPr>
                <w:rFonts w:cs="Arial"/>
                <w:i/>
                <w:sz w:val="16"/>
                <w:szCs w:val="16"/>
              </w:rPr>
              <w:t>The speed of interim satellite is 6/1 Mbps.</w:t>
            </w:r>
          </w:p>
          <w:p w:rsidR="001E6FB8" w:rsidRPr="00E141F1" w:rsidRDefault="001E6FB8" w:rsidP="001E6FB8">
            <w:pPr>
              <w:keepNext/>
              <w:keepLines/>
              <w:tabs>
                <w:tab w:val="left" w:pos="7513"/>
              </w:tabs>
              <w:spacing w:line="240" w:lineRule="auto"/>
              <w:rPr>
                <w:rFonts w:cs="Arial"/>
                <w:i/>
                <w:sz w:val="16"/>
                <w:szCs w:val="16"/>
              </w:rPr>
            </w:pPr>
            <w:r w:rsidRPr="00E141F1">
              <w:rPr>
                <w:rFonts w:cs="Arial"/>
                <w:i/>
                <w:sz w:val="16"/>
                <w:szCs w:val="16"/>
              </w:rPr>
              <w:t>Note: Numbers are calculated from counts of active services against the UNI-V and UNI-D ports. Services activated does not equal the premises activated as there may be more than one service for each premise.</w:t>
            </w:r>
          </w:p>
          <w:p w:rsidR="001E6FB8" w:rsidRPr="00E141F1" w:rsidRDefault="001E6FB8" w:rsidP="001E6FB8">
            <w:pPr>
              <w:keepNext/>
              <w:keepLines/>
              <w:tabs>
                <w:tab w:val="left" w:pos="7513"/>
              </w:tabs>
              <w:spacing w:after="60" w:line="240" w:lineRule="auto"/>
              <w:rPr>
                <w:rFonts w:cs="Arial"/>
                <w:bCs/>
                <w:color w:val="4D4D4F"/>
                <w:kern w:val="32"/>
                <w:sz w:val="53"/>
                <w:szCs w:val="32"/>
              </w:rPr>
            </w:pPr>
            <w:r w:rsidRPr="00E141F1">
              <w:rPr>
                <w:rFonts w:cs="Arial"/>
                <w:i/>
                <w:sz w:val="16"/>
                <w:szCs w:val="16"/>
              </w:rPr>
              <w:t>Source: NBN Co.</w:t>
            </w:r>
          </w:p>
        </w:tc>
      </w:tr>
    </w:tbl>
    <w:p w:rsidR="001E6FB8" w:rsidRPr="00E141F1" w:rsidRDefault="001E6FB8" w:rsidP="001E6FB8">
      <w:pPr>
        <w:spacing w:line="240" w:lineRule="auto"/>
        <w:rPr>
          <w:rFonts w:cs="Arial"/>
        </w:rPr>
      </w:pPr>
    </w:p>
    <w:p w:rsidR="001E6FB8" w:rsidRPr="00AC127A" w:rsidRDefault="001E6FB8" w:rsidP="001E6FB8">
      <w:pPr>
        <w:pStyle w:val="Heading3"/>
        <w:rPr>
          <w:b w:val="0"/>
          <w:bCs w:val="0"/>
        </w:rPr>
      </w:pPr>
      <w:bookmarkStart w:id="140" w:name="_Toc371588990"/>
      <w:bookmarkStart w:id="141" w:name="_Toc373149052"/>
      <w:r w:rsidRPr="00AC127A">
        <w:t>NBN service providers</w:t>
      </w:r>
      <w:bookmarkEnd w:id="140"/>
      <w:bookmarkEnd w:id="141"/>
    </w:p>
    <w:p w:rsidR="001E6FB8" w:rsidRDefault="001E6FB8" w:rsidP="001E6FB8">
      <w:pPr>
        <w:spacing w:line="240" w:lineRule="auto"/>
        <w:rPr>
          <w:rFonts w:cs="Arial"/>
        </w:rPr>
      </w:pPr>
      <w:r w:rsidRPr="00AC127A">
        <w:rPr>
          <w:rFonts w:cs="Arial"/>
        </w:rPr>
        <w:t xml:space="preserve">NBN Co reported that at 30 June 2013, there were 58 retail service providers (RSPs) offering services on the fibre access network, 36 RSPs offering services on fixed wireless and 10 RSPs offering services </w:t>
      </w:r>
      <w:r>
        <w:rPr>
          <w:rFonts w:cs="Arial"/>
        </w:rPr>
        <w:t>on satellite.</w:t>
      </w:r>
      <w:r>
        <w:rPr>
          <w:rStyle w:val="EndnoteReference"/>
          <w:rFonts w:cs="Arial"/>
        </w:rPr>
        <w:endnoteReference w:id="23"/>
      </w:r>
      <w:r>
        <w:rPr>
          <w:rFonts w:cs="Arial"/>
        </w:rPr>
        <w:t xml:space="preserve"> </w:t>
      </w:r>
      <w:r w:rsidRPr="00AC127A">
        <w:rPr>
          <w:rFonts w:cs="Arial"/>
        </w:rPr>
        <w:t>Table 1.6 provides an overview of the majority of NBN service providers by network.</w:t>
      </w:r>
    </w:p>
    <w:p w:rsidR="001E6FB8" w:rsidRPr="00AC127A" w:rsidRDefault="001E6FB8" w:rsidP="001E6FB8">
      <w:pPr>
        <w:spacing w:after="80" w:line="240" w:lineRule="auto"/>
        <w:rPr>
          <w:rFonts w:cs="Arial"/>
        </w:rPr>
      </w:pPr>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A74B5E" w:rsidRDefault="001E6FB8" w:rsidP="001E6FB8">
            <w:pPr>
              <w:pStyle w:val="Caption"/>
            </w:pPr>
            <w:r>
              <w:t xml:space="preserve">Table </w:t>
            </w:r>
            <w:r w:rsidRPr="00E141F1">
              <w:rPr>
                <w:rFonts w:cs="Arial"/>
              </w:rPr>
              <w:t>1.</w:t>
            </w:r>
            <w:r w:rsidR="00421002" w:rsidRPr="00E141F1">
              <w:rPr>
                <w:rFonts w:cs="Arial"/>
              </w:rPr>
              <w:fldChar w:fldCharType="begin"/>
            </w:r>
            <w:r w:rsidRPr="00E141F1">
              <w:rPr>
                <w:rFonts w:cs="Arial"/>
              </w:rPr>
              <w:instrText xml:space="preserve"> SEQ Table \* ARABIC </w:instrText>
            </w:r>
            <w:r w:rsidR="00421002" w:rsidRPr="00E141F1">
              <w:rPr>
                <w:rFonts w:cs="Arial"/>
              </w:rPr>
              <w:fldChar w:fldCharType="separate"/>
            </w:r>
            <w:r>
              <w:rPr>
                <w:rFonts w:cs="Arial"/>
                <w:noProof/>
              </w:rPr>
              <w:t>6</w:t>
            </w:r>
            <w:r w:rsidR="00421002" w:rsidRPr="00E141F1">
              <w:rPr>
                <w:rFonts w:cs="Arial"/>
              </w:rPr>
              <w:fldChar w:fldCharType="end"/>
            </w:r>
            <w:r w:rsidRPr="00E141F1">
              <w:rPr>
                <w:rFonts w:cs="Arial"/>
              </w:rPr>
              <w:t xml:space="preserve"> NBN retail service providers by service type June 2013</w:t>
            </w:r>
          </w:p>
        </w:tc>
      </w:tr>
      <w:tr w:rsidR="001E6FB8" w:rsidTr="001E6FB8">
        <w:trPr>
          <w:trHeight w:val="3086"/>
        </w:trPr>
        <w:tc>
          <w:tcPr>
            <w:tcW w:w="9645" w:type="dxa"/>
            <w:shd w:val="clear" w:color="auto" w:fill="auto"/>
            <w:tcMar>
              <w:left w:w="28" w:type="dxa"/>
            </w:tcMar>
          </w:tcPr>
          <w:tbl>
            <w:tblPr>
              <w:tblW w:w="9325" w:type="dxa"/>
              <w:tblInd w:w="3"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1583"/>
              <w:gridCol w:w="938"/>
              <w:gridCol w:w="6804"/>
            </w:tblGrid>
            <w:tr w:rsidR="001E6FB8" w:rsidRPr="00E141F1" w:rsidTr="001E6FB8">
              <w:trPr>
                <w:trHeight w:val="271"/>
                <w:tblHeader/>
              </w:trPr>
              <w:tc>
                <w:tcPr>
                  <w:tcW w:w="1583" w:type="dxa"/>
                  <w:shd w:val="clear" w:color="auto" w:fill="00709E"/>
                  <w:tcMar>
                    <w:top w:w="34" w:type="dxa"/>
                    <w:left w:w="113" w:type="dxa"/>
                  </w:tcMar>
                  <w:vAlign w:val="center"/>
                </w:tcPr>
                <w:p w:rsidR="001E6FB8" w:rsidRPr="00E141F1" w:rsidRDefault="001E6FB8" w:rsidP="001E6FB8">
                  <w:pPr>
                    <w:spacing w:before="40" w:after="40" w:line="240" w:lineRule="auto"/>
                    <w:rPr>
                      <w:rFonts w:cs="Arial"/>
                      <w:b/>
                      <w:color w:val="FFFFFF" w:themeColor="background1"/>
                      <w:sz w:val="18"/>
                      <w:szCs w:val="18"/>
                    </w:rPr>
                  </w:pPr>
                  <w:r w:rsidRPr="00E141F1">
                    <w:rPr>
                      <w:rFonts w:cs="Arial"/>
                      <w:b/>
                      <w:color w:val="FFFFFF" w:themeColor="background1"/>
                      <w:sz w:val="18"/>
                      <w:szCs w:val="18"/>
                    </w:rPr>
                    <w:t>Service provided</w:t>
                  </w:r>
                </w:p>
              </w:tc>
              <w:tc>
                <w:tcPr>
                  <w:tcW w:w="7742" w:type="dxa"/>
                  <w:gridSpan w:val="2"/>
                  <w:tcBorders>
                    <w:bottom w:val="single" w:sz="4" w:space="0" w:color="C8C8C8"/>
                  </w:tcBorders>
                  <w:shd w:val="clear" w:color="auto" w:fill="00709E"/>
                  <w:vAlign w:val="center"/>
                </w:tcPr>
                <w:p w:rsidR="001E6FB8" w:rsidRPr="00E141F1" w:rsidRDefault="001E6FB8" w:rsidP="001E6FB8">
                  <w:pPr>
                    <w:spacing w:before="40" w:after="40" w:line="240" w:lineRule="auto"/>
                    <w:ind w:right="137"/>
                    <w:jc w:val="center"/>
                    <w:rPr>
                      <w:rFonts w:cs="Arial"/>
                      <w:b/>
                      <w:color w:val="FFFFFF" w:themeColor="background1"/>
                      <w:sz w:val="18"/>
                      <w:szCs w:val="18"/>
                    </w:rPr>
                  </w:pPr>
                  <w:r>
                    <w:rPr>
                      <w:rFonts w:cs="Arial"/>
                      <w:b/>
                      <w:color w:val="FFFFFF" w:themeColor="background1"/>
                      <w:sz w:val="18"/>
                      <w:szCs w:val="18"/>
                    </w:rPr>
                    <w:t>Retail service p</w:t>
                  </w:r>
                  <w:r w:rsidRPr="00E141F1">
                    <w:rPr>
                      <w:rFonts w:cs="Arial"/>
                      <w:b/>
                      <w:color w:val="FFFFFF" w:themeColor="background1"/>
                      <w:sz w:val="18"/>
                      <w:szCs w:val="18"/>
                    </w:rPr>
                    <w:t>rovider</w:t>
                  </w:r>
                </w:p>
              </w:tc>
            </w:tr>
            <w:tr w:rsidR="001E6FB8" w:rsidRPr="00E141F1" w:rsidTr="001E6FB8">
              <w:trPr>
                <w:trHeight w:val="226"/>
              </w:trPr>
              <w:tc>
                <w:tcPr>
                  <w:tcW w:w="2521" w:type="dxa"/>
                  <w:gridSpan w:val="2"/>
                  <w:shd w:val="clear" w:color="auto" w:fill="auto"/>
                  <w:tcMar>
                    <w:left w:w="113" w:type="dxa"/>
                  </w:tcMar>
                </w:tcPr>
                <w:p w:rsidR="001E6FB8" w:rsidRPr="009739C3" w:rsidRDefault="001E6FB8" w:rsidP="001E6FB8">
                  <w:pPr>
                    <w:spacing w:before="60"/>
                    <w:rPr>
                      <w:rFonts w:cs="Arial"/>
                      <w:b/>
                      <w:color w:val="00709E"/>
                      <w:sz w:val="18"/>
                      <w:szCs w:val="18"/>
                    </w:rPr>
                  </w:pPr>
                  <w:r w:rsidRPr="009739C3">
                    <w:rPr>
                      <w:rFonts w:cs="Arial"/>
                      <w:b/>
                      <w:color w:val="00709E"/>
                      <w:sz w:val="18"/>
                      <w:szCs w:val="18"/>
                    </w:rPr>
                    <w:t>Fibre/</w:t>
                  </w:r>
                  <w:r>
                    <w:rPr>
                      <w:rFonts w:cs="Arial"/>
                      <w:b/>
                      <w:color w:val="00709E"/>
                      <w:sz w:val="18"/>
                      <w:szCs w:val="18"/>
                    </w:rPr>
                    <w:t xml:space="preserve">fixed </w:t>
                  </w:r>
                  <w:r w:rsidRPr="009739C3">
                    <w:rPr>
                      <w:rFonts w:cs="Arial"/>
                      <w:b/>
                      <w:color w:val="00709E"/>
                      <w:sz w:val="18"/>
                      <w:szCs w:val="18"/>
                    </w:rPr>
                    <w:t xml:space="preserve">wireless </w:t>
                  </w:r>
                </w:p>
              </w:tc>
              <w:tc>
                <w:tcPr>
                  <w:tcW w:w="6804" w:type="dxa"/>
                  <w:shd w:val="clear" w:color="auto" w:fill="auto"/>
                  <w:vAlign w:val="center"/>
                </w:tcPr>
                <w:p w:rsidR="001E6FB8" w:rsidRPr="00E141F1" w:rsidRDefault="001E6FB8" w:rsidP="001E6FB8">
                  <w:pPr>
                    <w:spacing w:before="60" w:after="60"/>
                    <w:ind w:right="136"/>
                    <w:rPr>
                      <w:rFonts w:cs="Arial"/>
                      <w:sz w:val="18"/>
                      <w:szCs w:val="18"/>
                    </w:rPr>
                  </w:pPr>
                  <w:r w:rsidRPr="00E141F1">
                    <w:rPr>
                      <w:rFonts w:cs="Arial"/>
                      <w:sz w:val="18"/>
                      <w:szCs w:val="18"/>
                    </w:rPr>
                    <w:t xml:space="preserve">AAPT *, </w:t>
                  </w:r>
                  <w:proofErr w:type="spellStart"/>
                  <w:r w:rsidRPr="00E141F1">
                    <w:rPr>
                      <w:rFonts w:cs="Arial"/>
                      <w:sz w:val="18"/>
                      <w:szCs w:val="18"/>
                    </w:rPr>
                    <w:t>AARnet</w:t>
                  </w:r>
                  <w:proofErr w:type="spellEnd"/>
                  <w:r w:rsidRPr="00E141F1">
                    <w:rPr>
                      <w:rFonts w:cs="Arial"/>
                      <w:sz w:val="18"/>
                      <w:szCs w:val="18"/>
                    </w:rPr>
                    <w:t xml:space="preserve"> </w:t>
                  </w:r>
                  <w:r w:rsidRPr="005D58FF">
                    <w:rPr>
                      <w:rFonts w:cs="Arial"/>
                      <w:sz w:val="18"/>
                      <w:szCs w:val="18"/>
                      <w:vertAlign w:val="superscript"/>
                    </w:rPr>
                    <w:t>†</w:t>
                  </w:r>
                  <w:r w:rsidRPr="00E141F1">
                    <w:rPr>
                      <w:rFonts w:cs="Arial"/>
                      <w:sz w:val="18"/>
                      <w:szCs w:val="18"/>
                    </w:rPr>
                    <w:t>, Ace Internet Services, Adam Internet, Activ8me</w:t>
                  </w:r>
                  <w:r>
                    <w:rPr>
                      <w:rFonts w:cs="Arial"/>
                      <w:sz w:val="18"/>
                      <w:szCs w:val="18"/>
                    </w:rPr>
                    <w:t xml:space="preserve">, </w:t>
                  </w:r>
                  <w:r w:rsidRPr="00E141F1">
                    <w:rPr>
                      <w:rFonts w:cs="Arial"/>
                      <w:sz w:val="18"/>
                      <w:szCs w:val="18"/>
                    </w:rPr>
                    <w:t xml:space="preserve">Advanced NBN, </w:t>
                  </w:r>
                  <w:proofErr w:type="spellStart"/>
                  <w:r w:rsidRPr="00E141F1">
                    <w:rPr>
                      <w:rFonts w:cs="Arial"/>
                      <w:sz w:val="18"/>
                      <w:szCs w:val="18"/>
                    </w:rPr>
                    <w:t>Anittel</w:t>
                  </w:r>
                  <w:proofErr w:type="spellEnd"/>
                  <w:r w:rsidRPr="00E141F1">
                    <w:rPr>
                      <w:rFonts w:cs="Arial"/>
                      <w:sz w:val="18"/>
                      <w:szCs w:val="18"/>
                    </w:rPr>
                    <w:t xml:space="preserve"> *, ANT</w:t>
                  </w:r>
                  <w:r>
                    <w:rPr>
                      <w:rFonts w:cs="Arial"/>
                      <w:sz w:val="18"/>
                      <w:szCs w:val="18"/>
                    </w:rPr>
                    <w:t xml:space="preserve">, </w:t>
                  </w:r>
                  <w:r w:rsidRPr="00E141F1">
                    <w:rPr>
                      <w:rFonts w:cs="Arial"/>
                      <w:sz w:val="18"/>
                      <w:szCs w:val="18"/>
                    </w:rPr>
                    <w:t xml:space="preserve">Arrow Voice &amp; Data*, Aussie Broadband, Aussie Broadband Services, Boom Broadband, Broadband Solutions, Clear Networks </w:t>
                  </w:r>
                  <w:r>
                    <w:rPr>
                      <w:rFonts w:cs="Arial"/>
                      <w:sz w:val="18"/>
                      <w:szCs w:val="18"/>
                    </w:rPr>
                    <w:t xml:space="preserve">, </w:t>
                  </w:r>
                  <w:r w:rsidRPr="00E141F1">
                    <w:rPr>
                      <w:rFonts w:cs="Arial"/>
                      <w:sz w:val="18"/>
                      <w:szCs w:val="18"/>
                    </w:rPr>
                    <w:t xml:space="preserve">Club Telco, Commander*, </w:t>
                  </w:r>
                  <w:proofErr w:type="spellStart"/>
                  <w:r w:rsidRPr="00E141F1">
                    <w:rPr>
                      <w:rFonts w:cs="Arial"/>
                      <w:sz w:val="18"/>
                      <w:szCs w:val="18"/>
                    </w:rPr>
                    <w:t>Cybertel</w:t>
                  </w:r>
                  <w:proofErr w:type="spellEnd"/>
                  <w:r w:rsidRPr="00E141F1">
                    <w:rPr>
                      <w:rFonts w:cs="Arial"/>
                      <w:sz w:val="18"/>
                      <w:szCs w:val="18"/>
                    </w:rPr>
                    <w:t xml:space="preserve"> Telecom, </w:t>
                  </w:r>
                  <w:proofErr w:type="spellStart"/>
                  <w:r w:rsidRPr="00E141F1">
                    <w:rPr>
                      <w:rFonts w:cs="Arial"/>
                      <w:sz w:val="18"/>
                      <w:szCs w:val="18"/>
                    </w:rPr>
                    <w:t>DeVoteD</w:t>
                  </w:r>
                  <w:proofErr w:type="spellEnd"/>
                  <w:r w:rsidRPr="00E141F1">
                    <w:rPr>
                      <w:rFonts w:cs="Arial"/>
                      <w:sz w:val="18"/>
                      <w:szCs w:val="18"/>
                    </w:rPr>
                    <w:t xml:space="preserve"> NBN, </w:t>
                  </w:r>
                  <w:proofErr w:type="spellStart"/>
                  <w:r w:rsidRPr="00E141F1">
                    <w:rPr>
                      <w:rFonts w:cs="Arial"/>
                      <w:sz w:val="18"/>
                      <w:szCs w:val="18"/>
                    </w:rPr>
                    <w:t>Engin</w:t>
                  </w:r>
                  <w:proofErr w:type="spellEnd"/>
                  <w:r w:rsidRPr="00E141F1">
                    <w:rPr>
                      <w:rFonts w:cs="Arial"/>
                      <w:sz w:val="18"/>
                      <w:szCs w:val="18"/>
                    </w:rPr>
                    <w:t xml:space="preserve">, </w:t>
                  </w:r>
                  <w:proofErr w:type="spellStart"/>
                  <w:r w:rsidRPr="00E141F1">
                    <w:rPr>
                      <w:rFonts w:cs="Arial"/>
                      <w:sz w:val="18"/>
                      <w:szCs w:val="18"/>
                    </w:rPr>
                    <w:t>EscapeNet</w:t>
                  </w:r>
                  <w:proofErr w:type="spellEnd"/>
                  <w:r w:rsidRPr="00E141F1">
                    <w:rPr>
                      <w:rFonts w:cs="Arial"/>
                      <w:sz w:val="18"/>
                      <w:szCs w:val="18"/>
                    </w:rPr>
                    <w:t xml:space="preserve">, </w:t>
                  </w:r>
                  <w:proofErr w:type="spellStart"/>
                  <w:r w:rsidRPr="00E141F1">
                    <w:rPr>
                      <w:rFonts w:cs="Arial"/>
                      <w:sz w:val="18"/>
                      <w:szCs w:val="18"/>
                    </w:rPr>
                    <w:t>Exetel</w:t>
                  </w:r>
                  <w:proofErr w:type="spellEnd"/>
                  <w:r w:rsidRPr="00E141F1">
                    <w:rPr>
                      <w:rFonts w:cs="Arial"/>
                      <w:sz w:val="18"/>
                      <w:szCs w:val="18"/>
                    </w:rPr>
                    <w:t xml:space="preserve">, </w:t>
                  </w:r>
                  <w:proofErr w:type="spellStart"/>
                  <w:r w:rsidRPr="00E141F1">
                    <w:rPr>
                      <w:rFonts w:cs="Arial"/>
                      <w:sz w:val="18"/>
                      <w:szCs w:val="18"/>
                    </w:rPr>
                    <w:t>Fastel</w:t>
                  </w:r>
                  <w:proofErr w:type="spellEnd"/>
                  <w:r w:rsidRPr="00E141F1">
                    <w:rPr>
                      <w:rFonts w:cs="Arial"/>
                      <w:sz w:val="18"/>
                      <w:szCs w:val="18"/>
                    </w:rPr>
                    <w:t xml:space="preserve">, </w:t>
                  </w:r>
                  <w:proofErr w:type="spellStart"/>
                  <w:r w:rsidRPr="00E141F1">
                    <w:rPr>
                      <w:rFonts w:cs="Arial"/>
                      <w:sz w:val="18"/>
                      <w:szCs w:val="18"/>
                    </w:rPr>
                    <w:t>Graytech</w:t>
                  </w:r>
                  <w:proofErr w:type="spellEnd"/>
                  <w:r w:rsidRPr="00E141F1">
                    <w:rPr>
                      <w:rFonts w:cs="Arial"/>
                      <w:sz w:val="18"/>
                      <w:szCs w:val="18"/>
                    </w:rPr>
                    <w:t xml:space="preserve"> Hosting Pty Ltd, Infinity NBN, Internet Solutions, </w:t>
                  </w:r>
                  <w:proofErr w:type="spellStart"/>
                  <w:r w:rsidRPr="00E141F1">
                    <w:rPr>
                      <w:rFonts w:cs="Arial"/>
                      <w:sz w:val="18"/>
                      <w:szCs w:val="18"/>
                    </w:rPr>
                    <w:t>Internode</w:t>
                  </w:r>
                  <w:proofErr w:type="spellEnd"/>
                  <w:r w:rsidRPr="00E141F1">
                    <w:rPr>
                      <w:rFonts w:cs="Arial"/>
                      <w:sz w:val="18"/>
                      <w:szCs w:val="18"/>
                    </w:rPr>
                    <w:t xml:space="preserve">, </w:t>
                  </w:r>
                  <w:proofErr w:type="spellStart"/>
                  <w:r w:rsidRPr="00E141F1">
                    <w:rPr>
                      <w:rFonts w:cs="Arial"/>
                      <w:sz w:val="18"/>
                      <w:szCs w:val="18"/>
                    </w:rPr>
                    <w:t>iPrimus</w:t>
                  </w:r>
                  <w:proofErr w:type="spellEnd"/>
                  <w:r w:rsidRPr="00E141F1">
                    <w:rPr>
                      <w:rFonts w:cs="Arial"/>
                      <w:sz w:val="18"/>
                      <w:szCs w:val="18"/>
                    </w:rPr>
                    <w:t xml:space="preserve">, Key Internet, </w:t>
                  </w:r>
                  <w:proofErr w:type="spellStart"/>
                  <w:r w:rsidRPr="00E141F1">
                    <w:rPr>
                      <w:rFonts w:cs="Arial"/>
                      <w:sz w:val="18"/>
                      <w:szCs w:val="18"/>
                    </w:rPr>
                    <w:t>Loadednet</w:t>
                  </w:r>
                  <w:proofErr w:type="spellEnd"/>
                  <w:r w:rsidRPr="00E141F1">
                    <w:rPr>
                      <w:rFonts w:cs="Arial"/>
                      <w:sz w:val="18"/>
                      <w:szCs w:val="18"/>
                    </w:rPr>
                    <w:t xml:space="preserve">, Macquarie Telecom*, </w:t>
                  </w:r>
                  <w:proofErr w:type="spellStart"/>
                  <w:r w:rsidRPr="00E141F1">
                    <w:rPr>
                      <w:rFonts w:cs="Arial"/>
                      <w:sz w:val="18"/>
                      <w:szCs w:val="18"/>
                    </w:rPr>
                    <w:t>Montimedia</w:t>
                  </w:r>
                  <w:proofErr w:type="spellEnd"/>
                  <w:r w:rsidRPr="00E141F1">
                    <w:rPr>
                      <w:rFonts w:cs="Arial"/>
                      <w:sz w:val="18"/>
                      <w:szCs w:val="18"/>
                    </w:rPr>
                    <w:t xml:space="preserve"> Internet, </w:t>
                  </w:r>
                  <w:proofErr w:type="spellStart"/>
                  <w:r w:rsidRPr="00E141F1">
                    <w:rPr>
                      <w:rFonts w:cs="Arial"/>
                      <w:sz w:val="18"/>
                      <w:szCs w:val="18"/>
                    </w:rPr>
                    <w:t>MyFibre</w:t>
                  </w:r>
                  <w:proofErr w:type="spellEnd"/>
                  <w:r w:rsidRPr="00E141F1">
                    <w:rPr>
                      <w:rFonts w:cs="Arial"/>
                      <w:sz w:val="18"/>
                      <w:szCs w:val="18"/>
                    </w:rPr>
                    <w:t xml:space="preserve">, </w:t>
                  </w:r>
                  <w:proofErr w:type="spellStart"/>
                  <w:r w:rsidRPr="00E141F1">
                    <w:rPr>
                      <w:rFonts w:cs="Arial"/>
                      <w:sz w:val="18"/>
                      <w:szCs w:val="18"/>
                    </w:rPr>
                    <w:t>MyNetFone</w:t>
                  </w:r>
                  <w:proofErr w:type="spellEnd"/>
                  <w:r w:rsidRPr="00E141F1">
                    <w:rPr>
                      <w:rFonts w:cs="Arial"/>
                      <w:sz w:val="18"/>
                      <w:szCs w:val="18"/>
                    </w:rPr>
                    <w:t xml:space="preserve">, NBN SP, Node1 Internet, North Queensland Telecom, </w:t>
                  </w:r>
                  <w:proofErr w:type="spellStart"/>
                  <w:r w:rsidRPr="00E141F1">
                    <w:rPr>
                      <w:rFonts w:cs="Arial"/>
                      <w:sz w:val="18"/>
                      <w:szCs w:val="18"/>
                    </w:rPr>
                    <w:t>NuSkope</w:t>
                  </w:r>
                  <w:proofErr w:type="spellEnd"/>
                  <w:r w:rsidRPr="00E141F1">
                    <w:rPr>
                      <w:rFonts w:cs="Arial"/>
                      <w:sz w:val="18"/>
                      <w:szCs w:val="18"/>
                    </w:rPr>
                    <w:t xml:space="preserve">, On Q Telecom, Optus, </w:t>
                  </w:r>
                  <w:proofErr w:type="spellStart"/>
                  <w:r w:rsidRPr="00E141F1">
                    <w:rPr>
                      <w:rFonts w:cs="Arial"/>
                      <w:sz w:val="18"/>
                      <w:szCs w:val="18"/>
                    </w:rPr>
                    <w:t>SkyMesh</w:t>
                  </w:r>
                  <w:proofErr w:type="spellEnd"/>
                  <w:r>
                    <w:rPr>
                      <w:rFonts w:cs="Arial"/>
                      <w:sz w:val="18"/>
                      <w:szCs w:val="18"/>
                    </w:rPr>
                    <w:t xml:space="preserve">, </w:t>
                  </w:r>
                  <w:r w:rsidRPr="00E141F1">
                    <w:rPr>
                      <w:rFonts w:cs="Arial"/>
                      <w:sz w:val="18"/>
                      <w:szCs w:val="18"/>
                    </w:rPr>
                    <w:t xml:space="preserve">Southern Phone, </w:t>
                  </w:r>
                  <w:proofErr w:type="spellStart"/>
                  <w:r w:rsidRPr="00E141F1">
                    <w:rPr>
                      <w:rFonts w:cs="Arial"/>
                      <w:sz w:val="18"/>
                      <w:szCs w:val="18"/>
                    </w:rPr>
                    <w:t>Spintel</w:t>
                  </w:r>
                  <w:proofErr w:type="spellEnd"/>
                  <w:r w:rsidRPr="00E141F1">
                    <w:rPr>
                      <w:rFonts w:cs="Arial"/>
                      <w:sz w:val="18"/>
                      <w:szCs w:val="18"/>
                    </w:rPr>
                    <w:t>, Spirit Telecom, Telstra</w:t>
                  </w:r>
                  <w:r>
                    <w:rPr>
                      <w:rFonts w:cs="Arial"/>
                      <w:sz w:val="18"/>
                      <w:szCs w:val="18"/>
                    </w:rPr>
                    <w:t xml:space="preserve">, </w:t>
                  </w:r>
                  <w:proofErr w:type="spellStart"/>
                  <w:r w:rsidRPr="00E141F1">
                    <w:rPr>
                      <w:rFonts w:cs="Arial"/>
                      <w:sz w:val="18"/>
                      <w:szCs w:val="18"/>
                    </w:rPr>
                    <w:t>TransACT</w:t>
                  </w:r>
                  <w:proofErr w:type="spellEnd"/>
                  <w:r w:rsidRPr="00E141F1">
                    <w:rPr>
                      <w:rFonts w:cs="Arial"/>
                      <w:sz w:val="18"/>
                      <w:szCs w:val="18"/>
                    </w:rPr>
                    <w:t>,</w:t>
                  </w:r>
                  <w:r>
                    <w:rPr>
                      <w:rFonts w:cs="Arial"/>
                      <w:sz w:val="18"/>
                      <w:szCs w:val="18"/>
                    </w:rPr>
                    <w:t xml:space="preserve"> </w:t>
                  </w:r>
                  <w:proofErr w:type="spellStart"/>
                  <w:r w:rsidRPr="00E141F1">
                    <w:rPr>
                      <w:rFonts w:cs="Arial"/>
                      <w:sz w:val="18"/>
                      <w:szCs w:val="18"/>
                    </w:rPr>
                    <w:t>Westnet</w:t>
                  </w:r>
                  <w:proofErr w:type="spellEnd"/>
                  <w:r w:rsidRPr="00E141F1">
                    <w:rPr>
                      <w:rFonts w:cs="Arial"/>
                      <w:sz w:val="18"/>
                      <w:szCs w:val="18"/>
                    </w:rPr>
                    <w:t>.</w:t>
                  </w:r>
                </w:p>
              </w:tc>
            </w:tr>
            <w:tr w:rsidR="001E6FB8" w:rsidRPr="00E141F1" w:rsidTr="001E6FB8">
              <w:trPr>
                <w:trHeight w:val="197"/>
              </w:trPr>
              <w:tc>
                <w:tcPr>
                  <w:tcW w:w="2521" w:type="dxa"/>
                  <w:gridSpan w:val="2"/>
                  <w:shd w:val="clear" w:color="auto" w:fill="auto"/>
                  <w:tcMar>
                    <w:left w:w="113" w:type="dxa"/>
                  </w:tcMar>
                </w:tcPr>
                <w:p w:rsidR="001E6FB8" w:rsidRPr="009739C3" w:rsidRDefault="001E6FB8" w:rsidP="001E6FB8">
                  <w:pPr>
                    <w:spacing w:before="60" w:after="60"/>
                    <w:rPr>
                      <w:rFonts w:cs="Arial"/>
                      <w:b/>
                      <w:color w:val="00709E"/>
                      <w:sz w:val="18"/>
                      <w:szCs w:val="18"/>
                    </w:rPr>
                  </w:pPr>
                  <w:r w:rsidRPr="009739C3">
                    <w:rPr>
                      <w:rFonts w:cs="Arial"/>
                      <w:b/>
                      <w:color w:val="00709E"/>
                      <w:sz w:val="18"/>
                      <w:szCs w:val="18"/>
                    </w:rPr>
                    <w:t xml:space="preserve">Satellite </w:t>
                  </w:r>
                  <w:r>
                    <w:rPr>
                      <w:rFonts w:cs="Arial"/>
                      <w:b/>
                      <w:color w:val="00709E"/>
                      <w:sz w:val="18"/>
                      <w:szCs w:val="18"/>
                    </w:rPr>
                    <w:t>services</w:t>
                  </w:r>
                </w:p>
              </w:tc>
              <w:tc>
                <w:tcPr>
                  <w:tcW w:w="6804" w:type="dxa"/>
                  <w:shd w:val="clear" w:color="auto" w:fill="auto"/>
                  <w:vAlign w:val="center"/>
                </w:tcPr>
                <w:p w:rsidR="001E6FB8" w:rsidRPr="00E141F1" w:rsidRDefault="001E6FB8" w:rsidP="001E6FB8">
                  <w:pPr>
                    <w:spacing w:before="60" w:after="60"/>
                    <w:ind w:right="137"/>
                    <w:rPr>
                      <w:rFonts w:cs="Arial"/>
                      <w:sz w:val="18"/>
                      <w:szCs w:val="18"/>
                    </w:rPr>
                  </w:pPr>
                  <w:r w:rsidRPr="00E141F1">
                    <w:rPr>
                      <w:rFonts w:cs="Arial"/>
                      <w:sz w:val="18"/>
                      <w:szCs w:val="18"/>
                    </w:rPr>
                    <w:t xml:space="preserve">Activ8me, ANT, </w:t>
                  </w:r>
                  <w:proofErr w:type="spellStart"/>
                  <w:r w:rsidRPr="00E141F1">
                    <w:rPr>
                      <w:rFonts w:cs="Arial"/>
                      <w:sz w:val="18"/>
                      <w:szCs w:val="18"/>
                    </w:rPr>
                    <w:t>Bordernet</w:t>
                  </w:r>
                  <w:proofErr w:type="spellEnd"/>
                  <w:r w:rsidRPr="00E141F1">
                    <w:rPr>
                      <w:rFonts w:cs="Arial"/>
                      <w:sz w:val="18"/>
                      <w:szCs w:val="18"/>
                    </w:rPr>
                    <w:t xml:space="preserve">, Clear Networks, Harbour ISP, </w:t>
                  </w:r>
                  <w:proofErr w:type="spellStart"/>
                  <w:r w:rsidRPr="00E141F1">
                    <w:rPr>
                      <w:rFonts w:cs="Arial"/>
                      <w:sz w:val="18"/>
                      <w:szCs w:val="18"/>
                    </w:rPr>
                    <w:t>iiNet</w:t>
                  </w:r>
                  <w:proofErr w:type="spellEnd"/>
                  <w:r w:rsidRPr="00E141F1">
                    <w:rPr>
                      <w:rFonts w:cs="Arial"/>
                      <w:sz w:val="18"/>
                      <w:szCs w:val="18"/>
                    </w:rPr>
                    <w:t xml:space="preserve">, IPSTAR Australia, </w:t>
                  </w:r>
                  <w:proofErr w:type="spellStart"/>
                  <w:r>
                    <w:rPr>
                      <w:rFonts w:cs="Arial"/>
                      <w:sz w:val="18"/>
                      <w:szCs w:val="18"/>
                    </w:rPr>
                    <w:t>Reachnet</w:t>
                  </w:r>
                  <w:proofErr w:type="spellEnd"/>
                  <w:r>
                    <w:rPr>
                      <w:rFonts w:cs="Arial"/>
                      <w:sz w:val="18"/>
                      <w:szCs w:val="18"/>
                    </w:rPr>
                    <w:t xml:space="preserve">, </w:t>
                  </w:r>
                  <w:proofErr w:type="spellStart"/>
                  <w:r w:rsidRPr="00E141F1">
                    <w:rPr>
                      <w:rFonts w:cs="Arial"/>
                      <w:sz w:val="18"/>
                      <w:szCs w:val="18"/>
                    </w:rPr>
                    <w:t>TransACT</w:t>
                  </w:r>
                  <w:proofErr w:type="spellEnd"/>
                  <w:r w:rsidRPr="00E141F1">
                    <w:rPr>
                      <w:rFonts w:cs="Arial"/>
                      <w:sz w:val="18"/>
                      <w:szCs w:val="18"/>
                    </w:rPr>
                    <w:t xml:space="preserve">, </w:t>
                  </w:r>
                  <w:proofErr w:type="spellStart"/>
                  <w:r w:rsidRPr="00E141F1">
                    <w:rPr>
                      <w:rFonts w:cs="Arial"/>
                      <w:sz w:val="18"/>
                      <w:szCs w:val="18"/>
                    </w:rPr>
                    <w:t>Westnet</w:t>
                  </w:r>
                  <w:proofErr w:type="spellEnd"/>
                  <w:r w:rsidRPr="00E141F1">
                    <w:rPr>
                      <w:rFonts w:cs="Arial"/>
                      <w:sz w:val="18"/>
                      <w:szCs w:val="18"/>
                    </w:rPr>
                    <w:t>..</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120" w:line="240" w:lineRule="auto"/>
              <w:rPr>
                <w:rFonts w:cs="Arial"/>
                <w:i/>
                <w:sz w:val="16"/>
                <w:szCs w:val="16"/>
              </w:rPr>
            </w:pPr>
            <w:r w:rsidRPr="00E141F1">
              <w:rPr>
                <w:rFonts w:cs="Arial"/>
                <w:i/>
                <w:sz w:val="16"/>
                <w:szCs w:val="16"/>
              </w:rPr>
              <w:t>*Business services only</w:t>
            </w:r>
            <w:r>
              <w:rPr>
                <w:rFonts w:cs="Arial"/>
                <w:i/>
                <w:sz w:val="16"/>
                <w:szCs w:val="16"/>
              </w:rPr>
              <w:t>.</w:t>
            </w:r>
          </w:p>
          <w:p w:rsidR="001E6FB8" w:rsidRDefault="001E6FB8" w:rsidP="001E6FB8">
            <w:pPr>
              <w:spacing w:line="240" w:lineRule="auto"/>
              <w:rPr>
                <w:rFonts w:cs="Arial"/>
                <w:i/>
                <w:sz w:val="16"/>
                <w:szCs w:val="16"/>
              </w:rPr>
            </w:pPr>
            <w:r w:rsidRPr="004203AE">
              <w:rPr>
                <w:rFonts w:cs="Arial"/>
                <w:i/>
                <w:sz w:val="16"/>
                <w:szCs w:val="16"/>
                <w:vertAlign w:val="superscript"/>
              </w:rPr>
              <w:t>†</w:t>
            </w:r>
            <w:r w:rsidRPr="00E141F1">
              <w:rPr>
                <w:rFonts w:cs="Arial"/>
                <w:i/>
                <w:sz w:val="16"/>
                <w:szCs w:val="16"/>
              </w:rPr>
              <w:t>Education and research purposes only</w:t>
            </w:r>
            <w:r>
              <w:rPr>
                <w:rFonts w:cs="Arial"/>
                <w:i/>
                <w:sz w:val="16"/>
                <w:szCs w:val="16"/>
              </w:rPr>
              <w:t>.</w:t>
            </w:r>
          </w:p>
          <w:p w:rsidR="001E6FB8" w:rsidRPr="00E141F1" w:rsidRDefault="001E6FB8" w:rsidP="001E6FB8">
            <w:pPr>
              <w:spacing w:line="240" w:lineRule="auto"/>
              <w:rPr>
                <w:rFonts w:cs="Arial"/>
                <w:i/>
                <w:sz w:val="16"/>
                <w:szCs w:val="16"/>
              </w:rPr>
            </w:pPr>
            <w:r>
              <w:rPr>
                <w:rFonts w:cs="Arial"/>
                <w:i/>
                <w:sz w:val="16"/>
                <w:szCs w:val="16"/>
              </w:rPr>
              <w:t xml:space="preserve">Note: List of providers available at time of publication. </w:t>
            </w:r>
          </w:p>
          <w:p w:rsidR="001E6FB8" w:rsidRDefault="001E6FB8" w:rsidP="001E6FB8">
            <w:pPr>
              <w:spacing w:after="60" w:line="240" w:lineRule="auto"/>
            </w:pPr>
            <w:r w:rsidRPr="00E141F1">
              <w:rPr>
                <w:rFonts w:cs="Arial"/>
                <w:i/>
                <w:sz w:val="16"/>
                <w:szCs w:val="16"/>
              </w:rPr>
              <w:t>Source: NBN Co.</w:t>
            </w:r>
          </w:p>
        </w:tc>
      </w:tr>
    </w:tbl>
    <w:p w:rsidR="001E6FB8" w:rsidRDefault="001E6FB8" w:rsidP="001E6FB8"/>
    <w:p w:rsidR="001E6FB8" w:rsidRDefault="001E6FB8" w:rsidP="001E6FB8">
      <w:pPr>
        <w:spacing w:line="240" w:lineRule="auto"/>
        <w:rPr>
          <w:rFonts w:cs="Arial"/>
          <w:b/>
          <w:bCs/>
          <w:iCs/>
          <w:sz w:val="28"/>
          <w:szCs w:val="28"/>
        </w:rPr>
      </w:pPr>
      <w:bookmarkStart w:id="142" w:name="_Toc371588991"/>
      <w:r>
        <w:br w:type="page"/>
      </w:r>
    </w:p>
    <w:p w:rsidR="001E6FB8" w:rsidRPr="00E141F1" w:rsidRDefault="001E6FB8" w:rsidP="001E6FB8">
      <w:pPr>
        <w:pStyle w:val="Heading2"/>
      </w:pPr>
      <w:bookmarkStart w:id="143" w:name="_Toc373149053"/>
      <w:r w:rsidRPr="00E141F1">
        <w:t>Carrier licensing</w:t>
      </w:r>
      <w:bookmarkEnd w:id="142"/>
      <w:bookmarkEnd w:id="143"/>
    </w:p>
    <w:p w:rsidR="001E6FB8" w:rsidRPr="00E141F1" w:rsidRDefault="001E6FB8" w:rsidP="001E6FB8">
      <w:pPr>
        <w:outlineLvl w:val="0"/>
        <w:rPr>
          <w:rFonts w:cs="Arial"/>
        </w:rPr>
      </w:pPr>
      <w:r w:rsidRPr="00E141F1">
        <w:rPr>
          <w:rFonts w:cs="Arial"/>
        </w:rPr>
        <w:t>At June 2013, there were 201 licensed carriers in Australia with the ACMA granting 21</w:t>
      </w:r>
      <w:r>
        <w:rPr>
          <w:rFonts w:cs="Arial"/>
        </w:rPr>
        <w:t> </w:t>
      </w:r>
      <w:r w:rsidRPr="00E141F1">
        <w:rPr>
          <w:rFonts w:cs="Arial"/>
        </w:rPr>
        <w:t xml:space="preserve">carrier licences over 2012–13. In this same period, seven carriers surrendered their licence (Figure 1.14) and no licensed carriers were deregistered by the Australian Securities and Investments Commission. </w:t>
      </w:r>
    </w:p>
    <w:p w:rsidR="001E6FB8" w:rsidRPr="00E141F1" w:rsidRDefault="001E6FB8" w:rsidP="001E6FB8">
      <w:pPr>
        <w:spacing w:line="240" w:lineRule="auto"/>
        <w:rPr>
          <w:rFonts w:cs="Arial"/>
          <w:b/>
          <w:bCs/>
        </w:rPr>
      </w:pPr>
    </w:p>
    <w:tbl>
      <w:tblPr>
        <w:tblW w:w="9555" w:type="dxa"/>
        <w:tblLayout w:type="fixed"/>
        <w:tblCellMar>
          <w:left w:w="0" w:type="dxa"/>
          <w:right w:w="0" w:type="dxa"/>
        </w:tblCellMar>
        <w:tblLook w:val="01E0"/>
      </w:tblPr>
      <w:tblGrid>
        <w:gridCol w:w="9555"/>
      </w:tblGrid>
      <w:tr w:rsidR="001E6FB8" w:rsidRPr="00E141F1" w:rsidTr="001E6FB8">
        <w:trPr>
          <w:trHeight w:val="685"/>
        </w:trPr>
        <w:tc>
          <w:tcPr>
            <w:tcW w:w="955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14</w:t>
            </w:r>
            <w:r w:rsidR="00421002" w:rsidRPr="00E141F1">
              <w:rPr>
                <w:rFonts w:cs="Arial"/>
              </w:rPr>
              <w:fldChar w:fldCharType="end"/>
            </w:r>
            <w:r w:rsidRPr="00E141F1">
              <w:rPr>
                <w:rFonts w:cs="Arial"/>
              </w:rPr>
              <w:t xml:space="preserve"> Trends in carriers licensing</w:t>
            </w:r>
          </w:p>
        </w:tc>
      </w:tr>
      <w:tr w:rsidR="001E6FB8" w:rsidRPr="00E141F1" w:rsidTr="001E6FB8">
        <w:trPr>
          <w:trHeight w:val="3716"/>
        </w:trPr>
        <w:tc>
          <w:tcPr>
            <w:tcW w:w="9555" w:type="dxa"/>
            <w:shd w:val="clear" w:color="auto" w:fill="auto"/>
            <w:tcMar>
              <w:left w:w="28" w:type="dxa"/>
            </w:tcMar>
          </w:tcPr>
          <w:p w:rsidR="001E6FB8" w:rsidRPr="00E141F1" w:rsidRDefault="001E6FB8" w:rsidP="001E6FB8">
            <w:pPr>
              <w:keepNext/>
              <w:keepLines/>
              <w:rPr>
                <w:rFonts w:cs="Arial"/>
              </w:rPr>
            </w:pPr>
            <w:r w:rsidRPr="002460B8">
              <w:rPr>
                <w:rFonts w:cs="Arial"/>
                <w:noProof/>
              </w:rPr>
              <w:drawing>
                <wp:inline distT="0" distB="0" distL="0" distR="0">
                  <wp:extent cx="6070862" cy="2366128"/>
                  <wp:effectExtent l="0" t="0" r="0" b="0"/>
                  <wp:docPr id="310"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1E6FB8" w:rsidRPr="00E141F1" w:rsidTr="001E6FB8">
        <w:trPr>
          <w:trHeight w:val="80"/>
        </w:trPr>
        <w:tc>
          <w:tcPr>
            <w:tcW w:w="9555" w:type="dxa"/>
            <w:tcBorders>
              <w:bottom w:val="single" w:sz="2" w:space="0" w:color="505050"/>
            </w:tcBorders>
            <w:shd w:val="clear" w:color="auto" w:fill="auto"/>
          </w:tcPr>
          <w:p w:rsidR="001E6FB8" w:rsidRPr="00E141F1" w:rsidRDefault="001E6FB8" w:rsidP="001E6FB8">
            <w:pPr>
              <w:keepNext/>
              <w:keepLines/>
              <w:spacing w:after="60" w:line="240" w:lineRule="auto"/>
              <w:rPr>
                <w:rFonts w:cs="Arial"/>
              </w:rPr>
            </w:pPr>
            <w:r w:rsidRPr="00E141F1">
              <w:rPr>
                <w:rFonts w:cs="Arial"/>
                <w:i/>
                <w:sz w:val="16"/>
                <w:szCs w:val="16"/>
              </w:rPr>
              <w:t>Source: ACMA licensing figures.</w:t>
            </w:r>
          </w:p>
        </w:tc>
      </w:tr>
    </w:tbl>
    <w:p w:rsidR="001E6FB8" w:rsidRPr="00E141F1" w:rsidRDefault="001E6FB8" w:rsidP="001E6FB8">
      <w:pPr>
        <w:spacing w:line="240" w:lineRule="auto"/>
        <w:rPr>
          <w:rFonts w:cs="Arial"/>
          <w:b/>
          <w:bCs/>
        </w:rPr>
      </w:pPr>
    </w:p>
    <w:p w:rsidR="001E6FB8" w:rsidRPr="00E141F1" w:rsidRDefault="001E6FB8" w:rsidP="001E6FB8">
      <w:pPr>
        <w:rPr>
          <w:rFonts w:cs="Arial"/>
        </w:rPr>
      </w:pPr>
      <w:r w:rsidRPr="00E141F1">
        <w:rPr>
          <w:rFonts w:cs="Arial"/>
        </w:rPr>
        <w:t xml:space="preserve">At June 2013, there were 71 nominated carrier declarations (NCDs) in force. </w:t>
      </w:r>
      <w:r>
        <w:rPr>
          <w:rFonts w:cs="Arial"/>
        </w:rPr>
        <w:br/>
      </w:r>
      <w:r w:rsidRPr="00E141F1">
        <w:rPr>
          <w:rFonts w:cs="Arial"/>
        </w:rPr>
        <w:t>In 2012–13, the ACMA granted two NCDs and revoked two NCDs (Figure 1.15). During 2012–13, the ACMA issued two trial certificates compared to five in the previous period.</w:t>
      </w:r>
      <w:r w:rsidRPr="00E141F1">
        <w:rPr>
          <w:rStyle w:val="EndnoteReference"/>
          <w:rFonts w:cs="Arial"/>
        </w:rPr>
        <w:endnoteReference w:id="24"/>
      </w:r>
      <w:r w:rsidRPr="00E141F1">
        <w:rPr>
          <w:rFonts w:cs="Arial"/>
        </w:rPr>
        <w:t xml:space="preserve"> Trial certificates facilitate provision of new technology and services into the communications market</w:t>
      </w:r>
      <w:r w:rsidRPr="00E141F1">
        <w:rPr>
          <w:rFonts w:cs="Arial"/>
          <w:i/>
        </w:rPr>
        <w:t>.</w:t>
      </w:r>
    </w:p>
    <w:p w:rsidR="001E6FB8" w:rsidRPr="00E141F1" w:rsidRDefault="001E6FB8" w:rsidP="001E6FB8">
      <w:pPr>
        <w:rPr>
          <w:rFonts w:cs="Arial"/>
          <w:b/>
          <w:bCs/>
        </w:rPr>
      </w:pPr>
    </w:p>
    <w:tbl>
      <w:tblPr>
        <w:tblW w:w="9960" w:type="dxa"/>
        <w:tblLayout w:type="fixed"/>
        <w:tblCellMar>
          <w:left w:w="0" w:type="dxa"/>
          <w:right w:w="0" w:type="dxa"/>
        </w:tblCellMar>
        <w:tblLook w:val="01E0"/>
      </w:tblPr>
      <w:tblGrid>
        <w:gridCol w:w="9960"/>
      </w:tblGrid>
      <w:tr w:rsidR="001E6FB8" w:rsidRPr="00E141F1" w:rsidTr="001E6FB8">
        <w:trPr>
          <w:trHeight w:val="715"/>
        </w:trPr>
        <w:tc>
          <w:tcPr>
            <w:tcW w:w="9960"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15</w:t>
            </w:r>
            <w:r w:rsidR="00421002" w:rsidRPr="00E141F1">
              <w:rPr>
                <w:rFonts w:cs="Arial"/>
              </w:rPr>
              <w:fldChar w:fldCharType="end"/>
            </w:r>
            <w:r w:rsidRPr="00E141F1">
              <w:rPr>
                <w:rFonts w:cs="Arial"/>
              </w:rPr>
              <w:t xml:space="preserve"> Trends in nominated carrier declarations</w:t>
            </w:r>
          </w:p>
        </w:tc>
      </w:tr>
      <w:tr w:rsidR="001E6FB8" w:rsidRPr="00E141F1" w:rsidTr="001E6FB8">
        <w:trPr>
          <w:trHeight w:val="3873"/>
        </w:trPr>
        <w:tc>
          <w:tcPr>
            <w:tcW w:w="9960" w:type="dxa"/>
            <w:shd w:val="clear" w:color="auto" w:fill="auto"/>
            <w:tcMar>
              <w:left w:w="28" w:type="dxa"/>
            </w:tcMar>
          </w:tcPr>
          <w:p w:rsidR="001E6FB8" w:rsidRPr="00E141F1" w:rsidRDefault="001E6FB8" w:rsidP="001E6FB8">
            <w:pPr>
              <w:keepNext/>
              <w:keepLines/>
              <w:rPr>
                <w:rFonts w:cs="Arial"/>
              </w:rPr>
            </w:pPr>
            <w:r w:rsidRPr="002460B8">
              <w:rPr>
                <w:rFonts w:cs="Arial"/>
                <w:noProof/>
              </w:rPr>
              <w:drawing>
                <wp:inline distT="0" distB="0" distL="0" distR="0">
                  <wp:extent cx="6315958" cy="2450969"/>
                  <wp:effectExtent l="0" t="0" r="0" b="0"/>
                  <wp:docPr id="313"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r w:rsidR="001E6FB8" w:rsidRPr="00E141F1" w:rsidTr="001E6FB8">
        <w:trPr>
          <w:trHeight w:val="264"/>
        </w:trPr>
        <w:tc>
          <w:tcPr>
            <w:tcW w:w="9960" w:type="dxa"/>
            <w:tcBorders>
              <w:bottom w:val="single" w:sz="2" w:space="0" w:color="505050"/>
            </w:tcBorders>
            <w:shd w:val="clear" w:color="auto" w:fill="auto"/>
          </w:tcPr>
          <w:p w:rsidR="001E6FB8" w:rsidRPr="00E141F1" w:rsidRDefault="001E6FB8" w:rsidP="001E6FB8">
            <w:pPr>
              <w:keepNext/>
              <w:keepLines/>
              <w:spacing w:after="60"/>
              <w:rPr>
                <w:rFonts w:cs="Arial"/>
                <w:color w:val="808285"/>
                <w:spacing w:val="-28"/>
                <w:sz w:val="53"/>
              </w:rPr>
            </w:pPr>
            <w:r w:rsidRPr="00E141F1">
              <w:rPr>
                <w:rFonts w:cs="Arial"/>
                <w:i/>
                <w:sz w:val="16"/>
                <w:szCs w:val="16"/>
              </w:rPr>
              <w:t>Source: ACMA licensing figures.</w:t>
            </w:r>
          </w:p>
        </w:tc>
      </w:tr>
    </w:tbl>
    <w:p w:rsidR="001E6FB8" w:rsidRPr="00E141F1" w:rsidRDefault="001E6FB8" w:rsidP="001E6FB8">
      <w:bookmarkStart w:id="144" w:name="_Toc341428312"/>
    </w:p>
    <w:p w:rsidR="001E6FB8" w:rsidRPr="00E141F1" w:rsidRDefault="001E6FB8" w:rsidP="001E6FB8">
      <w:pPr>
        <w:pStyle w:val="Heading2"/>
      </w:pPr>
      <w:bookmarkStart w:id="145" w:name="_Toc371588992"/>
      <w:bookmarkStart w:id="146" w:name="_Toc373149054"/>
      <w:r w:rsidRPr="00E141F1">
        <w:t>Allocation of numbers</w:t>
      </w:r>
      <w:bookmarkEnd w:id="144"/>
      <w:bookmarkEnd w:id="145"/>
      <w:bookmarkEnd w:id="146"/>
    </w:p>
    <w:p w:rsidR="001E6FB8" w:rsidRPr="00E141F1" w:rsidRDefault="001E6FB8" w:rsidP="001E6FB8">
      <w:pPr>
        <w:pStyle w:val="Heading3"/>
        <w:rPr>
          <w:b w:val="0"/>
          <w:bCs w:val="0"/>
        </w:rPr>
      </w:pPr>
      <w:bookmarkStart w:id="147" w:name="_Toc371588993"/>
      <w:bookmarkStart w:id="148" w:name="_Toc373149055"/>
      <w:proofErr w:type="spellStart"/>
      <w:r w:rsidRPr="00782224">
        <w:t>Smartnumbers</w:t>
      </w:r>
      <w:bookmarkEnd w:id="147"/>
      <w:bookmarkEnd w:id="148"/>
      <w:proofErr w:type="spellEnd"/>
    </w:p>
    <w:p w:rsidR="001E6FB8" w:rsidRPr="00E141F1" w:rsidRDefault="001E6FB8" w:rsidP="001E6FB8">
      <w:pPr>
        <w:spacing w:line="240" w:lineRule="auto"/>
        <w:rPr>
          <w:rFonts w:cs="Arial"/>
          <w:b/>
          <w:bCs/>
        </w:rPr>
      </w:pPr>
      <w:r w:rsidRPr="00E141F1">
        <w:rPr>
          <w:rFonts w:cs="Arial"/>
          <w:bCs/>
        </w:rPr>
        <w:t xml:space="preserve">The </w:t>
      </w:r>
      <w:proofErr w:type="spellStart"/>
      <w:r w:rsidRPr="00E141F1">
        <w:rPr>
          <w:rFonts w:cs="Arial"/>
          <w:bCs/>
        </w:rPr>
        <w:t>smartnumbers</w:t>
      </w:r>
      <w:proofErr w:type="spellEnd"/>
      <w:r w:rsidRPr="00E141F1">
        <w:rPr>
          <w:rFonts w:cs="Arial"/>
          <w:bCs/>
        </w:rPr>
        <w:t xml:space="preserve"> auction system was introduced in 2004 as an efficient way to</w:t>
      </w:r>
      <w:r w:rsidRPr="00E141F1" w:rsidDel="00F21F8B">
        <w:rPr>
          <w:rFonts w:cs="Arial"/>
          <w:bCs/>
        </w:rPr>
        <w:t xml:space="preserve"> </w:t>
      </w:r>
      <w:r w:rsidRPr="00E141F1">
        <w:rPr>
          <w:rFonts w:cs="Arial"/>
          <w:bCs/>
        </w:rPr>
        <w:t xml:space="preserve">allocate </w:t>
      </w:r>
      <w:proofErr w:type="spellStart"/>
      <w:r w:rsidRPr="00E141F1">
        <w:rPr>
          <w:rFonts w:cs="Arial"/>
          <w:bCs/>
        </w:rPr>
        <w:t>freephone</w:t>
      </w:r>
      <w:proofErr w:type="spellEnd"/>
      <w:r w:rsidRPr="00E141F1">
        <w:rPr>
          <w:rFonts w:cs="Arial"/>
          <w:bCs/>
        </w:rPr>
        <w:t xml:space="preserve"> and local rate numbers (FLRNs)—numbers commencing with 13, 1300 and 1800—and to enable an appropriate return for this valuable and limited resource. The ACMA currently conducts public auctions each fortnight. In 2012–13, the ACMA sold 4,479 numbers through the </w:t>
      </w:r>
      <w:proofErr w:type="spellStart"/>
      <w:r w:rsidRPr="00E141F1">
        <w:rPr>
          <w:rFonts w:cs="Arial"/>
          <w:bCs/>
        </w:rPr>
        <w:t>smartnumbers</w:t>
      </w:r>
      <w:proofErr w:type="spellEnd"/>
      <w:r w:rsidRPr="00E141F1">
        <w:rPr>
          <w:rFonts w:cs="Arial"/>
          <w:bCs/>
        </w:rPr>
        <w:t xml:space="preserve"> auction allocation system and raised approximately $1.68 million in revenue. This is comparable with 2011–12, when 4,988 numbers were purchased and $1.74 million in revenue was raised</w:t>
      </w:r>
      <w:r w:rsidRPr="00E141F1">
        <w:rPr>
          <w:rFonts w:cs="Arial"/>
          <w:b/>
          <w:bCs/>
        </w:rPr>
        <w:t>.</w:t>
      </w:r>
    </w:p>
    <w:p w:rsidR="001E6FB8" w:rsidRPr="00E141F1" w:rsidRDefault="001E6FB8" w:rsidP="001E6FB8">
      <w:pPr>
        <w:spacing w:line="240" w:lineRule="auto"/>
        <w:rPr>
          <w:rFonts w:cs="Arial"/>
          <w:b/>
          <w:bCs/>
        </w:rPr>
      </w:pPr>
    </w:p>
    <w:p w:rsidR="001E6FB8" w:rsidRPr="00E141F1" w:rsidRDefault="001E6FB8" w:rsidP="001E6FB8">
      <w:pPr>
        <w:pStyle w:val="Heading3"/>
        <w:rPr>
          <w:b w:val="0"/>
          <w:bCs w:val="0"/>
        </w:rPr>
      </w:pPr>
      <w:bookmarkStart w:id="149" w:name="_Toc371588994"/>
      <w:bookmarkStart w:id="150" w:name="_Toc373149056"/>
      <w:r w:rsidRPr="00E141F1">
        <w:t>Geographic numbers</w:t>
      </w:r>
      <w:bookmarkEnd w:id="149"/>
      <w:bookmarkEnd w:id="150"/>
    </w:p>
    <w:p w:rsidR="001E6FB8" w:rsidRPr="00E141F1" w:rsidRDefault="001E6FB8" w:rsidP="001E6FB8">
      <w:pPr>
        <w:spacing w:line="240" w:lineRule="auto"/>
        <w:rPr>
          <w:rFonts w:cs="Arial"/>
          <w:bCs/>
        </w:rPr>
      </w:pPr>
      <w:r w:rsidRPr="00E141F1">
        <w:rPr>
          <w:rFonts w:cs="Arial"/>
          <w:bCs/>
        </w:rPr>
        <w:t>There was a decrease in geographic numbers allocated to CSPs during 2012–13 compared to 2011–12.</w:t>
      </w:r>
      <w:r>
        <w:rPr>
          <w:rFonts w:cs="Arial"/>
          <w:bCs/>
        </w:rPr>
        <w:t xml:space="preserve"> </w:t>
      </w:r>
      <w:r w:rsidRPr="00E141F1">
        <w:rPr>
          <w:rFonts w:cs="Arial"/>
          <w:bCs/>
        </w:rPr>
        <w:t xml:space="preserve"> </w:t>
      </w:r>
    </w:p>
    <w:p w:rsidR="001E6FB8" w:rsidRPr="00E141F1" w:rsidRDefault="001E6FB8" w:rsidP="001E6FB8">
      <w:pPr>
        <w:spacing w:line="240" w:lineRule="auto"/>
        <w:rPr>
          <w:rFonts w:cs="Arial"/>
          <w:bCs/>
        </w:rPr>
      </w:pPr>
    </w:p>
    <w:p w:rsidR="001E6FB8" w:rsidRPr="00E141F1" w:rsidRDefault="001E6FB8" w:rsidP="001E6FB8">
      <w:pPr>
        <w:spacing w:line="240" w:lineRule="auto"/>
        <w:rPr>
          <w:rFonts w:cs="Arial"/>
          <w:bCs/>
        </w:rPr>
      </w:pPr>
      <w:r w:rsidRPr="00E141F1">
        <w:rPr>
          <w:rFonts w:cs="Arial"/>
          <w:bCs/>
        </w:rPr>
        <w:t xml:space="preserve">Figure 1.16 shows the quantity of geographic numbers allocated to CSPs over the last </w:t>
      </w:r>
      <w:r>
        <w:rPr>
          <w:rFonts w:cs="Arial"/>
          <w:bCs/>
        </w:rPr>
        <w:t>five</w:t>
      </w:r>
      <w:r w:rsidRPr="00E141F1">
        <w:rPr>
          <w:rFonts w:cs="Arial"/>
          <w:bCs/>
        </w:rPr>
        <w:t xml:space="preserve"> financial years.</w:t>
      </w:r>
      <w:r>
        <w:rPr>
          <w:rFonts w:cs="Arial"/>
          <w:bCs/>
        </w:rPr>
        <w:t xml:space="preserve"> </w:t>
      </w:r>
      <w:r w:rsidRPr="00E141F1">
        <w:rPr>
          <w:rFonts w:cs="Arial"/>
          <w:bCs/>
        </w:rPr>
        <w:t xml:space="preserve">In 2012–13, CSPs were allocated 1.78 million geographic numbers—down 33 per cent on allocations in 2011–12 but higher than in 2009–10 and 2010–11. </w:t>
      </w:r>
    </w:p>
    <w:p w:rsidR="001E6FB8" w:rsidRPr="00E141F1" w:rsidRDefault="001E6FB8" w:rsidP="001E6FB8">
      <w:pPr>
        <w:spacing w:line="240" w:lineRule="auto"/>
        <w:rPr>
          <w:rFonts w:cs="Arial"/>
          <w:bCs/>
        </w:rPr>
      </w:pPr>
    </w:p>
    <w:p w:rsidR="001E6FB8" w:rsidRPr="00E141F1" w:rsidRDefault="001E6FB8" w:rsidP="001E6FB8">
      <w:pPr>
        <w:spacing w:line="240" w:lineRule="auto"/>
        <w:rPr>
          <w:rFonts w:cs="Arial"/>
          <w:bCs/>
        </w:rPr>
      </w:pPr>
      <w:r w:rsidRPr="00E141F1">
        <w:rPr>
          <w:rFonts w:cs="Arial"/>
          <w:bCs/>
        </w:rPr>
        <w:t>The decrease may reflect consolidation in the market, with all numbers allocated during 2012–13 being to CSPs that had received previous allocations of numbers. One CSP was allocated 813,000 numbers to enable it to provide services in all areas of Australia.</w:t>
      </w:r>
    </w:p>
    <w:p w:rsidR="001E6FB8" w:rsidRPr="00E141F1" w:rsidRDefault="001E6FB8" w:rsidP="001E6FB8">
      <w:pPr>
        <w:spacing w:line="240" w:lineRule="auto"/>
        <w:rPr>
          <w:rFonts w:cs="Arial"/>
          <w:bCs/>
        </w:rPr>
      </w:pPr>
    </w:p>
    <w:p w:rsidR="001E6FB8" w:rsidRPr="00E141F1" w:rsidRDefault="001E6FB8" w:rsidP="001E6FB8">
      <w:pPr>
        <w:spacing w:line="240" w:lineRule="auto"/>
        <w:rPr>
          <w:rFonts w:cs="Arial"/>
          <w:bCs/>
        </w:rPr>
      </w:pPr>
      <w:r w:rsidRPr="00E141F1">
        <w:rPr>
          <w:rFonts w:cs="Arial"/>
          <w:bCs/>
        </w:rPr>
        <w:t>CSPs surrendered 419,100 geographic numbers during 2012–13 compared with 18,400 for 2011–12. A large portion of these can be attributed to an ACMA request to CSPs to surrender numbers not in use. During 2012–13, 1.56 million geographic numbers were transferred between three CSPs. The transfers were mainly related to interconnect agreements between CSPs.</w:t>
      </w:r>
    </w:p>
    <w:p w:rsidR="001E6FB8" w:rsidRPr="00E141F1" w:rsidRDefault="001E6FB8" w:rsidP="001E6FB8">
      <w:pPr>
        <w:spacing w:line="240" w:lineRule="auto"/>
        <w:rPr>
          <w:rFonts w:cs="Arial"/>
          <w:b/>
          <w:bCs/>
        </w:rPr>
      </w:pPr>
    </w:p>
    <w:tbl>
      <w:tblPr>
        <w:tblW w:w="9960" w:type="dxa"/>
        <w:tblLayout w:type="fixed"/>
        <w:tblCellMar>
          <w:left w:w="0" w:type="dxa"/>
          <w:right w:w="0" w:type="dxa"/>
        </w:tblCellMar>
        <w:tblLook w:val="01E0"/>
      </w:tblPr>
      <w:tblGrid>
        <w:gridCol w:w="9960"/>
      </w:tblGrid>
      <w:tr w:rsidR="001E6FB8" w:rsidRPr="00E141F1" w:rsidTr="001E6FB8">
        <w:trPr>
          <w:trHeight w:val="536"/>
        </w:trPr>
        <w:tc>
          <w:tcPr>
            <w:tcW w:w="9960"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16</w:t>
            </w:r>
            <w:r w:rsidR="00421002" w:rsidRPr="00E141F1">
              <w:rPr>
                <w:rFonts w:cs="Arial"/>
              </w:rPr>
              <w:fldChar w:fldCharType="end"/>
            </w:r>
            <w:r w:rsidRPr="00E141F1">
              <w:rPr>
                <w:rFonts w:cs="Arial"/>
              </w:rPr>
              <w:t xml:space="preserve"> Trends in numbers allocated</w:t>
            </w:r>
          </w:p>
        </w:tc>
      </w:tr>
      <w:tr w:rsidR="001E6FB8" w:rsidRPr="00E141F1" w:rsidTr="001E6FB8">
        <w:trPr>
          <w:trHeight w:val="3873"/>
        </w:trPr>
        <w:tc>
          <w:tcPr>
            <w:tcW w:w="9960" w:type="dxa"/>
            <w:shd w:val="clear" w:color="auto" w:fill="auto"/>
            <w:tcMar>
              <w:left w:w="28" w:type="dxa"/>
            </w:tcMar>
          </w:tcPr>
          <w:p w:rsidR="001E6FB8" w:rsidRPr="00E141F1" w:rsidRDefault="001E6FB8" w:rsidP="001E6FB8">
            <w:pPr>
              <w:rPr>
                <w:rFonts w:cs="Arial"/>
              </w:rPr>
            </w:pPr>
            <w:r w:rsidRPr="009D70A9">
              <w:rPr>
                <w:rFonts w:cs="Arial"/>
                <w:noProof/>
              </w:rPr>
              <w:drawing>
                <wp:inline distT="0" distB="0" distL="0" distR="0">
                  <wp:extent cx="6281530" cy="2395330"/>
                  <wp:effectExtent l="0" t="0" r="0" b="0"/>
                  <wp:docPr id="286"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1E6FB8" w:rsidRPr="00E141F1" w:rsidTr="001E6FB8">
        <w:trPr>
          <w:trHeight w:val="257"/>
        </w:trPr>
        <w:tc>
          <w:tcPr>
            <w:tcW w:w="9960" w:type="dxa"/>
            <w:tcBorders>
              <w:bottom w:val="single" w:sz="2" w:space="0" w:color="505050"/>
            </w:tcBorders>
            <w:shd w:val="clear" w:color="auto" w:fill="auto"/>
          </w:tcPr>
          <w:p w:rsidR="001E6FB8" w:rsidRPr="00E141F1" w:rsidRDefault="001E6FB8" w:rsidP="001E6FB8">
            <w:pPr>
              <w:spacing w:after="60"/>
              <w:rPr>
                <w:rFonts w:cs="Arial"/>
              </w:rPr>
            </w:pPr>
            <w:r w:rsidRPr="00E141F1">
              <w:rPr>
                <w:rFonts w:cs="Arial"/>
                <w:i/>
                <w:sz w:val="16"/>
                <w:szCs w:val="16"/>
              </w:rPr>
              <w:t>Source: The ACMA.</w:t>
            </w:r>
          </w:p>
        </w:tc>
      </w:tr>
    </w:tbl>
    <w:p w:rsidR="001E6FB8" w:rsidRPr="00E141F1" w:rsidRDefault="001E6FB8" w:rsidP="001E6FB8">
      <w:pPr>
        <w:tabs>
          <w:tab w:val="left" w:pos="1424"/>
        </w:tabs>
        <w:spacing w:line="240" w:lineRule="auto"/>
        <w:rPr>
          <w:rFonts w:cs="Arial"/>
          <w:bCs/>
        </w:rPr>
      </w:pPr>
    </w:p>
    <w:p w:rsidR="001E6FB8" w:rsidRPr="00E141F1" w:rsidRDefault="001E6FB8" w:rsidP="001E6FB8">
      <w:pPr>
        <w:pStyle w:val="Heading3"/>
        <w:rPr>
          <w:b w:val="0"/>
        </w:rPr>
      </w:pPr>
      <w:bookmarkStart w:id="151" w:name="_Toc371588995"/>
      <w:bookmarkStart w:id="152" w:name="_Toc373149057"/>
      <w:r w:rsidRPr="00E141F1">
        <w:t>Digital mobile numbers</w:t>
      </w:r>
      <w:bookmarkEnd w:id="151"/>
      <w:bookmarkEnd w:id="152"/>
      <w:r w:rsidRPr="00E141F1">
        <w:t xml:space="preserve"> </w:t>
      </w:r>
    </w:p>
    <w:p w:rsidR="001E6FB8" w:rsidRPr="00E141F1" w:rsidRDefault="001E6FB8" w:rsidP="001E6FB8">
      <w:pPr>
        <w:spacing w:after="240" w:line="240" w:lineRule="auto"/>
        <w:rPr>
          <w:rFonts w:cs="Arial"/>
          <w:bCs/>
        </w:rPr>
      </w:pPr>
      <w:r w:rsidRPr="00E141F1">
        <w:rPr>
          <w:rFonts w:cs="Arial"/>
          <w:bCs/>
        </w:rPr>
        <w:t>During 2012–13, CSPs were allocated 2.91 million digital mobile numbers, down from 6.4 million during 2011–12 and 5.9 million in 2010–11. At 30 June 2013, 34.4 per cent of available mobile numbers had been allocated. The use of mobile numbers for devices with wireless internet connectivity and for machine-to-machine communication continues to drive demand for mobile numbers.</w:t>
      </w:r>
    </w:p>
    <w:p w:rsidR="001E6FB8" w:rsidRPr="00E141F1" w:rsidRDefault="001E6FB8" w:rsidP="001E6FB8">
      <w:pPr>
        <w:pStyle w:val="Heading3"/>
        <w:rPr>
          <w:b w:val="0"/>
          <w:bCs w:val="0"/>
        </w:rPr>
      </w:pPr>
      <w:bookmarkStart w:id="153" w:name="_Toc371588996"/>
      <w:bookmarkStart w:id="154" w:name="_Toc373149058"/>
      <w:r w:rsidRPr="00E141F1">
        <w:t>Location-independent communications service numbers</w:t>
      </w:r>
      <w:bookmarkEnd w:id="153"/>
      <w:bookmarkEnd w:id="154"/>
      <w:r w:rsidRPr="00E141F1">
        <w:t xml:space="preserve"> </w:t>
      </w:r>
    </w:p>
    <w:p w:rsidR="001E6FB8" w:rsidRPr="00E141F1" w:rsidRDefault="001E6FB8" w:rsidP="001E6FB8">
      <w:pPr>
        <w:spacing w:line="240" w:lineRule="auto"/>
        <w:rPr>
          <w:rFonts w:cs="Arial"/>
          <w:bCs/>
        </w:rPr>
      </w:pPr>
      <w:r w:rsidRPr="00E141F1">
        <w:rPr>
          <w:rFonts w:cs="Arial"/>
          <w:bCs/>
        </w:rPr>
        <w:t>Numbers commencing with 0550 are for use with location-independent communications services (LICS) and have been available since 2007. This range is available for IP-based services that are ‘nomadic’ (not fixed to a particular geographic location). There has been limited take-up of LICS numbers, and more recently these numbers have been identified for future use for digital mobile services.</w:t>
      </w:r>
    </w:p>
    <w:p w:rsidR="001E6FB8" w:rsidRPr="00E141F1" w:rsidRDefault="001E6FB8" w:rsidP="001E6FB8">
      <w:pPr>
        <w:spacing w:line="240" w:lineRule="auto"/>
        <w:rPr>
          <w:rFonts w:cs="Arial"/>
          <w:b/>
          <w:bCs/>
        </w:rPr>
      </w:pPr>
    </w:p>
    <w:p w:rsidR="001E6FB8" w:rsidRPr="00E141F1" w:rsidRDefault="001E6FB8" w:rsidP="001E6FB8">
      <w:pPr>
        <w:spacing w:line="240" w:lineRule="auto"/>
        <w:rPr>
          <w:rFonts w:cs="Arial"/>
          <w:bCs/>
        </w:rPr>
      </w:pPr>
      <w:r w:rsidRPr="00E141F1">
        <w:rPr>
          <w:rFonts w:cs="Arial"/>
          <w:bCs/>
        </w:rPr>
        <w:t xml:space="preserve">At 30 June 2013, 17,000 LICS numbers were allocated to five CSPs. </w:t>
      </w:r>
      <w:r w:rsidRPr="00C12A2A">
        <w:rPr>
          <w:rFonts w:cs="Arial"/>
          <w:bCs/>
        </w:rPr>
        <w:t>During</w:t>
      </w:r>
      <w:r w:rsidRPr="00E141F1">
        <w:rPr>
          <w:rFonts w:cs="Arial"/>
          <w:bCs/>
        </w:rPr>
        <w:t xml:space="preserve"> 2012–13, 10,000 numbers were allocated and no numbers were surrendered.</w:t>
      </w:r>
    </w:p>
    <w:p w:rsidR="001E6FB8" w:rsidRPr="00E141F1" w:rsidRDefault="001E6FB8" w:rsidP="001E6FB8">
      <w:pPr>
        <w:spacing w:line="240" w:lineRule="auto"/>
        <w:rPr>
          <w:rFonts w:cs="Arial"/>
          <w:b/>
          <w:bCs/>
        </w:rPr>
      </w:pPr>
    </w:p>
    <w:p w:rsidR="001E6FB8" w:rsidRPr="00E141F1" w:rsidRDefault="001E6FB8" w:rsidP="001E6FB8">
      <w:pPr>
        <w:spacing w:line="240" w:lineRule="auto"/>
        <w:rPr>
          <w:rFonts w:cs="Arial"/>
          <w:b/>
          <w:bCs/>
        </w:rPr>
      </w:pPr>
      <w:r w:rsidRPr="00E141F1">
        <w:rPr>
          <w:rFonts w:cs="Arial"/>
          <w:b/>
          <w:bCs/>
        </w:rPr>
        <w:t>Other numbers</w:t>
      </w:r>
    </w:p>
    <w:p w:rsidR="001E6FB8" w:rsidRPr="00E141F1" w:rsidRDefault="001E6FB8" w:rsidP="001E6FB8">
      <w:pPr>
        <w:spacing w:line="240" w:lineRule="auto"/>
        <w:rPr>
          <w:rFonts w:cs="Arial"/>
          <w:bCs/>
        </w:rPr>
      </w:pPr>
      <w:r w:rsidRPr="00E141F1">
        <w:rPr>
          <w:rFonts w:cs="Arial"/>
          <w:bCs/>
        </w:rPr>
        <w:t xml:space="preserve">During 2012–13, there was limited demand from CSPs for number types other than geographic and digital mobile services. </w:t>
      </w:r>
      <w:r>
        <w:rPr>
          <w:rFonts w:cs="Arial"/>
          <w:bCs/>
        </w:rPr>
        <w:t>Four</w:t>
      </w:r>
      <w:r w:rsidRPr="00E141F1">
        <w:rPr>
          <w:rFonts w:cs="Arial"/>
          <w:bCs/>
        </w:rPr>
        <w:t xml:space="preserve"> mobile network codes and one international signalling point code were issued to network operato</w:t>
      </w:r>
      <w:r>
        <w:rPr>
          <w:rFonts w:cs="Arial"/>
          <w:bCs/>
        </w:rPr>
        <w:t xml:space="preserve">rs. The three remaining </w:t>
      </w:r>
      <w:proofErr w:type="spellStart"/>
      <w:r>
        <w:rPr>
          <w:rFonts w:cs="Arial"/>
          <w:bCs/>
        </w:rPr>
        <w:t>analog</w:t>
      </w:r>
      <w:proofErr w:type="spellEnd"/>
      <w:r w:rsidRPr="00E141F1">
        <w:rPr>
          <w:rFonts w:cs="Arial"/>
          <w:bCs/>
        </w:rPr>
        <w:t xml:space="preserve"> AMPs numbers in use in network systems were also surrendered to the ACMA. </w:t>
      </w:r>
    </w:p>
    <w:p w:rsidR="001E6FB8" w:rsidRPr="00E141F1" w:rsidRDefault="001E6FB8" w:rsidP="001E6FB8">
      <w:pPr>
        <w:spacing w:line="240" w:lineRule="auto"/>
        <w:rPr>
          <w:rFonts w:cs="Arial"/>
          <w:b/>
          <w:bCs/>
        </w:rPr>
      </w:pPr>
    </w:p>
    <w:p w:rsidR="001E6FB8" w:rsidRPr="00E141F1" w:rsidRDefault="001E6FB8" w:rsidP="001E6FB8">
      <w:pPr>
        <w:pStyle w:val="Heading2"/>
      </w:pPr>
      <w:bookmarkStart w:id="155" w:name="_Toc371588997"/>
      <w:bookmarkStart w:id="156" w:name="_Toc373149059"/>
      <w:r w:rsidRPr="00E141F1">
        <w:t>Broadcasting services</w:t>
      </w:r>
      <w:bookmarkEnd w:id="155"/>
      <w:bookmarkEnd w:id="156"/>
    </w:p>
    <w:p w:rsidR="001E6FB8" w:rsidRPr="00E141F1" w:rsidRDefault="001E6FB8" w:rsidP="001E6FB8">
      <w:pPr>
        <w:rPr>
          <w:rFonts w:cs="Arial"/>
        </w:rPr>
      </w:pPr>
      <w:r w:rsidRPr="00E141F1">
        <w:rPr>
          <w:rFonts w:cs="Arial"/>
        </w:rPr>
        <w:t>The number of broadcasting (television and radio) licences in operation remained relatively stable from the 2011–12 reporting period. At June 2013, there were 346 commercial broadcasting (radio and television) licences, 2,737 subscription television licences and 519 community radio and television licences (including temporary licences) active in Australia (Figure 1.17).</w:t>
      </w:r>
    </w:p>
    <w:p w:rsidR="001E6FB8" w:rsidRPr="00E141F1" w:rsidRDefault="001E6FB8" w:rsidP="001E6FB8">
      <w:pPr>
        <w:spacing w:line="240" w:lineRule="auto"/>
        <w:rPr>
          <w:rFonts w:cs="Arial"/>
        </w:rPr>
      </w:pPr>
    </w:p>
    <w:tbl>
      <w:tblPr>
        <w:tblW w:w="9960" w:type="dxa"/>
        <w:tblLayout w:type="fixed"/>
        <w:tblCellMar>
          <w:left w:w="0" w:type="dxa"/>
          <w:right w:w="0" w:type="dxa"/>
        </w:tblCellMar>
        <w:tblLook w:val="01E0"/>
      </w:tblPr>
      <w:tblGrid>
        <w:gridCol w:w="9960"/>
      </w:tblGrid>
      <w:tr w:rsidR="001E6FB8" w:rsidRPr="00E141F1" w:rsidTr="001E6FB8">
        <w:trPr>
          <w:trHeight w:val="715"/>
        </w:trPr>
        <w:tc>
          <w:tcPr>
            <w:tcW w:w="9960"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17</w:t>
            </w:r>
            <w:r w:rsidR="00421002" w:rsidRPr="00E141F1">
              <w:rPr>
                <w:rFonts w:cs="Arial"/>
              </w:rPr>
              <w:fldChar w:fldCharType="end"/>
            </w:r>
            <w:r w:rsidRPr="00E141F1">
              <w:rPr>
                <w:rFonts w:cs="Arial"/>
              </w:rPr>
              <w:t xml:space="preserve"> Number of broadcasting licences in operation in Australia</w:t>
            </w:r>
          </w:p>
        </w:tc>
      </w:tr>
      <w:tr w:rsidR="001E6FB8" w:rsidRPr="00E141F1" w:rsidTr="001E6FB8">
        <w:trPr>
          <w:trHeight w:val="3873"/>
        </w:trPr>
        <w:tc>
          <w:tcPr>
            <w:tcW w:w="9960" w:type="dxa"/>
            <w:shd w:val="clear" w:color="auto" w:fill="auto"/>
            <w:tcMar>
              <w:left w:w="28" w:type="dxa"/>
            </w:tcMar>
          </w:tcPr>
          <w:p w:rsidR="001E6FB8" w:rsidRPr="00E141F1" w:rsidRDefault="001E6FB8" w:rsidP="001E6FB8">
            <w:pPr>
              <w:keepNext/>
              <w:rPr>
                <w:rFonts w:cs="Arial"/>
              </w:rPr>
            </w:pPr>
            <w:r w:rsidRPr="002460B8">
              <w:rPr>
                <w:rFonts w:cs="Arial"/>
                <w:noProof/>
              </w:rPr>
              <w:drawing>
                <wp:inline distT="0" distB="0" distL="0" distR="0">
                  <wp:extent cx="5722070" cy="3374796"/>
                  <wp:effectExtent l="0" t="0" r="0" b="0"/>
                  <wp:docPr id="318"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1E6FB8" w:rsidRPr="00E141F1" w:rsidTr="001E6FB8">
        <w:trPr>
          <w:trHeight w:val="365"/>
        </w:trPr>
        <w:tc>
          <w:tcPr>
            <w:tcW w:w="9960" w:type="dxa"/>
            <w:tcBorders>
              <w:bottom w:val="single" w:sz="2" w:space="0" w:color="505050"/>
            </w:tcBorders>
            <w:shd w:val="clear" w:color="auto" w:fill="auto"/>
          </w:tcPr>
          <w:p w:rsidR="001E6FB8" w:rsidRPr="00E141F1" w:rsidRDefault="001E6FB8" w:rsidP="001E6FB8">
            <w:pPr>
              <w:keepNext/>
              <w:spacing w:line="240" w:lineRule="auto"/>
              <w:rPr>
                <w:rFonts w:cs="Arial"/>
                <w:i/>
                <w:sz w:val="16"/>
                <w:szCs w:val="16"/>
              </w:rPr>
            </w:pPr>
            <w:r w:rsidRPr="00E141F1">
              <w:rPr>
                <w:rFonts w:cs="Arial"/>
                <w:i/>
                <w:sz w:val="16"/>
                <w:szCs w:val="16"/>
              </w:rPr>
              <w:t>Note: The decrease in community radio and television licences reflects the number of indigenous broadcasting licences that lapsed and were not renewed during 2012–13.</w:t>
            </w:r>
          </w:p>
          <w:p w:rsidR="001E6FB8" w:rsidRPr="00E141F1" w:rsidRDefault="001E6FB8" w:rsidP="001E6FB8">
            <w:pPr>
              <w:keepNext/>
              <w:spacing w:after="60" w:line="240" w:lineRule="auto"/>
              <w:rPr>
                <w:rFonts w:cs="Arial"/>
              </w:rPr>
            </w:pPr>
            <w:r w:rsidRPr="00E141F1">
              <w:rPr>
                <w:rFonts w:cs="Arial"/>
                <w:i/>
                <w:sz w:val="16"/>
                <w:szCs w:val="16"/>
              </w:rPr>
              <w:t>Source: The ACMA.</w:t>
            </w:r>
          </w:p>
        </w:tc>
      </w:tr>
    </w:tbl>
    <w:p w:rsidR="001E6FB8" w:rsidRPr="00E141F1" w:rsidRDefault="001E6FB8" w:rsidP="001E6FB8">
      <w:pPr>
        <w:spacing w:line="240" w:lineRule="auto"/>
        <w:rPr>
          <w:rFonts w:cs="Arial"/>
          <w:b/>
          <w:bCs/>
        </w:rPr>
      </w:pPr>
    </w:p>
    <w:p w:rsidR="001E6FB8" w:rsidRDefault="001E6FB8" w:rsidP="001E6FB8">
      <w:pPr>
        <w:spacing w:line="240" w:lineRule="auto"/>
        <w:rPr>
          <w:rFonts w:cs="Arial"/>
          <w:b/>
          <w:bCs/>
          <w:iCs/>
          <w:sz w:val="28"/>
          <w:szCs w:val="28"/>
        </w:rPr>
      </w:pPr>
      <w:bookmarkStart w:id="157" w:name="_Toc308517149"/>
      <w:bookmarkStart w:id="158" w:name="_Toc308523595"/>
      <w:bookmarkStart w:id="159" w:name="_Toc312157108"/>
      <w:bookmarkStart w:id="160" w:name="_Toc341428319"/>
      <w:bookmarkStart w:id="161" w:name="_Toc287540119"/>
      <w:r>
        <w:br w:type="page"/>
      </w:r>
    </w:p>
    <w:p w:rsidR="001E6FB8" w:rsidRPr="00E141F1" w:rsidRDefault="001E6FB8" w:rsidP="001E6FB8">
      <w:pPr>
        <w:pStyle w:val="Heading2"/>
      </w:pPr>
      <w:bookmarkStart w:id="162" w:name="_Toc371588998"/>
      <w:bookmarkStart w:id="163" w:name="_Toc373149060"/>
      <w:r w:rsidRPr="00E141F1">
        <w:t>Commercial broadcasting services</w:t>
      </w:r>
      <w:bookmarkEnd w:id="157"/>
      <w:bookmarkEnd w:id="158"/>
      <w:bookmarkEnd w:id="159"/>
      <w:bookmarkEnd w:id="160"/>
      <w:bookmarkEnd w:id="162"/>
      <w:bookmarkEnd w:id="163"/>
    </w:p>
    <w:p w:rsidR="001E6FB8" w:rsidRPr="00E141F1" w:rsidRDefault="001E6FB8" w:rsidP="001E6FB8">
      <w:pPr>
        <w:rPr>
          <w:rFonts w:cs="Arial"/>
        </w:rPr>
      </w:pPr>
      <w:r w:rsidRPr="00E141F1">
        <w:rPr>
          <w:rFonts w:cs="Arial"/>
        </w:rPr>
        <w:t>Commercial broadcasting services comprise free-to-air radio and television services that are made available to the general public. Commercial free-to-air broadcasting services are also licensed to operate within specified geographic areas and have regulations to limit concentration of their ownership and control.</w:t>
      </w:r>
    </w:p>
    <w:p w:rsidR="001E6FB8" w:rsidRPr="00E141F1" w:rsidRDefault="001E6FB8" w:rsidP="001E6FB8">
      <w:pPr>
        <w:rPr>
          <w:rFonts w:cs="Arial"/>
        </w:rPr>
      </w:pPr>
      <w:bookmarkStart w:id="164" w:name="_Toc308517150"/>
      <w:bookmarkStart w:id="165" w:name="_Toc308523596"/>
      <w:bookmarkStart w:id="166" w:name="_Toc312157109"/>
    </w:p>
    <w:p w:rsidR="001E6FB8" w:rsidRPr="00E141F1" w:rsidRDefault="001E6FB8" w:rsidP="001E6FB8">
      <w:pPr>
        <w:pStyle w:val="Heading3"/>
      </w:pPr>
      <w:bookmarkStart w:id="167" w:name="_Toc341428320"/>
      <w:bookmarkStart w:id="168" w:name="_Toc371588999"/>
      <w:bookmarkStart w:id="169" w:name="_Toc373149061"/>
      <w:r w:rsidRPr="00E141F1">
        <w:t>Ownership and control of commercial television services</w:t>
      </w:r>
      <w:bookmarkEnd w:id="161"/>
      <w:bookmarkEnd w:id="164"/>
      <w:bookmarkEnd w:id="165"/>
      <w:bookmarkEnd w:id="166"/>
      <w:bookmarkEnd w:id="167"/>
      <w:bookmarkEnd w:id="168"/>
      <w:bookmarkEnd w:id="169"/>
    </w:p>
    <w:p w:rsidR="001E6FB8" w:rsidRPr="00E141F1" w:rsidRDefault="001E6FB8" w:rsidP="001E6FB8">
      <w:pPr>
        <w:rPr>
          <w:rFonts w:cs="Arial"/>
        </w:rPr>
      </w:pPr>
      <w:r w:rsidRPr="00E141F1">
        <w:rPr>
          <w:rFonts w:cs="Arial"/>
        </w:rPr>
        <w:t>There were a number of control changes in the media industry during 2012–13. Some of the changes were a result of financial or company restructures, while others involved the transfer of licences to different media networks or groups.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Seven, Nine and Ten networks operate commercial television broadcasting licences predominantly in metropolitan markets. Their programming is also made available in regional markets through affiliation agreements with the regional television licences controlled by Prime Media Group Limited, Southern Cross Media Group Limited, WIN Corporation Pty Ltd and </w:t>
      </w:r>
      <w:proofErr w:type="spellStart"/>
      <w:r w:rsidRPr="00E141F1">
        <w:rPr>
          <w:rFonts w:cs="Arial"/>
        </w:rPr>
        <w:t>Imparja</w:t>
      </w:r>
      <w:proofErr w:type="spellEnd"/>
      <w:r w:rsidRPr="00E141F1">
        <w:rPr>
          <w:rFonts w:cs="Arial"/>
        </w:rPr>
        <w:t xml:space="preserve"> Television Pty Ltd.</w:t>
      </w:r>
      <w:r w:rsidRPr="00E141F1">
        <w:rPr>
          <w:rStyle w:val="EndnoteReference"/>
          <w:rFonts w:cs="Arial"/>
        </w:rPr>
        <w:endnoteReference w:id="25"/>
      </w:r>
      <w:r w:rsidRPr="00E141F1">
        <w:rPr>
          <w:rFonts w:cs="Arial"/>
        </w:rPr>
        <w:t xml:space="preserve"> Table 1.7 summarises ownership and control of commercial television services in Australia.</w:t>
      </w:r>
    </w:p>
    <w:p w:rsidR="001E6FB8" w:rsidRPr="00E141F1" w:rsidRDefault="001E6FB8" w:rsidP="001E6FB8">
      <w:pPr>
        <w:rPr>
          <w:rFonts w:cs="Arial"/>
        </w:rPr>
      </w:pPr>
    </w:p>
    <w:p w:rsidR="001E6FB8" w:rsidRPr="00E141F1" w:rsidRDefault="001E6FB8" w:rsidP="001E6FB8">
      <w:pPr>
        <w:rPr>
          <w:rFonts w:cs="Arial"/>
        </w:rPr>
      </w:pPr>
      <w:r w:rsidRPr="00E141F1">
        <w:rPr>
          <w:rFonts w:cs="Arial"/>
        </w:rPr>
        <w:t>A discussion of broadcasters’ compliance with notification of change in control requirements is provided in Chapter 4 of this report.</w:t>
      </w:r>
    </w:p>
    <w:p w:rsidR="001E6FB8" w:rsidRPr="00E141F1" w:rsidRDefault="001E6FB8" w:rsidP="001E6FB8">
      <w:pPr>
        <w:spacing w:line="240" w:lineRule="auto"/>
        <w:rPr>
          <w:rFonts w:cs="Arial"/>
          <w:b/>
          <w:bCs/>
        </w:rPr>
      </w:pPr>
      <w:r w:rsidRPr="00E141F1">
        <w:rPr>
          <w:rFonts w:cs="Arial"/>
          <w:b/>
          <w:bCs/>
        </w:rPr>
        <w:br w:type="page"/>
      </w: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Table 1.</w:t>
            </w:r>
            <w:r w:rsidR="00421002" w:rsidRPr="00E141F1">
              <w:rPr>
                <w:rFonts w:cs="Arial"/>
              </w:rPr>
              <w:fldChar w:fldCharType="begin"/>
            </w:r>
            <w:r w:rsidRPr="00E141F1">
              <w:rPr>
                <w:rFonts w:cs="Arial"/>
              </w:rPr>
              <w:instrText xml:space="preserve"> SEQ Table \* ARABIC </w:instrText>
            </w:r>
            <w:r w:rsidR="00421002" w:rsidRPr="00E141F1">
              <w:rPr>
                <w:rFonts w:cs="Arial"/>
              </w:rPr>
              <w:fldChar w:fldCharType="separate"/>
            </w:r>
            <w:r>
              <w:rPr>
                <w:rFonts w:cs="Arial"/>
                <w:noProof/>
              </w:rPr>
              <w:t>7</w:t>
            </w:r>
            <w:r w:rsidR="00421002" w:rsidRPr="00E141F1">
              <w:rPr>
                <w:rFonts w:cs="Arial"/>
              </w:rPr>
              <w:fldChar w:fldCharType="end"/>
            </w:r>
            <w:r w:rsidRPr="00E141F1">
              <w:rPr>
                <w:rFonts w:cs="Arial"/>
              </w:rPr>
              <w:t xml:space="preserve"> Ownership and control of commercial television services (major networks)</w:t>
            </w:r>
          </w:p>
        </w:tc>
      </w:tr>
      <w:tr w:rsidR="001E6FB8" w:rsidRPr="00E141F1" w:rsidTr="001E6FB8">
        <w:trPr>
          <w:trHeight w:val="282"/>
        </w:trPr>
        <w:tc>
          <w:tcPr>
            <w:tcW w:w="9645" w:type="dxa"/>
            <w:shd w:val="clear" w:color="auto" w:fill="auto"/>
            <w:tcMar>
              <w:left w:w="28" w:type="dxa"/>
            </w:tcMar>
          </w:tcPr>
          <w:tbl>
            <w:tblPr>
              <w:tblW w:w="9521" w:type="dxa"/>
              <w:tblInd w:w="2"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1813"/>
              <w:gridCol w:w="1249"/>
              <w:gridCol w:w="152"/>
              <w:gridCol w:w="1009"/>
              <w:gridCol w:w="5298"/>
            </w:tblGrid>
            <w:tr w:rsidR="001E6FB8" w:rsidRPr="00E141F1" w:rsidTr="001E6FB8">
              <w:trPr>
                <w:trHeight w:val="284"/>
              </w:trPr>
              <w:tc>
                <w:tcPr>
                  <w:tcW w:w="1813" w:type="dxa"/>
                  <w:shd w:val="clear" w:color="auto" w:fill="00709E"/>
                  <w:tcMar>
                    <w:top w:w="34" w:type="dxa"/>
                    <w:left w:w="113" w:type="dxa"/>
                    <w:bottom w:w="0" w:type="dxa"/>
                    <w:right w:w="0" w:type="dxa"/>
                  </w:tcMar>
                  <w:hideMark/>
                </w:tcPr>
                <w:p w:rsidR="001E6FB8" w:rsidRPr="00FB0BFC" w:rsidRDefault="001E6FB8" w:rsidP="001E6FB8">
                  <w:pPr>
                    <w:spacing w:line="240" w:lineRule="auto"/>
                    <w:rPr>
                      <w:rFonts w:cs="Arial"/>
                      <w:b/>
                      <w:color w:val="FFFFFF" w:themeColor="background1"/>
                      <w:sz w:val="18"/>
                      <w:szCs w:val="18"/>
                    </w:rPr>
                  </w:pPr>
                  <w:r w:rsidRPr="00FB0BFC">
                    <w:rPr>
                      <w:rFonts w:cs="Arial"/>
                      <w:b/>
                      <w:color w:val="FFFFFF" w:themeColor="background1"/>
                      <w:sz w:val="18"/>
                      <w:szCs w:val="18"/>
                    </w:rPr>
                    <w:t>Network</w:t>
                  </w:r>
                </w:p>
              </w:tc>
              <w:tc>
                <w:tcPr>
                  <w:tcW w:w="2410" w:type="dxa"/>
                  <w:gridSpan w:val="3"/>
                  <w:shd w:val="clear" w:color="auto" w:fill="00709E"/>
                </w:tcPr>
                <w:p w:rsidR="001E6FB8" w:rsidRPr="00FB0BFC" w:rsidRDefault="001E6FB8" w:rsidP="001E6FB8">
                  <w:pPr>
                    <w:spacing w:line="240" w:lineRule="auto"/>
                    <w:ind w:right="142"/>
                    <w:jc w:val="both"/>
                    <w:rPr>
                      <w:rFonts w:cs="Arial"/>
                      <w:b/>
                      <w:color w:val="FFFFFF" w:themeColor="background1"/>
                      <w:sz w:val="18"/>
                      <w:szCs w:val="18"/>
                    </w:rPr>
                  </w:pPr>
                </w:p>
              </w:tc>
              <w:tc>
                <w:tcPr>
                  <w:tcW w:w="5298" w:type="dxa"/>
                  <w:shd w:val="clear" w:color="auto" w:fill="00709E"/>
                  <w:hideMark/>
                </w:tcPr>
                <w:p w:rsidR="001E6FB8" w:rsidRPr="00FB0BFC" w:rsidRDefault="001E6FB8" w:rsidP="001E6FB8">
                  <w:pPr>
                    <w:spacing w:line="240" w:lineRule="auto"/>
                    <w:ind w:right="283"/>
                    <w:rPr>
                      <w:rFonts w:cs="Arial"/>
                      <w:b/>
                      <w:color w:val="FFFFFF" w:themeColor="background1"/>
                      <w:sz w:val="18"/>
                      <w:szCs w:val="18"/>
                    </w:rPr>
                  </w:pPr>
                  <w:r w:rsidRPr="00FB0BFC">
                    <w:rPr>
                      <w:rFonts w:cs="Arial"/>
                      <w:b/>
                      <w:color w:val="FFFFFF" w:themeColor="background1"/>
                      <w:sz w:val="18"/>
                      <w:szCs w:val="18"/>
                    </w:rPr>
                    <w:t>Ownership and control</w:t>
                  </w:r>
                </w:p>
              </w:tc>
            </w:tr>
            <w:tr w:rsidR="001E6FB8" w:rsidRPr="00E141F1" w:rsidTr="001E6FB8">
              <w:trPr>
                <w:trHeight w:val="284"/>
              </w:trPr>
              <w:tc>
                <w:tcPr>
                  <w:tcW w:w="1813" w:type="dxa"/>
                  <w:tcMar>
                    <w:top w:w="0" w:type="dxa"/>
                    <w:left w:w="113" w:type="dxa"/>
                    <w:bottom w:w="0" w:type="dxa"/>
                    <w:right w:w="0" w:type="dxa"/>
                  </w:tcMar>
                  <w:hideMark/>
                </w:tcPr>
                <w:p w:rsidR="001E6FB8" w:rsidRPr="00E141F1" w:rsidRDefault="001E6FB8" w:rsidP="001E6FB8">
                  <w:pPr>
                    <w:spacing w:after="40" w:line="240" w:lineRule="auto"/>
                    <w:rPr>
                      <w:rFonts w:cs="Arial"/>
                      <w:b/>
                      <w:color w:val="4F81BD" w:themeColor="accent1"/>
                      <w:sz w:val="16"/>
                      <w:szCs w:val="16"/>
                    </w:rPr>
                  </w:pPr>
                </w:p>
              </w:tc>
              <w:tc>
                <w:tcPr>
                  <w:tcW w:w="1401" w:type="dxa"/>
                  <w:gridSpan w:val="2"/>
                </w:tcPr>
                <w:p w:rsidR="001E6FB8" w:rsidRPr="00FB0BFC" w:rsidRDefault="001E6FB8" w:rsidP="001E6FB8">
                  <w:pPr>
                    <w:spacing w:after="40"/>
                    <w:ind w:right="142"/>
                    <w:rPr>
                      <w:rFonts w:cs="Arial"/>
                      <w:b/>
                      <w:sz w:val="18"/>
                      <w:szCs w:val="18"/>
                    </w:rPr>
                  </w:pPr>
                  <w:r w:rsidRPr="00FB0BFC">
                    <w:rPr>
                      <w:rFonts w:cs="Arial"/>
                      <w:b/>
                      <w:sz w:val="18"/>
                      <w:szCs w:val="18"/>
                    </w:rPr>
                    <w:t>Licence type</w:t>
                  </w:r>
                </w:p>
              </w:tc>
              <w:tc>
                <w:tcPr>
                  <w:tcW w:w="1009" w:type="dxa"/>
                </w:tcPr>
                <w:p w:rsidR="001E6FB8" w:rsidRPr="00FB0BFC" w:rsidRDefault="001E6FB8" w:rsidP="001E6FB8">
                  <w:pPr>
                    <w:spacing w:after="40"/>
                    <w:ind w:right="142"/>
                    <w:jc w:val="right"/>
                    <w:rPr>
                      <w:rFonts w:cs="Arial"/>
                      <w:b/>
                      <w:sz w:val="18"/>
                      <w:szCs w:val="18"/>
                    </w:rPr>
                  </w:pPr>
                  <w:r w:rsidRPr="00FB0BFC">
                    <w:rPr>
                      <w:rFonts w:cs="Arial"/>
                      <w:b/>
                      <w:sz w:val="18"/>
                      <w:szCs w:val="18"/>
                    </w:rPr>
                    <w:t>Number</w:t>
                  </w:r>
                </w:p>
              </w:tc>
              <w:tc>
                <w:tcPr>
                  <w:tcW w:w="5298" w:type="dxa"/>
                  <w:hideMark/>
                </w:tcPr>
                <w:p w:rsidR="001E6FB8" w:rsidRPr="00FB0BFC" w:rsidRDefault="001E6FB8" w:rsidP="001E6FB8">
                  <w:pPr>
                    <w:spacing w:after="40"/>
                    <w:ind w:right="283"/>
                    <w:rPr>
                      <w:rFonts w:cs="Arial"/>
                      <w:b/>
                      <w:sz w:val="18"/>
                      <w:szCs w:val="18"/>
                    </w:rPr>
                  </w:pPr>
                  <w:r w:rsidRPr="00FB0BFC">
                    <w:rPr>
                      <w:rFonts w:cs="Arial"/>
                      <w:b/>
                      <w:sz w:val="18"/>
                      <w:szCs w:val="18"/>
                    </w:rPr>
                    <w:t>Operations</w:t>
                  </w:r>
                </w:p>
              </w:tc>
            </w:tr>
            <w:tr w:rsidR="001E6FB8" w:rsidRPr="00E141F1" w:rsidTr="001E6FB8">
              <w:trPr>
                <w:trHeight w:val="284"/>
              </w:trPr>
              <w:tc>
                <w:tcPr>
                  <w:tcW w:w="1813" w:type="dxa"/>
                  <w:vMerge w:val="restart"/>
                  <w:tcMar>
                    <w:top w:w="0" w:type="dxa"/>
                    <w:left w:w="113" w:type="dxa"/>
                    <w:bottom w:w="0" w:type="dxa"/>
                    <w:right w:w="0" w:type="dxa"/>
                  </w:tcMar>
                  <w:hideMark/>
                </w:tcPr>
                <w:p w:rsidR="001E6FB8" w:rsidRPr="00FB0BFC" w:rsidRDefault="001E6FB8" w:rsidP="001E6FB8">
                  <w:pPr>
                    <w:keepNext/>
                    <w:keepLines/>
                    <w:spacing w:after="40"/>
                    <w:ind w:right="283"/>
                    <w:outlineLvl w:val="0"/>
                    <w:rPr>
                      <w:rFonts w:cs="Arial"/>
                      <w:b/>
                      <w:color w:val="00709E"/>
                      <w:sz w:val="18"/>
                      <w:szCs w:val="18"/>
                    </w:rPr>
                  </w:pPr>
                  <w:r w:rsidRPr="00FB0BFC">
                    <w:rPr>
                      <w:rFonts w:cs="Arial"/>
                      <w:b/>
                      <w:color w:val="00709E"/>
                      <w:sz w:val="18"/>
                      <w:szCs w:val="18"/>
                    </w:rPr>
                    <w:t>Seven Group Holdings Ltd</w:t>
                  </w:r>
                </w:p>
              </w:tc>
              <w:tc>
                <w:tcPr>
                  <w:tcW w:w="1249" w:type="dxa"/>
                </w:tcPr>
                <w:p w:rsidR="001E6FB8" w:rsidRPr="00FB0BFC" w:rsidRDefault="001E6FB8" w:rsidP="001E6FB8">
                  <w:pPr>
                    <w:spacing w:after="40"/>
                    <w:ind w:right="142"/>
                    <w:rPr>
                      <w:rFonts w:cs="Arial"/>
                      <w:sz w:val="18"/>
                      <w:szCs w:val="18"/>
                    </w:rPr>
                  </w:pPr>
                  <w:r w:rsidRPr="00FB0BFC">
                    <w:rPr>
                      <w:rFonts w:cs="Arial"/>
                      <w:sz w:val="18"/>
                      <w:szCs w:val="18"/>
                    </w:rPr>
                    <w:t>Metropolitan</w:t>
                  </w:r>
                </w:p>
              </w:tc>
              <w:tc>
                <w:tcPr>
                  <w:tcW w:w="1161" w:type="dxa"/>
                  <w:gridSpan w:val="2"/>
                </w:tcPr>
                <w:p w:rsidR="001E6FB8" w:rsidRPr="00FB0BFC" w:rsidRDefault="001E6FB8" w:rsidP="001E6FB8">
                  <w:pPr>
                    <w:spacing w:after="40"/>
                    <w:ind w:right="142"/>
                    <w:jc w:val="center"/>
                    <w:rPr>
                      <w:rFonts w:cs="Arial"/>
                      <w:sz w:val="18"/>
                      <w:szCs w:val="18"/>
                    </w:rPr>
                  </w:pPr>
                  <w:r w:rsidRPr="00FB0BFC">
                    <w:rPr>
                      <w:rFonts w:cs="Arial"/>
                      <w:sz w:val="18"/>
                      <w:szCs w:val="18"/>
                    </w:rPr>
                    <w:t>5</w:t>
                  </w:r>
                </w:p>
              </w:tc>
              <w:tc>
                <w:tcPr>
                  <w:tcW w:w="5298" w:type="dxa"/>
                  <w:hideMark/>
                </w:tcPr>
                <w:p w:rsidR="001E6FB8" w:rsidRPr="00FB0BFC" w:rsidRDefault="001E6FB8" w:rsidP="001E6FB8">
                  <w:pPr>
                    <w:keepNext/>
                    <w:pageBreakBefore/>
                    <w:widowControl w:val="0"/>
                    <w:spacing w:after="40"/>
                    <w:ind w:right="284"/>
                    <w:outlineLvl w:val="0"/>
                    <w:rPr>
                      <w:rFonts w:cs="Arial"/>
                      <w:sz w:val="18"/>
                      <w:szCs w:val="18"/>
                    </w:rPr>
                  </w:pPr>
                  <w:r w:rsidRPr="00FB0BFC">
                    <w:rPr>
                      <w:rFonts w:cs="Arial"/>
                      <w:sz w:val="18"/>
                      <w:szCs w:val="18"/>
                    </w:rPr>
                    <w:t>Operates commercial licences in Sydney, Melbourne, Brisbane, Adelaide and Perth</w:t>
                  </w:r>
                </w:p>
              </w:tc>
            </w:tr>
            <w:tr w:rsidR="001E6FB8" w:rsidRPr="00E141F1" w:rsidTr="001E6FB8">
              <w:trPr>
                <w:trHeight w:val="284"/>
              </w:trPr>
              <w:tc>
                <w:tcPr>
                  <w:tcW w:w="1813" w:type="dxa"/>
                  <w:vMerge/>
                  <w:tcMar>
                    <w:top w:w="0" w:type="dxa"/>
                    <w:left w:w="113" w:type="dxa"/>
                    <w:bottom w:w="0" w:type="dxa"/>
                    <w:right w:w="0" w:type="dxa"/>
                  </w:tcMar>
                  <w:hideMark/>
                </w:tcPr>
                <w:p w:rsidR="001E6FB8" w:rsidRPr="00FB0BFC" w:rsidRDefault="001E6FB8" w:rsidP="001E6FB8">
                  <w:pPr>
                    <w:spacing w:after="40"/>
                    <w:ind w:right="283"/>
                    <w:rPr>
                      <w:rFonts w:cs="Arial"/>
                      <w:b/>
                      <w:color w:val="00709E"/>
                      <w:sz w:val="18"/>
                      <w:szCs w:val="18"/>
                    </w:rPr>
                  </w:pPr>
                </w:p>
              </w:tc>
              <w:tc>
                <w:tcPr>
                  <w:tcW w:w="1249" w:type="dxa"/>
                </w:tcPr>
                <w:p w:rsidR="001E6FB8" w:rsidRPr="00FB0BFC" w:rsidRDefault="001E6FB8" w:rsidP="001E6FB8">
                  <w:pPr>
                    <w:spacing w:after="40"/>
                    <w:ind w:right="142"/>
                    <w:rPr>
                      <w:rFonts w:cs="Arial"/>
                      <w:sz w:val="18"/>
                      <w:szCs w:val="18"/>
                    </w:rPr>
                  </w:pPr>
                  <w:r w:rsidRPr="00FB0BFC">
                    <w:rPr>
                      <w:rFonts w:cs="Arial"/>
                      <w:sz w:val="18"/>
                      <w:szCs w:val="18"/>
                    </w:rPr>
                    <w:t>Regional</w:t>
                  </w:r>
                </w:p>
              </w:tc>
              <w:tc>
                <w:tcPr>
                  <w:tcW w:w="1161" w:type="dxa"/>
                  <w:gridSpan w:val="2"/>
                </w:tcPr>
                <w:p w:rsidR="001E6FB8" w:rsidRPr="00FB0BFC" w:rsidRDefault="001E6FB8" w:rsidP="001E6FB8">
                  <w:pPr>
                    <w:spacing w:after="40"/>
                    <w:ind w:right="142"/>
                    <w:jc w:val="center"/>
                    <w:rPr>
                      <w:rFonts w:cs="Arial"/>
                      <w:sz w:val="18"/>
                      <w:szCs w:val="18"/>
                    </w:rPr>
                  </w:pPr>
                  <w:r w:rsidRPr="00FB0BFC">
                    <w:rPr>
                      <w:rFonts w:cs="Arial"/>
                      <w:sz w:val="18"/>
                      <w:szCs w:val="18"/>
                    </w:rPr>
                    <w:t>1</w:t>
                  </w:r>
                </w:p>
              </w:tc>
              <w:tc>
                <w:tcPr>
                  <w:tcW w:w="5298" w:type="dxa"/>
                  <w:hideMark/>
                </w:tcPr>
                <w:p w:rsidR="001E6FB8" w:rsidRPr="00FB0BFC" w:rsidRDefault="001E6FB8" w:rsidP="001E6FB8">
                  <w:pPr>
                    <w:keepNext/>
                    <w:pageBreakBefore/>
                    <w:widowControl w:val="0"/>
                    <w:spacing w:after="40"/>
                    <w:ind w:right="284"/>
                    <w:outlineLvl w:val="0"/>
                    <w:rPr>
                      <w:rFonts w:cs="Arial"/>
                      <w:sz w:val="18"/>
                      <w:szCs w:val="18"/>
                    </w:rPr>
                  </w:pPr>
                  <w:r w:rsidRPr="00FB0BFC">
                    <w:rPr>
                      <w:rFonts w:cs="Arial"/>
                      <w:sz w:val="18"/>
                      <w:szCs w:val="18"/>
                    </w:rPr>
                    <w:t>Covering regional Queensland</w:t>
                  </w:r>
                </w:p>
              </w:tc>
            </w:tr>
            <w:tr w:rsidR="001E6FB8" w:rsidRPr="00E141F1" w:rsidTr="001E6FB8">
              <w:trPr>
                <w:trHeight w:val="284"/>
              </w:trPr>
              <w:tc>
                <w:tcPr>
                  <w:tcW w:w="1813" w:type="dxa"/>
                  <w:vMerge w:val="restart"/>
                  <w:tcMar>
                    <w:top w:w="0" w:type="dxa"/>
                    <w:left w:w="113" w:type="dxa"/>
                    <w:bottom w:w="0" w:type="dxa"/>
                    <w:right w:w="0" w:type="dxa"/>
                  </w:tcMar>
                  <w:hideMark/>
                </w:tcPr>
                <w:p w:rsidR="001E6FB8" w:rsidRPr="00FB0BFC" w:rsidRDefault="001E6FB8" w:rsidP="001E6FB8">
                  <w:pPr>
                    <w:spacing w:after="40"/>
                    <w:ind w:right="283"/>
                    <w:rPr>
                      <w:rFonts w:cs="Arial"/>
                      <w:b/>
                      <w:color w:val="00709E"/>
                      <w:sz w:val="18"/>
                      <w:szCs w:val="18"/>
                    </w:rPr>
                  </w:pPr>
                  <w:r w:rsidRPr="00FB0BFC">
                    <w:rPr>
                      <w:rFonts w:cs="Arial"/>
                      <w:b/>
                      <w:color w:val="00709E"/>
                      <w:sz w:val="18"/>
                      <w:szCs w:val="18"/>
                    </w:rPr>
                    <w:t>Nine Entertainment Co Holdings Ltd</w:t>
                  </w:r>
                </w:p>
              </w:tc>
              <w:tc>
                <w:tcPr>
                  <w:tcW w:w="1249" w:type="dxa"/>
                </w:tcPr>
                <w:p w:rsidR="001E6FB8" w:rsidRPr="00FB0BFC" w:rsidRDefault="001E6FB8" w:rsidP="001E6FB8">
                  <w:pPr>
                    <w:spacing w:after="40"/>
                    <w:ind w:right="142"/>
                    <w:rPr>
                      <w:rFonts w:cs="Arial"/>
                      <w:sz w:val="18"/>
                      <w:szCs w:val="18"/>
                    </w:rPr>
                  </w:pPr>
                  <w:r w:rsidRPr="00FB0BFC">
                    <w:rPr>
                      <w:rFonts w:cs="Arial"/>
                      <w:sz w:val="18"/>
                      <w:szCs w:val="18"/>
                    </w:rPr>
                    <w:t>Metropolitan</w:t>
                  </w:r>
                </w:p>
              </w:tc>
              <w:tc>
                <w:tcPr>
                  <w:tcW w:w="1161" w:type="dxa"/>
                  <w:gridSpan w:val="2"/>
                </w:tcPr>
                <w:p w:rsidR="001E6FB8" w:rsidRPr="00FB0BFC" w:rsidRDefault="001E6FB8" w:rsidP="001E6FB8">
                  <w:pPr>
                    <w:spacing w:after="40"/>
                    <w:ind w:right="142"/>
                    <w:jc w:val="center"/>
                    <w:rPr>
                      <w:rFonts w:cs="Arial"/>
                      <w:sz w:val="18"/>
                      <w:szCs w:val="18"/>
                    </w:rPr>
                  </w:pPr>
                  <w:r w:rsidRPr="00FB0BFC">
                    <w:rPr>
                      <w:rFonts w:cs="Arial"/>
                      <w:sz w:val="18"/>
                      <w:szCs w:val="18"/>
                    </w:rPr>
                    <w:t>3</w:t>
                  </w:r>
                </w:p>
              </w:tc>
              <w:tc>
                <w:tcPr>
                  <w:tcW w:w="5298" w:type="dxa"/>
                  <w:hideMark/>
                </w:tcPr>
                <w:p w:rsidR="001E6FB8" w:rsidRPr="00FB0BFC" w:rsidRDefault="001E6FB8" w:rsidP="001E6FB8">
                  <w:pPr>
                    <w:spacing w:after="40"/>
                    <w:ind w:right="284"/>
                    <w:rPr>
                      <w:rFonts w:cs="Arial"/>
                      <w:b/>
                      <w:i/>
                      <w:sz w:val="18"/>
                      <w:szCs w:val="18"/>
                    </w:rPr>
                  </w:pPr>
                  <w:r w:rsidRPr="00FB0BFC">
                    <w:rPr>
                      <w:rFonts w:cs="Arial"/>
                      <w:sz w:val="18"/>
                      <w:szCs w:val="18"/>
                    </w:rPr>
                    <w:t>Operates commercial licences in Sydney, Melbourne and Brisbane</w:t>
                  </w:r>
                </w:p>
              </w:tc>
            </w:tr>
            <w:tr w:rsidR="001E6FB8" w:rsidRPr="00E141F1" w:rsidTr="001E6FB8">
              <w:trPr>
                <w:trHeight w:val="284"/>
              </w:trPr>
              <w:tc>
                <w:tcPr>
                  <w:tcW w:w="1813" w:type="dxa"/>
                  <w:vMerge/>
                  <w:tcMar>
                    <w:top w:w="0" w:type="dxa"/>
                    <w:left w:w="113" w:type="dxa"/>
                    <w:bottom w:w="0" w:type="dxa"/>
                    <w:right w:w="0" w:type="dxa"/>
                  </w:tcMar>
                  <w:hideMark/>
                </w:tcPr>
                <w:p w:rsidR="001E6FB8" w:rsidRPr="00FB0BFC" w:rsidRDefault="001E6FB8" w:rsidP="001E6FB8">
                  <w:pPr>
                    <w:spacing w:after="40"/>
                    <w:ind w:right="283"/>
                    <w:rPr>
                      <w:rFonts w:cs="Arial"/>
                      <w:b/>
                      <w:color w:val="00709E"/>
                      <w:sz w:val="18"/>
                      <w:szCs w:val="18"/>
                    </w:rPr>
                  </w:pPr>
                </w:p>
              </w:tc>
              <w:tc>
                <w:tcPr>
                  <w:tcW w:w="1249" w:type="dxa"/>
                </w:tcPr>
                <w:p w:rsidR="001E6FB8" w:rsidRPr="00FB0BFC" w:rsidRDefault="001E6FB8" w:rsidP="001E6FB8">
                  <w:pPr>
                    <w:spacing w:after="40"/>
                    <w:ind w:right="142"/>
                    <w:rPr>
                      <w:rFonts w:cs="Arial"/>
                      <w:sz w:val="18"/>
                      <w:szCs w:val="18"/>
                    </w:rPr>
                  </w:pPr>
                  <w:r w:rsidRPr="00FB0BFC">
                    <w:rPr>
                      <w:rFonts w:cs="Arial"/>
                      <w:sz w:val="18"/>
                      <w:szCs w:val="18"/>
                    </w:rPr>
                    <w:t>Regional</w:t>
                  </w:r>
                </w:p>
              </w:tc>
              <w:tc>
                <w:tcPr>
                  <w:tcW w:w="1161" w:type="dxa"/>
                  <w:gridSpan w:val="2"/>
                </w:tcPr>
                <w:p w:rsidR="001E6FB8" w:rsidRPr="00FB0BFC" w:rsidRDefault="001E6FB8" w:rsidP="001E6FB8">
                  <w:pPr>
                    <w:spacing w:after="40"/>
                    <w:ind w:right="142"/>
                    <w:jc w:val="center"/>
                    <w:rPr>
                      <w:rFonts w:cs="Arial"/>
                      <w:sz w:val="18"/>
                      <w:szCs w:val="18"/>
                    </w:rPr>
                  </w:pPr>
                  <w:r w:rsidRPr="00FB0BFC">
                    <w:rPr>
                      <w:rFonts w:cs="Arial"/>
                      <w:sz w:val="18"/>
                      <w:szCs w:val="18"/>
                    </w:rPr>
                    <w:t>3</w:t>
                  </w:r>
                </w:p>
              </w:tc>
              <w:tc>
                <w:tcPr>
                  <w:tcW w:w="5298" w:type="dxa"/>
                  <w:hideMark/>
                </w:tcPr>
                <w:p w:rsidR="001E6FB8" w:rsidRPr="00FB0BFC" w:rsidRDefault="001E6FB8" w:rsidP="001E6FB8">
                  <w:pPr>
                    <w:spacing w:after="40"/>
                    <w:ind w:right="284"/>
                    <w:rPr>
                      <w:rFonts w:cs="Arial"/>
                      <w:b/>
                      <w:i/>
                      <w:sz w:val="18"/>
                      <w:szCs w:val="18"/>
                    </w:rPr>
                  </w:pPr>
                  <w:r w:rsidRPr="00FB0BFC">
                    <w:rPr>
                      <w:rFonts w:cs="Arial"/>
                      <w:sz w:val="18"/>
                      <w:szCs w:val="18"/>
                    </w:rPr>
                    <w:t>One each in the Darwin and northern New South Wales licence areas, and a digital-only television joint venture with Southern Cross Media Group Ltd in the Darwin licence area</w:t>
                  </w:r>
                </w:p>
              </w:tc>
            </w:tr>
            <w:tr w:rsidR="001E6FB8" w:rsidRPr="00E141F1" w:rsidTr="001E6FB8">
              <w:trPr>
                <w:trHeight w:val="284"/>
              </w:trPr>
              <w:tc>
                <w:tcPr>
                  <w:tcW w:w="1813" w:type="dxa"/>
                  <w:tcMar>
                    <w:top w:w="0" w:type="dxa"/>
                    <w:left w:w="113" w:type="dxa"/>
                    <w:bottom w:w="0" w:type="dxa"/>
                    <w:right w:w="0" w:type="dxa"/>
                  </w:tcMar>
                  <w:hideMark/>
                </w:tcPr>
                <w:p w:rsidR="001E6FB8" w:rsidRPr="00FB0BFC" w:rsidRDefault="001E6FB8" w:rsidP="001E6FB8">
                  <w:pPr>
                    <w:spacing w:after="40"/>
                    <w:ind w:right="283"/>
                    <w:rPr>
                      <w:rFonts w:cs="Arial"/>
                      <w:b/>
                      <w:color w:val="00709E"/>
                      <w:sz w:val="18"/>
                      <w:szCs w:val="18"/>
                    </w:rPr>
                  </w:pPr>
                  <w:r w:rsidRPr="00FB0BFC">
                    <w:rPr>
                      <w:rFonts w:cs="Arial"/>
                      <w:b/>
                      <w:color w:val="00709E"/>
                      <w:sz w:val="18"/>
                      <w:szCs w:val="18"/>
                    </w:rPr>
                    <w:t>Ten Network Holdings Ltd</w:t>
                  </w:r>
                </w:p>
              </w:tc>
              <w:tc>
                <w:tcPr>
                  <w:tcW w:w="1249" w:type="dxa"/>
                </w:tcPr>
                <w:p w:rsidR="001E6FB8" w:rsidRPr="00FB0BFC" w:rsidRDefault="001E6FB8" w:rsidP="001E6FB8">
                  <w:pPr>
                    <w:spacing w:after="40"/>
                    <w:ind w:right="142"/>
                    <w:rPr>
                      <w:rFonts w:cs="Arial"/>
                      <w:sz w:val="18"/>
                      <w:szCs w:val="18"/>
                    </w:rPr>
                  </w:pPr>
                  <w:r w:rsidRPr="00FB0BFC">
                    <w:rPr>
                      <w:rFonts w:cs="Arial"/>
                      <w:sz w:val="18"/>
                      <w:szCs w:val="18"/>
                    </w:rPr>
                    <w:t>Metropolitan</w:t>
                  </w:r>
                </w:p>
              </w:tc>
              <w:tc>
                <w:tcPr>
                  <w:tcW w:w="1161" w:type="dxa"/>
                  <w:gridSpan w:val="2"/>
                </w:tcPr>
                <w:p w:rsidR="001E6FB8" w:rsidRPr="00FB0BFC" w:rsidRDefault="001E6FB8" w:rsidP="001E6FB8">
                  <w:pPr>
                    <w:spacing w:after="40"/>
                    <w:ind w:right="142"/>
                    <w:jc w:val="center"/>
                    <w:rPr>
                      <w:rFonts w:cs="Arial"/>
                      <w:sz w:val="18"/>
                      <w:szCs w:val="18"/>
                    </w:rPr>
                  </w:pPr>
                  <w:r w:rsidRPr="00FB0BFC">
                    <w:rPr>
                      <w:rFonts w:cs="Arial"/>
                      <w:sz w:val="18"/>
                      <w:szCs w:val="18"/>
                    </w:rPr>
                    <w:t>5</w:t>
                  </w:r>
                </w:p>
              </w:tc>
              <w:tc>
                <w:tcPr>
                  <w:tcW w:w="5298" w:type="dxa"/>
                  <w:hideMark/>
                </w:tcPr>
                <w:p w:rsidR="001E6FB8" w:rsidRPr="00FB0BFC" w:rsidRDefault="001E6FB8" w:rsidP="001E6FB8">
                  <w:pPr>
                    <w:spacing w:after="40"/>
                    <w:ind w:right="284"/>
                    <w:rPr>
                      <w:rFonts w:cs="Arial"/>
                      <w:b/>
                      <w:i/>
                      <w:sz w:val="18"/>
                      <w:szCs w:val="18"/>
                    </w:rPr>
                  </w:pPr>
                  <w:r w:rsidRPr="00FB0BFC">
                    <w:rPr>
                      <w:rFonts w:cs="Arial"/>
                      <w:sz w:val="18"/>
                      <w:szCs w:val="18"/>
                    </w:rPr>
                    <w:t>Commercial stations in Sydney, Melbourne, Brisbane, Adelaide and Perth</w:t>
                  </w:r>
                </w:p>
              </w:tc>
            </w:tr>
            <w:tr w:rsidR="001E6FB8" w:rsidRPr="00E141F1" w:rsidTr="001E6FB8">
              <w:trPr>
                <w:trHeight w:val="284"/>
              </w:trPr>
              <w:tc>
                <w:tcPr>
                  <w:tcW w:w="1813" w:type="dxa"/>
                  <w:vMerge w:val="restart"/>
                  <w:tcMar>
                    <w:top w:w="0" w:type="dxa"/>
                    <w:left w:w="113" w:type="dxa"/>
                    <w:bottom w:w="0" w:type="dxa"/>
                    <w:right w:w="0" w:type="dxa"/>
                  </w:tcMar>
                  <w:hideMark/>
                </w:tcPr>
                <w:p w:rsidR="001E6FB8" w:rsidRPr="00FB0BFC" w:rsidRDefault="001E6FB8" w:rsidP="001E6FB8">
                  <w:pPr>
                    <w:spacing w:after="40"/>
                    <w:ind w:right="283"/>
                    <w:rPr>
                      <w:rFonts w:cs="Arial"/>
                      <w:b/>
                      <w:color w:val="00709E"/>
                      <w:sz w:val="18"/>
                      <w:szCs w:val="18"/>
                    </w:rPr>
                  </w:pPr>
                  <w:r w:rsidRPr="00FB0BFC">
                    <w:rPr>
                      <w:rFonts w:cs="Arial"/>
                      <w:b/>
                      <w:color w:val="00709E"/>
                      <w:sz w:val="18"/>
                      <w:szCs w:val="18"/>
                    </w:rPr>
                    <w:t xml:space="preserve">WIN Corporation </w:t>
                  </w:r>
                  <w:r w:rsidRPr="00FB0BFC">
                    <w:rPr>
                      <w:rFonts w:cs="Arial"/>
                      <w:b/>
                      <w:color w:val="00709E"/>
                      <w:sz w:val="18"/>
                      <w:szCs w:val="18"/>
                    </w:rPr>
                    <w:br/>
                    <w:t>Pty Ltd</w:t>
                  </w:r>
                </w:p>
              </w:tc>
              <w:tc>
                <w:tcPr>
                  <w:tcW w:w="1249" w:type="dxa"/>
                </w:tcPr>
                <w:p w:rsidR="001E6FB8" w:rsidRPr="00FB0BFC" w:rsidRDefault="001E6FB8" w:rsidP="001E6FB8">
                  <w:pPr>
                    <w:spacing w:after="40"/>
                    <w:ind w:right="142"/>
                    <w:rPr>
                      <w:rFonts w:cs="Arial"/>
                      <w:sz w:val="18"/>
                      <w:szCs w:val="18"/>
                    </w:rPr>
                  </w:pPr>
                  <w:r w:rsidRPr="00FB0BFC">
                    <w:rPr>
                      <w:rFonts w:cs="Arial"/>
                      <w:sz w:val="18"/>
                      <w:szCs w:val="18"/>
                    </w:rPr>
                    <w:t xml:space="preserve">Metropolitan </w:t>
                  </w:r>
                </w:p>
              </w:tc>
              <w:tc>
                <w:tcPr>
                  <w:tcW w:w="1161" w:type="dxa"/>
                  <w:gridSpan w:val="2"/>
                </w:tcPr>
                <w:p w:rsidR="001E6FB8" w:rsidRPr="00FB0BFC" w:rsidRDefault="001E6FB8" w:rsidP="001E6FB8">
                  <w:pPr>
                    <w:spacing w:after="40"/>
                    <w:ind w:right="142"/>
                    <w:jc w:val="center"/>
                    <w:rPr>
                      <w:rFonts w:cs="Arial"/>
                      <w:sz w:val="18"/>
                      <w:szCs w:val="18"/>
                    </w:rPr>
                  </w:pPr>
                  <w:r w:rsidRPr="00FB0BFC">
                    <w:rPr>
                      <w:rFonts w:cs="Arial"/>
                      <w:sz w:val="18"/>
                      <w:szCs w:val="18"/>
                    </w:rPr>
                    <w:t>2</w:t>
                  </w:r>
                </w:p>
              </w:tc>
              <w:tc>
                <w:tcPr>
                  <w:tcW w:w="5298" w:type="dxa"/>
                  <w:hideMark/>
                </w:tcPr>
                <w:p w:rsidR="001E6FB8" w:rsidRPr="00FB0BFC" w:rsidRDefault="001E6FB8" w:rsidP="001E6FB8">
                  <w:pPr>
                    <w:spacing w:after="40"/>
                    <w:ind w:right="284"/>
                    <w:rPr>
                      <w:rFonts w:cs="Arial"/>
                      <w:b/>
                      <w:i/>
                      <w:sz w:val="18"/>
                      <w:szCs w:val="18"/>
                    </w:rPr>
                  </w:pPr>
                  <w:r w:rsidRPr="00FB0BFC">
                    <w:rPr>
                      <w:rFonts w:cs="Arial"/>
                      <w:sz w:val="18"/>
                      <w:szCs w:val="18"/>
                    </w:rPr>
                    <w:t>Commercial television licences affiliated with Nine Network programming in Perth and Adelaide</w:t>
                  </w:r>
                </w:p>
              </w:tc>
            </w:tr>
            <w:tr w:rsidR="001E6FB8" w:rsidRPr="00E141F1" w:rsidTr="001E6FB8">
              <w:trPr>
                <w:trHeight w:val="284"/>
              </w:trPr>
              <w:tc>
                <w:tcPr>
                  <w:tcW w:w="1813" w:type="dxa"/>
                  <w:vMerge/>
                  <w:tcMar>
                    <w:top w:w="0" w:type="dxa"/>
                    <w:left w:w="113" w:type="dxa"/>
                    <w:bottom w:w="0" w:type="dxa"/>
                    <w:right w:w="0" w:type="dxa"/>
                  </w:tcMar>
                  <w:hideMark/>
                </w:tcPr>
                <w:p w:rsidR="001E6FB8" w:rsidRPr="00FB0BFC" w:rsidRDefault="001E6FB8" w:rsidP="001E6FB8">
                  <w:pPr>
                    <w:spacing w:after="40"/>
                    <w:rPr>
                      <w:rFonts w:cs="Arial"/>
                      <w:b/>
                      <w:color w:val="00709E"/>
                      <w:sz w:val="18"/>
                      <w:szCs w:val="18"/>
                    </w:rPr>
                  </w:pPr>
                </w:p>
              </w:tc>
              <w:tc>
                <w:tcPr>
                  <w:tcW w:w="1249" w:type="dxa"/>
                </w:tcPr>
                <w:p w:rsidR="001E6FB8" w:rsidRPr="00FB0BFC" w:rsidRDefault="001E6FB8" w:rsidP="001E6FB8">
                  <w:pPr>
                    <w:spacing w:after="40"/>
                    <w:ind w:right="142"/>
                    <w:rPr>
                      <w:rFonts w:cs="Arial"/>
                      <w:sz w:val="18"/>
                      <w:szCs w:val="18"/>
                    </w:rPr>
                  </w:pPr>
                  <w:r w:rsidRPr="00FB0BFC">
                    <w:rPr>
                      <w:rFonts w:cs="Arial"/>
                      <w:sz w:val="18"/>
                      <w:szCs w:val="18"/>
                    </w:rPr>
                    <w:t xml:space="preserve">Regional </w:t>
                  </w:r>
                </w:p>
              </w:tc>
              <w:tc>
                <w:tcPr>
                  <w:tcW w:w="1161" w:type="dxa"/>
                  <w:gridSpan w:val="2"/>
                </w:tcPr>
                <w:p w:rsidR="001E6FB8" w:rsidRPr="00FB0BFC" w:rsidRDefault="001E6FB8" w:rsidP="001E6FB8">
                  <w:pPr>
                    <w:spacing w:after="40"/>
                    <w:ind w:right="142"/>
                    <w:jc w:val="center"/>
                    <w:rPr>
                      <w:rFonts w:cs="Arial"/>
                      <w:sz w:val="18"/>
                      <w:szCs w:val="18"/>
                    </w:rPr>
                  </w:pPr>
                  <w:r w:rsidRPr="00FB0BFC">
                    <w:rPr>
                      <w:rFonts w:cs="Arial"/>
                      <w:sz w:val="18"/>
                      <w:szCs w:val="18"/>
                    </w:rPr>
                    <w:t>21</w:t>
                  </w:r>
                </w:p>
              </w:tc>
              <w:tc>
                <w:tcPr>
                  <w:tcW w:w="5298" w:type="dxa"/>
                  <w:hideMark/>
                </w:tcPr>
                <w:p w:rsidR="001E6FB8" w:rsidRPr="00FB0BFC" w:rsidRDefault="001E6FB8" w:rsidP="001E6FB8">
                  <w:pPr>
                    <w:spacing w:after="40"/>
                    <w:ind w:right="284"/>
                    <w:rPr>
                      <w:rFonts w:cs="Arial"/>
                      <w:b/>
                      <w:i/>
                      <w:sz w:val="18"/>
                      <w:szCs w:val="18"/>
                    </w:rPr>
                  </w:pPr>
                  <w:r w:rsidRPr="00FB0BFC">
                    <w:rPr>
                      <w:rFonts w:cs="Arial"/>
                      <w:sz w:val="18"/>
                      <w:szCs w:val="18"/>
                    </w:rPr>
                    <w:t>Commercial television licences operating across Australia, including digital-only television licences through joint venture partnerships with:</w:t>
                  </w:r>
                </w:p>
                <w:p w:rsidR="001E6FB8" w:rsidRPr="00FB0BFC" w:rsidRDefault="001E6FB8" w:rsidP="001E6FB8">
                  <w:pPr>
                    <w:pStyle w:val="ListBullet2"/>
                    <w:spacing w:after="40"/>
                    <w:ind w:left="340" w:right="284" w:hanging="340"/>
                    <w:rPr>
                      <w:rFonts w:cs="Arial"/>
                      <w:b/>
                      <w:i/>
                      <w:sz w:val="18"/>
                      <w:szCs w:val="18"/>
                    </w:rPr>
                  </w:pPr>
                  <w:r w:rsidRPr="00FB0BFC">
                    <w:rPr>
                      <w:rFonts w:cs="Arial"/>
                      <w:sz w:val="18"/>
                      <w:szCs w:val="18"/>
                    </w:rPr>
                    <w:t>Southern Cross Media Group Ltd in Tasmania</w:t>
                  </w:r>
                </w:p>
                <w:p w:rsidR="001E6FB8" w:rsidRPr="00FB0BFC" w:rsidRDefault="001E6FB8" w:rsidP="001E6FB8">
                  <w:pPr>
                    <w:pStyle w:val="ListBullet2"/>
                    <w:spacing w:after="40"/>
                    <w:ind w:left="340" w:right="284" w:hanging="340"/>
                    <w:rPr>
                      <w:rFonts w:cs="Arial"/>
                      <w:sz w:val="18"/>
                      <w:szCs w:val="18"/>
                    </w:rPr>
                  </w:pPr>
                  <w:r w:rsidRPr="00FB0BFC">
                    <w:rPr>
                      <w:rFonts w:cs="Arial"/>
                      <w:sz w:val="18"/>
                      <w:szCs w:val="18"/>
                    </w:rPr>
                    <w:t xml:space="preserve">Prime Media Group in the Mildura, Geraldton, Kalgoorlie, Western Zone, South West and Great Southern television licence areas </w:t>
                  </w:r>
                </w:p>
                <w:p w:rsidR="001E6FB8" w:rsidRPr="00FB0BFC" w:rsidRDefault="001E6FB8" w:rsidP="001E6FB8">
                  <w:pPr>
                    <w:spacing w:after="40"/>
                    <w:ind w:right="284"/>
                    <w:rPr>
                      <w:rFonts w:cs="Arial"/>
                      <w:sz w:val="18"/>
                      <w:szCs w:val="18"/>
                    </w:rPr>
                  </w:pPr>
                  <w:r w:rsidRPr="00FB0BFC">
                    <w:rPr>
                      <w:rFonts w:cs="Arial"/>
                      <w:sz w:val="18"/>
                      <w:szCs w:val="18"/>
                    </w:rPr>
                    <w:t>includes</w:t>
                  </w:r>
                  <w:r>
                    <w:rPr>
                      <w:rFonts w:cs="Arial"/>
                      <w:sz w:val="18"/>
                      <w:szCs w:val="18"/>
                    </w:rPr>
                    <w:t xml:space="preserve"> </w:t>
                  </w:r>
                  <w:r w:rsidRPr="00FB0BFC">
                    <w:rPr>
                      <w:rFonts w:cs="Arial"/>
                      <w:sz w:val="18"/>
                      <w:szCs w:val="18"/>
                    </w:rPr>
                    <w:t>three digital-only television licences, respectively servicing Griffith, Riverland and Mount Gambier South-East</w:t>
                  </w:r>
                </w:p>
              </w:tc>
            </w:tr>
            <w:tr w:rsidR="001E6FB8" w:rsidRPr="00E141F1" w:rsidTr="001E6FB8">
              <w:trPr>
                <w:trHeight w:val="284"/>
              </w:trPr>
              <w:tc>
                <w:tcPr>
                  <w:tcW w:w="1813" w:type="dxa"/>
                  <w:tcMar>
                    <w:top w:w="0" w:type="dxa"/>
                    <w:left w:w="113" w:type="dxa"/>
                    <w:bottom w:w="0" w:type="dxa"/>
                    <w:right w:w="0" w:type="dxa"/>
                  </w:tcMar>
                  <w:hideMark/>
                </w:tcPr>
                <w:p w:rsidR="001E6FB8" w:rsidRPr="00FB0BFC" w:rsidRDefault="001E6FB8" w:rsidP="001E6FB8">
                  <w:pPr>
                    <w:spacing w:after="40"/>
                    <w:ind w:right="283"/>
                    <w:rPr>
                      <w:rFonts w:cs="Arial"/>
                      <w:b/>
                      <w:color w:val="00709E"/>
                      <w:sz w:val="18"/>
                      <w:szCs w:val="18"/>
                    </w:rPr>
                  </w:pPr>
                  <w:r w:rsidRPr="00FB0BFC">
                    <w:rPr>
                      <w:rFonts w:cs="Arial"/>
                      <w:b/>
                      <w:color w:val="00709E"/>
                      <w:sz w:val="18"/>
                      <w:szCs w:val="18"/>
                    </w:rPr>
                    <w:t>Southern Cross Media Group Ltd</w:t>
                  </w:r>
                </w:p>
              </w:tc>
              <w:tc>
                <w:tcPr>
                  <w:tcW w:w="1249" w:type="dxa"/>
                </w:tcPr>
                <w:p w:rsidR="001E6FB8" w:rsidRPr="00FB0BFC" w:rsidRDefault="001E6FB8" w:rsidP="001E6FB8">
                  <w:pPr>
                    <w:spacing w:after="40"/>
                    <w:ind w:right="142"/>
                    <w:rPr>
                      <w:rFonts w:cs="Arial"/>
                      <w:sz w:val="18"/>
                      <w:szCs w:val="18"/>
                    </w:rPr>
                  </w:pPr>
                  <w:r w:rsidRPr="00FB0BFC">
                    <w:rPr>
                      <w:rFonts w:cs="Arial"/>
                      <w:sz w:val="18"/>
                      <w:szCs w:val="18"/>
                    </w:rPr>
                    <w:t xml:space="preserve">Regional </w:t>
                  </w:r>
                </w:p>
              </w:tc>
              <w:tc>
                <w:tcPr>
                  <w:tcW w:w="1161" w:type="dxa"/>
                  <w:gridSpan w:val="2"/>
                </w:tcPr>
                <w:p w:rsidR="001E6FB8" w:rsidRPr="00FB0BFC" w:rsidRDefault="001E6FB8" w:rsidP="001E6FB8">
                  <w:pPr>
                    <w:spacing w:after="40"/>
                    <w:ind w:right="142"/>
                    <w:jc w:val="center"/>
                    <w:rPr>
                      <w:rFonts w:cs="Arial"/>
                      <w:sz w:val="18"/>
                      <w:szCs w:val="18"/>
                    </w:rPr>
                  </w:pPr>
                  <w:r w:rsidRPr="00FB0BFC">
                    <w:rPr>
                      <w:rFonts w:cs="Arial"/>
                      <w:sz w:val="18"/>
                      <w:szCs w:val="18"/>
                    </w:rPr>
                    <w:t>19</w:t>
                  </w:r>
                </w:p>
              </w:tc>
              <w:tc>
                <w:tcPr>
                  <w:tcW w:w="5298" w:type="dxa"/>
                  <w:hideMark/>
                </w:tcPr>
                <w:p w:rsidR="001E6FB8" w:rsidRPr="00FB0BFC" w:rsidRDefault="001E6FB8" w:rsidP="001E6FB8">
                  <w:pPr>
                    <w:spacing w:after="40"/>
                    <w:ind w:right="284"/>
                    <w:rPr>
                      <w:rFonts w:cs="Arial"/>
                      <w:sz w:val="18"/>
                      <w:szCs w:val="18"/>
                    </w:rPr>
                  </w:pPr>
                  <w:r w:rsidRPr="00FB0BFC">
                    <w:rPr>
                      <w:rFonts w:cs="Arial"/>
                      <w:sz w:val="18"/>
                      <w:szCs w:val="18"/>
                    </w:rPr>
                    <w:t>Commercial television licences operating across Australia, including joint ventures in relation to digital-only television services in Darwin, Tasmania, Mt Isa and the remote central and Eastern Australia licence areas, and digital-only television services in Broken Hill and Spencer Gulf</w:t>
                  </w:r>
                </w:p>
              </w:tc>
            </w:tr>
            <w:tr w:rsidR="001E6FB8" w:rsidRPr="00E141F1" w:rsidTr="001E6FB8">
              <w:trPr>
                <w:trHeight w:val="284"/>
              </w:trPr>
              <w:tc>
                <w:tcPr>
                  <w:tcW w:w="1813" w:type="dxa"/>
                  <w:tcMar>
                    <w:top w:w="0" w:type="dxa"/>
                    <w:left w:w="113" w:type="dxa"/>
                    <w:bottom w:w="0" w:type="dxa"/>
                    <w:right w:w="0" w:type="dxa"/>
                  </w:tcMar>
                  <w:hideMark/>
                </w:tcPr>
                <w:p w:rsidR="001E6FB8" w:rsidRPr="00FB0BFC" w:rsidRDefault="001E6FB8" w:rsidP="001E6FB8">
                  <w:pPr>
                    <w:spacing w:after="40"/>
                    <w:ind w:right="283"/>
                    <w:rPr>
                      <w:rFonts w:cs="Arial"/>
                      <w:b/>
                      <w:color w:val="00709E"/>
                      <w:sz w:val="18"/>
                      <w:szCs w:val="18"/>
                    </w:rPr>
                  </w:pPr>
                  <w:r w:rsidRPr="00FB0BFC">
                    <w:rPr>
                      <w:rFonts w:cs="Arial"/>
                      <w:b/>
                      <w:color w:val="00709E"/>
                      <w:sz w:val="18"/>
                      <w:szCs w:val="18"/>
                    </w:rPr>
                    <w:t>Prime Media Group Ltd</w:t>
                  </w:r>
                </w:p>
              </w:tc>
              <w:tc>
                <w:tcPr>
                  <w:tcW w:w="1249" w:type="dxa"/>
                </w:tcPr>
                <w:p w:rsidR="001E6FB8" w:rsidRPr="00FB0BFC" w:rsidRDefault="001E6FB8" w:rsidP="001E6FB8">
                  <w:pPr>
                    <w:spacing w:after="40"/>
                    <w:ind w:right="142"/>
                    <w:rPr>
                      <w:rFonts w:cs="Arial"/>
                      <w:sz w:val="18"/>
                      <w:szCs w:val="18"/>
                    </w:rPr>
                  </w:pPr>
                  <w:r w:rsidRPr="00FB0BFC">
                    <w:rPr>
                      <w:rFonts w:cs="Arial"/>
                      <w:sz w:val="18"/>
                      <w:szCs w:val="18"/>
                    </w:rPr>
                    <w:t xml:space="preserve">Regional </w:t>
                  </w:r>
                </w:p>
              </w:tc>
              <w:tc>
                <w:tcPr>
                  <w:tcW w:w="1161" w:type="dxa"/>
                  <w:gridSpan w:val="2"/>
                </w:tcPr>
                <w:p w:rsidR="001E6FB8" w:rsidRPr="00FB0BFC" w:rsidRDefault="001E6FB8" w:rsidP="001E6FB8">
                  <w:pPr>
                    <w:spacing w:after="40"/>
                    <w:ind w:right="142"/>
                    <w:jc w:val="center"/>
                    <w:rPr>
                      <w:rFonts w:cs="Arial"/>
                      <w:sz w:val="18"/>
                      <w:szCs w:val="18"/>
                    </w:rPr>
                  </w:pPr>
                  <w:r w:rsidRPr="00FB0BFC">
                    <w:rPr>
                      <w:rFonts w:cs="Arial"/>
                      <w:sz w:val="18"/>
                      <w:szCs w:val="18"/>
                    </w:rPr>
                    <w:t>13</w:t>
                  </w:r>
                </w:p>
              </w:tc>
              <w:tc>
                <w:tcPr>
                  <w:tcW w:w="5298" w:type="dxa"/>
                  <w:hideMark/>
                </w:tcPr>
                <w:p w:rsidR="001E6FB8" w:rsidRPr="00FB0BFC" w:rsidRDefault="001E6FB8" w:rsidP="001E6FB8">
                  <w:pPr>
                    <w:spacing w:after="40"/>
                    <w:ind w:right="284"/>
                    <w:rPr>
                      <w:rFonts w:cs="Arial"/>
                      <w:sz w:val="18"/>
                      <w:szCs w:val="18"/>
                    </w:rPr>
                  </w:pPr>
                  <w:r w:rsidRPr="00FB0BFC">
                    <w:rPr>
                      <w:rFonts w:cs="Arial"/>
                      <w:sz w:val="18"/>
                      <w:szCs w:val="18"/>
                    </w:rPr>
                    <w:t>Commercial television licences operating across Australia including joint venture partnerships with the WIN Corporation Pty Ltd for digital-only television licences servicing the Mildura, Geraldton, Kalgoorlie, Western Zone, South-West and Great Southern licence areas</w:t>
                  </w:r>
                </w:p>
              </w:tc>
            </w:tr>
          </w:tbl>
          <w:p w:rsidR="001E6FB8" w:rsidRPr="00E141F1" w:rsidRDefault="001E6FB8" w:rsidP="001E6FB8">
            <w:pPr>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120" w:line="240" w:lineRule="auto"/>
              <w:rPr>
                <w:rFonts w:cs="Arial"/>
                <w:i/>
                <w:sz w:val="16"/>
                <w:szCs w:val="16"/>
              </w:rPr>
            </w:pPr>
            <w:r w:rsidRPr="00E141F1">
              <w:rPr>
                <w:rFonts w:cs="Arial"/>
                <w:i/>
                <w:sz w:val="16"/>
                <w:szCs w:val="16"/>
              </w:rPr>
              <w:t xml:space="preserve">Note: Does not include licenses for services provided with the use of satellite allocated under Section 38C and other licences allocated under subsection 40(1) of the </w:t>
            </w:r>
            <w:r w:rsidRPr="008B74FA">
              <w:rPr>
                <w:rFonts w:cs="Arial"/>
                <w:sz w:val="16"/>
                <w:szCs w:val="16"/>
              </w:rPr>
              <w:t>Broadcasting Services Act 1992</w:t>
            </w:r>
            <w:r w:rsidRPr="00E141F1">
              <w:rPr>
                <w:rFonts w:cs="Arial"/>
                <w:i/>
                <w:sz w:val="16"/>
                <w:szCs w:val="16"/>
              </w:rPr>
              <w:t>.</w:t>
            </w:r>
          </w:p>
          <w:p w:rsidR="001E6FB8" w:rsidRPr="00E141F1" w:rsidRDefault="001E6FB8" w:rsidP="001E6FB8">
            <w:pPr>
              <w:spacing w:after="60" w:line="240" w:lineRule="auto"/>
              <w:rPr>
                <w:rFonts w:cs="Arial"/>
              </w:rPr>
            </w:pPr>
            <w:r w:rsidRPr="00E141F1">
              <w:rPr>
                <w:rFonts w:cs="Arial"/>
                <w:i/>
                <w:sz w:val="16"/>
                <w:szCs w:val="16"/>
              </w:rPr>
              <w:t>Source: The Register of Controlled Media Groups</w:t>
            </w:r>
            <w:r w:rsidRPr="00E141F1">
              <w:rPr>
                <w:rFonts w:cs="Arial"/>
                <w:i/>
              </w:rPr>
              <w:t>.</w:t>
            </w:r>
          </w:p>
        </w:tc>
      </w:tr>
    </w:tbl>
    <w:p w:rsidR="001E6FB8" w:rsidRPr="00E141F1" w:rsidRDefault="001E6FB8" w:rsidP="001E6FB8">
      <w:pPr>
        <w:spacing w:line="240" w:lineRule="auto"/>
        <w:rPr>
          <w:rFonts w:cs="Arial"/>
          <w:b/>
          <w:bCs/>
        </w:rPr>
      </w:pPr>
    </w:p>
    <w:p w:rsidR="001E6FB8" w:rsidRPr="00E141F1" w:rsidRDefault="001E6FB8" w:rsidP="001E6FB8">
      <w:pPr>
        <w:pStyle w:val="Heading3"/>
      </w:pPr>
      <w:bookmarkStart w:id="170" w:name="_Toc287540126"/>
      <w:bookmarkStart w:id="171" w:name="_Toc308517151"/>
      <w:bookmarkStart w:id="172" w:name="_Toc308523597"/>
      <w:bookmarkStart w:id="173" w:name="_Toc312157110"/>
      <w:bookmarkStart w:id="174" w:name="_Toc341428321"/>
      <w:bookmarkStart w:id="175" w:name="_Toc371589000"/>
      <w:bookmarkStart w:id="176" w:name="_Toc373149062"/>
      <w:r w:rsidRPr="00E141F1">
        <w:t>Ownership and control of commercial radio services</w:t>
      </w:r>
      <w:bookmarkEnd w:id="170"/>
      <w:bookmarkEnd w:id="171"/>
      <w:bookmarkEnd w:id="172"/>
      <w:bookmarkEnd w:id="173"/>
      <w:bookmarkEnd w:id="174"/>
      <w:bookmarkEnd w:id="175"/>
      <w:bookmarkEnd w:id="176"/>
    </w:p>
    <w:p w:rsidR="001E6FB8" w:rsidRPr="00E141F1" w:rsidRDefault="001E6FB8" w:rsidP="001E6FB8">
      <w:pPr>
        <w:spacing w:after="80" w:line="240" w:lineRule="auto"/>
        <w:rPr>
          <w:rFonts w:cs="Arial"/>
        </w:rPr>
      </w:pPr>
      <w:r w:rsidRPr="00E141F1">
        <w:rPr>
          <w:rFonts w:cs="Arial"/>
        </w:rPr>
        <w:t>Table 1.8 shows that:</w:t>
      </w:r>
    </w:p>
    <w:p w:rsidR="001E6FB8" w:rsidRPr="00E141F1" w:rsidRDefault="001E6FB8" w:rsidP="001E6FB8">
      <w:pPr>
        <w:pStyle w:val="ListBullet"/>
        <w:rPr>
          <w:rFonts w:cs="Arial"/>
        </w:rPr>
      </w:pPr>
      <w:r w:rsidRPr="00E141F1">
        <w:rPr>
          <w:rFonts w:cs="Arial"/>
        </w:rPr>
        <w:t>Southern Cross Media Group Limited, Australian Radio Network Pty Ltd, Illyria Radio Investments Ltd and Fairfax Media Limited own the majority of capital city commercial radio broadcasting licences</w:t>
      </w:r>
      <w:r>
        <w:rPr>
          <w:rFonts w:cs="Arial"/>
        </w:rPr>
        <w:t>.</w:t>
      </w:r>
    </w:p>
    <w:p w:rsidR="001E6FB8" w:rsidRPr="00E141F1" w:rsidRDefault="001E6FB8" w:rsidP="001E6FB8">
      <w:pPr>
        <w:pStyle w:val="ListBullet"/>
        <w:rPr>
          <w:rFonts w:cs="Arial"/>
        </w:rPr>
      </w:pPr>
      <w:r w:rsidRPr="00E141F1">
        <w:rPr>
          <w:rFonts w:cs="Arial"/>
        </w:rPr>
        <w:t>Southern Cross Media Group Limited, Broadcast Operations Pty Ltd (Super Radio Network) and Grant Broadcasters Pty Ltd remain the three largest networks of regional commercial radio broadcasting licences</w:t>
      </w:r>
      <w:r>
        <w:rPr>
          <w:rFonts w:cs="Arial"/>
        </w:rPr>
        <w:t>.</w:t>
      </w:r>
    </w:p>
    <w:p w:rsidR="001E6FB8" w:rsidRPr="00E141F1" w:rsidRDefault="001E6FB8" w:rsidP="001E6FB8">
      <w:pPr>
        <w:pStyle w:val="ListBullet"/>
        <w:rPr>
          <w:rFonts w:cs="Arial"/>
        </w:rPr>
      </w:pPr>
      <w:r>
        <w:rPr>
          <w:rFonts w:cs="Arial"/>
        </w:rPr>
        <w:t>E</w:t>
      </w:r>
      <w:r w:rsidRPr="00E141F1">
        <w:rPr>
          <w:rFonts w:cs="Arial"/>
        </w:rPr>
        <w:t xml:space="preserve">leven radio licence owner groups control five or more commercial radio broadcasting licences each—ACE Radio Broadcasters Pty Ltd, Australian Radio Network Pty Ltd, Illyria Radio Investments Ltd, Fairfax Media Limited, Grant Broadcasters Pty Ltd, Southern Cross Media Group Limited, Prime Media Group Limited, </w:t>
      </w:r>
      <w:proofErr w:type="spellStart"/>
      <w:r w:rsidRPr="00E141F1">
        <w:rPr>
          <w:rFonts w:cs="Arial"/>
        </w:rPr>
        <w:t>Redwave</w:t>
      </w:r>
      <w:proofErr w:type="spellEnd"/>
      <w:r w:rsidRPr="00E141F1">
        <w:rPr>
          <w:rFonts w:cs="Arial"/>
        </w:rPr>
        <w:t xml:space="preserve"> Media Limited, Macquarie Radio Network Limited, Broadcast Operations Pty Ltd (Super Radio Network) and Resonate Broadcasting Pty Ltd</w:t>
      </w:r>
      <w:r>
        <w:rPr>
          <w:rFonts w:cs="Arial"/>
        </w:rPr>
        <w:t>.</w:t>
      </w:r>
    </w:p>
    <w:p w:rsidR="001E6FB8" w:rsidRPr="002758C2" w:rsidRDefault="001E6FB8" w:rsidP="001E6FB8">
      <w:pPr>
        <w:pStyle w:val="ListBullet"/>
        <w:spacing w:after="240"/>
        <w:rPr>
          <w:rFonts w:cs="Arial"/>
        </w:rPr>
      </w:pPr>
      <w:r>
        <w:rPr>
          <w:rFonts w:cs="Arial"/>
        </w:rPr>
        <w:t>T</w:t>
      </w:r>
      <w:r w:rsidRPr="00E141F1">
        <w:rPr>
          <w:rFonts w:cs="Arial"/>
        </w:rPr>
        <w:t>he remaining 19 radio licence owners/controllers hold fewer than five licences each.</w:t>
      </w: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Table 1.</w:t>
            </w:r>
            <w:r w:rsidR="00421002" w:rsidRPr="00E141F1">
              <w:rPr>
                <w:rFonts w:cs="Arial"/>
              </w:rPr>
              <w:fldChar w:fldCharType="begin"/>
            </w:r>
            <w:r w:rsidRPr="00E141F1">
              <w:rPr>
                <w:rFonts w:cs="Arial"/>
              </w:rPr>
              <w:instrText xml:space="preserve"> SEQ Table \* ARABIC </w:instrText>
            </w:r>
            <w:r w:rsidR="00421002" w:rsidRPr="00E141F1">
              <w:rPr>
                <w:rFonts w:cs="Arial"/>
              </w:rPr>
              <w:fldChar w:fldCharType="separate"/>
            </w:r>
            <w:r>
              <w:rPr>
                <w:rFonts w:cs="Arial"/>
                <w:noProof/>
              </w:rPr>
              <w:t>8</w:t>
            </w:r>
            <w:r w:rsidR="00421002" w:rsidRPr="00E141F1">
              <w:rPr>
                <w:rFonts w:cs="Arial"/>
              </w:rPr>
              <w:fldChar w:fldCharType="end"/>
            </w:r>
            <w:r w:rsidRPr="00E141F1">
              <w:rPr>
                <w:rFonts w:cs="Arial"/>
              </w:rPr>
              <w:t xml:space="preserve"> Ownership and control of commercial radio services</w:t>
            </w:r>
          </w:p>
        </w:tc>
      </w:tr>
      <w:tr w:rsidR="001E6FB8" w:rsidRPr="00E141F1" w:rsidTr="001E6FB8">
        <w:trPr>
          <w:trHeight w:val="424"/>
        </w:trPr>
        <w:tc>
          <w:tcPr>
            <w:tcW w:w="9645" w:type="dxa"/>
            <w:shd w:val="clear" w:color="auto" w:fill="auto"/>
            <w:tcMar>
              <w:left w:w="28" w:type="dxa"/>
            </w:tcMar>
          </w:tcPr>
          <w:tbl>
            <w:tblPr>
              <w:tblW w:w="9570" w:type="dxa"/>
              <w:tblInd w:w="2"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1955"/>
              <w:gridCol w:w="1843"/>
              <w:gridCol w:w="5772"/>
            </w:tblGrid>
            <w:tr w:rsidR="001E6FB8" w:rsidRPr="00FB0BFC" w:rsidTr="001E6FB8">
              <w:trPr>
                <w:trHeight w:val="284"/>
              </w:trPr>
              <w:tc>
                <w:tcPr>
                  <w:tcW w:w="1955" w:type="dxa"/>
                  <w:shd w:val="clear" w:color="auto" w:fill="00709E"/>
                  <w:tcMar>
                    <w:top w:w="34" w:type="dxa"/>
                    <w:left w:w="113" w:type="dxa"/>
                    <w:bottom w:w="0" w:type="dxa"/>
                    <w:right w:w="0" w:type="dxa"/>
                  </w:tcMar>
                  <w:hideMark/>
                </w:tcPr>
                <w:p w:rsidR="001E6FB8" w:rsidRPr="008B74FA" w:rsidRDefault="001E6FB8" w:rsidP="001E6FB8">
                  <w:pPr>
                    <w:spacing w:line="240" w:lineRule="auto"/>
                    <w:rPr>
                      <w:rFonts w:cs="Arial"/>
                      <w:b/>
                      <w:color w:val="FFFFFF" w:themeColor="background1"/>
                      <w:sz w:val="18"/>
                      <w:szCs w:val="18"/>
                    </w:rPr>
                  </w:pPr>
                  <w:r w:rsidRPr="008B74FA">
                    <w:rPr>
                      <w:rFonts w:cs="Arial"/>
                      <w:b/>
                      <w:color w:val="FFFFFF" w:themeColor="background1"/>
                      <w:sz w:val="18"/>
                      <w:szCs w:val="18"/>
                    </w:rPr>
                    <w:t>Network group company</w:t>
                  </w:r>
                </w:p>
              </w:tc>
              <w:tc>
                <w:tcPr>
                  <w:tcW w:w="1843" w:type="dxa"/>
                  <w:shd w:val="clear" w:color="auto" w:fill="00709E"/>
                  <w:hideMark/>
                </w:tcPr>
                <w:p w:rsidR="001E6FB8" w:rsidRPr="008B74FA" w:rsidRDefault="001E6FB8" w:rsidP="001E6FB8">
                  <w:pPr>
                    <w:spacing w:line="240" w:lineRule="auto"/>
                    <w:ind w:right="141"/>
                    <w:rPr>
                      <w:rFonts w:cs="Arial"/>
                      <w:b/>
                      <w:color w:val="FFFFFF" w:themeColor="background1"/>
                      <w:sz w:val="18"/>
                      <w:szCs w:val="18"/>
                    </w:rPr>
                  </w:pPr>
                </w:p>
              </w:tc>
              <w:tc>
                <w:tcPr>
                  <w:tcW w:w="5772" w:type="dxa"/>
                  <w:shd w:val="clear" w:color="auto" w:fill="00709E"/>
                </w:tcPr>
                <w:p w:rsidR="001E6FB8" w:rsidRPr="008B74FA" w:rsidRDefault="001E6FB8" w:rsidP="001E6FB8">
                  <w:pPr>
                    <w:spacing w:line="240" w:lineRule="auto"/>
                    <w:rPr>
                      <w:rFonts w:cs="Arial"/>
                      <w:b/>
                      <w:color w:val="FFFFFF" w:themeColor="background1"/>
                      <w:sz w:val="18"/>
                      <w:szCs w:val="18"/>
                    </w:rPr>
                  </w:pPr>
                  <w:r w:rsidRPr="008B74FA">
                    <w:rPr>
                      <w:rFonts w:cs="Arial"/>
                      <w:b/>
                      <w:color w:val="FFFFFF" w:themeColor="background1"/>
                      <w:sz w:val="18"/>
                      <w:szCs w:val="18"/>
                    </w:rPr>
                    <w:t>Ownership and control</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spacing w:after="40"/>
                    <w:ind w:left="57" w:right="283"/>
                    <w:rPr>
                      <w:rFonts w:cs="Arial"/>
                      <w:b/>
                      <w:color w:val="00709E"/>
                      <w:sz w:val="18"/>
                      <w:szCs w:val="18"/>
                    </w:rPr>
                  </w:pPr>
                </w:p>
              </w:tc>
              <w:tc>
                <w:tcPr>
                  <w:tcW w:w="1843" w:type="dxa"/>
                  <w:hideMark/>
                </w:tcPr>
                <w:p w:rsidR="001E6FB8" w:rsidRPr="008B74FA" w:rsidRDefault="001E6FB8" w:rsidP="001E6FB8">
                  <w:pPr>
                    <w:spacing w:after="40"/>
                    <w:ind w:left="57" w:right="283"/>
                    <w:rPr>
                      <w:rFonts w:cs="Arial"/>
                      <w:b/>
                      <w:sz w:val="18"/>
                      <w:szCs w:val="18"/>
                    </w:rPr>
                  </w:pPr>
                  <w:r w:rsidRPr="008B74FA">
                    <w:rPr>
                      <w:rFonts w:cs="Arial"/>
                      <w:b/>
                      <w:sz w:val="18"/>
                      <w:szCs w:val="18"/>
                    </w:rPr>
                    <w:t>Total commercial radio licences controlled</w:t>
                  </w:r>
                </w:p>
              </w:tc>
              <w:tc>
                <w:tcPr>
                  <w:tcW w:w="5772" w:type="dxa"/>
                </w:tcPr>
                <w:p w:rsidR="001E6FB8" w:rsidRPr="008B74FA" w:rsidRDefault="001E6FB8" w:rsidP="001E6FB8">
                  <w:pPr>
                    <w:spacing w:after="40"/>
                    <w:ind w:right="284"/>
                    <w:rPr>
                      <w:rFonts w:cs="Arial"/>
                      <w:b/>
                      <w:sz w:val="18"/>
                      <w:szCs w:val="18"/>
                    </w:rPr>
                  </w:pPr>
                  <w:r w:rsidRPr="008B74FA">
                    <w:rPr>
                      <w:rFonts w:cs="Arial"/>
                      <w:b/>
                      <w:sz w:val="18"/>
                      <w:szCs w:val="18"/>
                    </w:rPr>
                    <w:t>Licenses and operations</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Del="00277DB3" w:rsidRDefault="001E6FB8" w:rsidP="001E6FB8">
                  <w:pPr>
                    <w:keepNext/>
                    <w:keepLines/>
                    <w:spacing w:after="40"/>
                    <w:ind w:right="284"/>
                    <w:outlineLvl w:val="0"/>
                    <w:rPr>
                      <w:rFonts w:cs="Arial"/>
                      <w:b/>
                      <w:color w:val="00709E"/>
                      <w:sz w:val="18"/>
                      <w:szCs w:val="18"/>
                    </w:rPr>
                  </w:pPr>
                  <w:r w:rsidRPr="008B74FA">
                    <w:rPr>
                      <w:rFonts w:cs="Arial"/>
                      <w:b/>
                      <w:color w:val="00709E"/>
                      <w:sz w:val="18"/>
                      <w:szCs w:val="18"/>
                    </w:rPr>
                    <w:t xml:space="preserve">ACE Radio Broadcasters </w:t>
                  </w:r>
                  <w:r>
                    <w:rPr>
                      <w:rFonts w:cs="Arial"/>
                      <w:b/>
                      <w:color w:val="00709E"/>
                      <w:sz w:val="18"/>
                      <w:szCs w:val="18"/>
                    </w:rPr>
                    <w:br/>
                  </w:r>
                  <w:r w:rsidRPr="008B74FA">
                    <w:rPr>
                      <w:rFonts w:cs="Arial"/>
                      <w:b/>
                      <w:color w:val="00709E"/>
                      <w:sz w:val="18"/>
                      <w:szCs w:val="18"/>
                    </w:rPr>
                    <w:t>Pty Ltd</w:t>
                  </w:r>
                </w:p>
              </w:tc>
              <w:tc>
                <w:tcPr>
                  <w:tcW w:w="1843" w:type="dxa"/>
                  <w:hideMark/>
                </w:tcPr>
                <w:p w:rsidR="001E6FB8" w:rsidRDefault="001E6FB8" w:rsidP="001E6FB8">
                  <w:pPr>
                    <w:keepNext/>
                    <w:keepLines/>
                    <w:spacing w:after="40"/>
                    <w:ind w:right="142"/>
                    <w:outlineLvl w:val="0"/>
                    <w:rPr>
                      <w:rFonts w:cs="Arial"/>
                      <w:sz w:val="18"/>
                      <w:szCs w:val="18"/>
                    </w:rPr>
                  </w:pPr>
                  <w:r w:rsidRPr="008B74FA">
                    <w:rPr>
                      <w:rFonts w:cs="Arial"/>
                      <w:sz w:val="18"/>
                      <w:szCs w:val="18"/>
                    </w:rPr>
                    <w:t>13</w:t>
                  </w:r>
                </w:p>
              </w:tc>
              <w:tc>
                <w:tcPr>
                  <w:tcW w:w="5772" w:type="dxa"/>
                </w:tcPr>
                <w:p w:rsidR="001E6FB8" w:rsidRPr="008B74FA" w:rsidRDefault="001E6FB8" w:rsidP="001E6FB8">
                  <w:pPr>
                    <w:keepNext/>
                    <w:keepLines/>
                    <w:spacing w:after="40"/>
                    <w:ind w:right="284"/>
                    <w:outlineLvl w:val="0"/>
                    <w:rPr>
                      <w:rFonts w:cs="Arial"/>
                      <w:sz w:val="18"/>
                      <w:szCs w:val="18"/>
                    </w:rPr>
                  </w:pPr>
                  <w:r w:rsidRPr="008B74FA">
                    <w:rPr>
                      <w:rFonts w:cs="Arial"/>
                      <w:sz w:val="18"/>
                      <w:szCs w:val="18"/>
                    </w:rPr>
                    <w:t>Mainly in regional Victoria, but also has one radio licence in the regional New South Wales licence area of Albury</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keepNext/>
                    <w:keepLines/>
                    <w:spacing w:after="40"/>
                    <w:ind w:right="283"/>
                    <w:outlineLvl w:val="0"/>
                    <w:rPr>
                      <w:rFonts w:cs="Arial"/>
                      <w:b/>
                      <w:color w:val="00709E"/>
                      <w:sz w:val="18"/>
                      <w:szCs w:val="18"/>
                    </w:rPr>
                  </w:pPr>
                  <w:r w:rsidRPr="008B74FA">
                    <w:rPr>
                      <w:rFonts w:cs="Arial"/>
                      <w:b/>
                      <w:color w:val="00709E"/>
                      <w:sz w:val="18"/>
                      <w:szCs w:val="18"/>
                    </w:rPr>
                    <w:t>Australian Radio Network Pty Ltd</w:t>
                  </w:r>
                </w:p>
              </w:tc>
              <w:tc>
                <w:tcPr>
                  <w:tcW w:w="1843" w:type="dxa"/>
                  <w:hideMark/>
                </w:tcPr>
                <w:p w:rsidR="001E6FB8" w:rsidRDefault="001E6FB8" w:rsidP="001E6FB8">
                  <w:pPr>
                    <w:keepNext/>
                    <w:keepLines/>
                    <w:spacing w:after="40"/>
                    <w:ind w:right="142"/>
                    <w:outlineLvl w:val="0"/>
                    <w:rPr>
                      <w:rFonts w:cs="Arial"/>
                      <w:sz w:val="18"/>
                      <w:szCs w:val="18"/>
                    </w:rPr>
                  </w:pPr>
                  <w:r w:rsidRPr="008B74FA">
                    <w:rPr>
                      <w:rFonts w:cs="Arial"/>
                      <w:sz w:val="18"/>
                      <w:szCs w:val="18"/>
                    </w:rPr>
                    <w:t>12</w:t>
                  </w:r>
                </w:p>
              </w:tc>
              <w:tc>
                <w:tcPr>
                  <w:tcW w:w="5772" w:type="dxa"/>
                </w:tcPr>
                <w:p w:rsidR="001E6FB8" w:rsidRPr="008B74FA" w:rsidRDefault="001E6FB8" w:rsidP="001E6FB8">
                  <w:pPr>
                    <w:keepNext/>
                    <w:keepLines/>
                    <w:spacing w:after="40"/>
                    <w:ind w:right="284"/>
                    <w:outlineLvl w:val="0"/>
                    <w:rPr>
                      <w:rFonts w:cs="Arial"/>
                      <w:sz w:val="18"/>
                      <w:szCs w:val="18"/>
                    </w:rPr>
                  </w:pPr>
                  <w:r w:rsidRPr="008B74FA">
                    <w:rPr>
                      <w:rFonts w:cs="Arial"/>
                      <w:sz w:val="18"/>
                      <w:szCs w:val="18"/>
                    </w:rPr>
                    <w:t>Metropolitan radio licences in Adelaide, Brisbane, Melbourne, Sydney and Western Suburbs Sydney</w:t>
                  </w:r>
                </w:p>
                <w:p w:rsidR="001E6FB8" w:rsidRPr="008B74FA" w:rsidRDefault="001E6FB8" w:rsidP="001E6FB8">
                  <w:pPr>
                    <w:keepNext/>
                    <w:keepLines/>
                    <w:spacing w:after="40"/>
                    <w:ind w:right="284"/>
                    <w:outlineLvl w:val="0"/>
                    <w:rPr>
                      <w:rFonts w:cs="Arial"/>
                      <w:sz w:val="18"/>
                      <w:szCs w:val="18"/>
                    </w:rPr>
                  </w:pPr>
                  <w:r w:rsidRPr="008B74FA">
                    <w:rPr>
                      <w:rFonts w:cs="Arial"/>
                      <w:sz w:val="18"/>
                      <w:szCs w:val="18"/>
                    </w:rPr>
                    <w:t>One regional radio licence in Katoomba</w:t>
                  </w:r>
                </w:p>
                <w:p w:rsidR="001E6FB8" w:rsidRPr="008B74FA" w:rsidRDefault="001E6FB8" w:rsidP="001E6FB8">
                  <w:pPr>
                    <w:keepNext/>
                    <w:keepLines/>
                    <w:spacing w:after="40"/>
                    <w:ind w:right="284"/>
                    <w:outlineLvl w:val="0"/>
                    <w:rPr>
                      <w:rFonts w:cs="Arial"/>
                      <w:sz w:val="18"/>
                      <w:szCs w:val="18"/>
                    </w:rPr>
                  </w:pPr>
                  <w:r w:rsidRPr="008B74FA">
                    <w:rPr>
                      <w:rFonts w:cs="Arial"/>
                      <w:sz w:val="18"/>
                      <w:szCs w:val="18"/>
                    </w:rPr>
                    <w:t xml:space="preserve">Two joint-venture licences with DMG Radio, one in each of Brisbane and Perth, and two joint-venture licences with Southern Cross </w:t>
                  </w:r>
                  <w:proofErr w:type="spellStart"/>
                  <w:r w:rsidRPr="008B74FA">
                    <w:rPr>
                      <w:rFonts w:cs="Arial"/>
                      <w:sz w:val="18"/>
                      <w:szCs w:val="18"/>
                    </w:rPr>
                    <w:t>Austereo</w:t>
                  </w:r>
                  <w:proofErr w:type="spellEnd"/>
                  <w:r w:rsidRPr="008B74FA">
                    <w:rPr>
                      <w:rFonts w:cs="Arial"/>
                      <w:sz w:val="18"/>
                      <w:szCs w:val="18"/>
                    </w:rPr>
                    <w:t xml:space="preserve"> in Canberra</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keepNext/>
                    <w:keepLines/>
                    <w:spacing w:after="40"/>
                    <w:ind w:right="283"/>
                    <w:outlineLvl w:val="0"/>
                    <w:rPr>
                      <w:rFonts w:cs="Arial"/>
                      <w:b/>
                      <w:color w:val="00709E"/>
                      <w:sz w:val="18"/>
                      <w:szCs w:val="18"/>
                    </w:rPr>
                  </w:pPr>
                  <w:r w:rsidRPr="008B74FA">
                    <w:rPr>
                      <w:rFonts w:cs="Arial"/>
                      <w:b/>
                      <w:color w:val="00709E"/>
                      <w:sz w:val="18"/>
                      <w:szCs w:val="18"/>
                    </w:rPr>
                    <w:t>Illyria Radio Investments Ltd</w:t>
                  </w:r>
                </w:p>
              </w:tc>
              <w:tc>
                <w:tcPr>
                  <w:tcW w:w="1843" w:type="dxa"/>
                  <w:hideMark/>
                </w:tcPr>
                <w:p w:rsidR="001E6FB8" w:rsidRDefault="001E6FB8" w:rsidP="001E6FB8">
                  <w:pPr>
                    <w:keepNext/>
                    <w:keepLines/>
                    <w:spacing w:after="40"/>
                    <w:ind w:right="142"/>
                    <w:outlineLvl w:val="0"/>
                    <w:rPr>
                      <w:rFonts w:cs="Arial"/>
                      <w:sz w:val="18"/>
                      <w:szCs w:val="18"/>
                    </w:rPr>
                  </w:pPr>
                  <w:r w:rsidRPr="008B74FA">
                    <w:rPr>
                      <w:rFonts w:cs="Arial"/>
                      <w:sz w:val="18"/>
                      <w:szCs w:val="18"/>
                    </w:rPr>
                    <w:t>10</w:t>
                  </w:r>
                </w:p>
              </w:tc>
              <w:tc>
                <w:tcPr>
                  <w:tcW w:w="5772" w:type="dxa"/>
                </w:tcPr>
                <w:p w:rsidR="001E6FB8" w:rsidRPr="008B74FA" w:rsidRDefault="001E6FB8" w:rsidP="001E6FB8">
                  <w:pPr>
                    <w:keepNext/>
                    <w:keepLines/>
                    <w:spacing w:after="40"/>
                    <w:ind w:right="284"/>
                    <w:outlineLvl w:val="0"/>
                    <w:rPr>
                      <w:rFonts w:cs="Arial"/>
                      <w:sz w:val="18"/>
                      <w:szCs w:val="18"/>
                    </w:rPr>
                  </w:pPr>
                  <w:r w:rsidRPr="008B74FA">
                    <w:rPr>
                      <w:rFonts w:cs="Arial"/>
                      <w:sz w:val="18"/>
                      <w:szCs w:val="18"/>
                    </w:rPr>
                    <w:t>Metropolitan radio licences in Adelaide, Brisbane, Melbourne and Sydney as well as one regional radio licence in Gosford</w:t>
                  </w:r>
                </w:p>
                <w:p w:rsidR="001E6FB8" w:rsidRPr="008B74FA" w:rsidRDefault="001E6FB8" w:rsidP="001E6FB8">
                  <w:pPr>
                    <w:keepNext/>
                    <w:keepLines/>
                    <w:spacing w:after="40"/>
                    <w:ind w:right="284"/>
                    <w:outlineLvl w:val="0"/>
                    <w:rPr>
                      <w:rFonts w:cs="Arial"/>
                      <w:sz w:val="18"/>
                      <w:szCs w:val="18"/>
                    </w:rPr>
                  </w:pPr>
                  <w:r w:rsidRPr="008B74FA">
                    <w:rPr>
                      <w:rFonts w:cs="Arial"/>
                      <w:sz w:val="18"/>
                      <w:szCs w:val="18"/>
                    </w:rPr>
                    <w:t>Two joint-venture licences with Australian Radio Network, one in each of Brisbane and Perth</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keepNext/>
                    <w:keepLines/>
                    <w:spacing w:after="40"/>
                    <w:ind w:right="284"/>
                    <w:outlineLvl w:val="0"/>
                    <w:rPr>
                      <w:rFonts w:cs="Arial"/>
                      <w:b/>
                      <w:color w:val="00709E"/>
                      <w:sz w:val="18"/>
                      <w:szCs w:val="18"/>
                    </w:rPr>
                  </w:pPr>
                  <w:r w:rsidRPr="008B74FA">
                    <w:rPr>
                      <w:rFonts w:cs="Arial"/>
                      <w:b/>
                      <w:color w:val="00709E"/>
                      <w:sz w:val="18"/>
                      <w:szCs w:val="18"/>
                    </w:rPr>
                    <w:t>Fairfax Media Ltd</w:t>
                  </w:r>
                </w:p>
              </w:tc>
              <w:tc>
                <w:tcPr>
                  <w:tcW w:w="1843" w:type="dxa"/>
                  <w:hideMark/>
                </w:tcPr>
                <w:p w:rsidR="001E6FB8" w:rsidRDefault="001E6FB8" w:rsidP="001E6FB8">
                  <w:pPr>
                    <w:keepNext/>
                    <w:keepLines/>
                    <w:spacing w:after="40"/>
                    <w:ind w:right="142"/>
                    <w:outlineLvl w:val="0"/>
                    <w:rPr>
                      <w:rFonts w:cs="Arial"/>
                      <w:sz w:val="18"/>
                      <w:szCs w:val="18"/>
                    </w:rPr>
                  </w:pPr>
                  <w:r w:rsidRPr="008B74FA">
                    <w:rPr>
                      <w:rFonts w:cs="Arial"/>
                      <w:sz w:val="18"/>
                      <w:szCs w:val="18"/>
                    </w:rPr>
                    <w:t>7</w:t>
                  </w:r>
                </w:p>
              </w:tc>
              <w:tc>
                <w:tcPr>
                  <w:tcW w:w="5772" w:type="dxa"/>
                </w:tcPr>
                <w:p w:rsidR="001E6FB8" w:rsidRPr="008B74FA" w:rsidRDefault="001E6FB8" w:rsidP="001E6FB8">
                  <w:pPr>
                    <w:keepNext/>
                    <w:keepLines/>
                    <w:spacing w:after="40"/>
                    <w:ind w:right="283"/>
                    <w:outlineLvl w:val="0"/>
                    <w:rPr>
                      <w:rFonts w:cs="Arial"/>
                      <w:sz w:val="18"/>
                      <w:szCs w:val="18"/>
                    </w:rPr>
                  </w:pPr>
                  <w:r w:rsidRPr="008B74FA">
                    <w:rPr>
                      <w:rFonts w:cs="Arial"/>
                      <w:sz w:val="18"/>
                      <w:szCs w:val="18"/>
                    </w:rPr>
                    <w:t>Metropolitan radio licences in Brisbane, Melbourne, Perth and Sydney</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keepNext/>
                    <w:keepLines/>
                    <w:spacing w:after="40"/>
                    <w:ind w:right="284"/>
                    <w:outlineLvl w:val="0"/>
                    <w:rPr>
                      <w:rFonts w:cs="Arial"/>
                      <w:b/>
                      <w:color w:val="00709E"/>
                      <w:sz w:val="18"/>
                      <w:szCs w:val="18"/>
                    </w:rPr>
                  </w:pPr>
                  <w:r w:rsidRPr="008B74FA">
                    <w:rPr>
                      <w:rFonts w:cs="Arial"/>
                      <w:b/>
                      <w:color w:val="00709E"/>
                      <w:sz w:val="18"/>
                      <w:szCs w:val="18"/>
                    </w:rPr>
                    <w:t xml:space="preserve">Grant Broadcasters </w:t>
                  </w:r>
                  <w:r>
                    <w:rPr>
                      <w:rFonts w:cs="Arial"/>
                      <w:b/>
                      <w:color w:val="00709E"/>
                      <w:sz w:val="18"/>
                      <w:szCs w:val="18"/>
                    </w:rPr>
                    <w:br/>
                  </w:r>
                  <w:r w:rsidRPr="008B74FA">
                    <w:rPr>
                      <w:rFonts w:cs="Arial"/>
                      <w:b/>
                      <w:color w:val="00709E"/>
                      <w:sz w:val="18"/>
                      <w:szCs w:val="18"/>
                    </w:rPr>
                    <w:t>Pty Ltd</w:t>
                  </w:r>
                </w:p>
              </w:tc>
              <w:tc>
                <w:tcPr>
                  <w:tcW w:w="1843" w:type="dxa"/>
                  <w:hideMark/>
                </w:tcPr>
                <w:p w:rsidR="001E6FB8" w:rsidRDefault="001E6FB8" w:rsidP="001E6FB8">
                  <w:pPr>
                    <w:keepNext/>
                    <w:keepLines/>
                    <w:spacing w:after="40"/>
                    <w:ind w:right="142"/>
                    <w:outlineLvl w:val="0"/>
                    <w:rPr>
                      <w:rFonts w:cs="Arial"/>
                      <w:sz w:val="18"/>
                      <w:szCs w:val="18"/>
                    </w:rPr>
                  </w:pPr>
                  <w:r w:rsidRPr="008B74FA">
                    <w:rPr>
                      <w:rFonts w:cs="Arial"/>
                      <w:sz w:val="18"/>
                      <w:szCs w:val="18"/>
                    </w:rPr>
                    <w:t>42</w:t>
                  </w:r>
                </w:p>
              </w:tc>
              <w:tc>
                <w:tcPr>
                  <w:tcW w:w="5772" w:type="dxa"/>
                </w:tcPr>
                <w:p w:rsidR="001E6FB8" w:rsidRPr="008B74FA" w:rsidRDefault="001E6FB8" w:rsidP="001E6FB8">
                  <w:pPr>
                    <w:keepNext/>
                    <w:keepLines/>
                    <w:spacing w:after="40"/>
                    <w:ind w:right="283"/>
                    <w:outlineLvl w:val="0"/>
                    <w:rPr>
                      <w:rFonts w:cs="Arial"/>
                      <w:sz w:val="18"/>
                      <w:szCs w:val="18"/>
                    </w:rPr>
                  </w:pPr>
                  <w:r w:rsidRPr="008B74FA">
                    <w:rPr>
                      <w:rFonts w:cs="Arial"/>
                      <w:sz w:val="18"/>
                      <w:szCs w:val="18"/>
                    </w:rPr>
                    <w:t>Radio licences in regional areas of Australia</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keepNext/>
                    <w:keepLines/>
                    <w:spacing w:after="40"/>
                    <w:ind w:right="283"/>
                    <w:outlineLvl w:val="0"/>
                    <w:rPr>
                      <w:rFonts w:cs="Arial"/>
                      <w:b/>
                      <w:color w:val="00709E"/>
                      <w:sz w:val="18"/>
                      <w:szCs w:val="18"/>
                    </w:rPr>
                  </w:pPr>
                  <w:r w:rsidRPr="008B74FA">
                    <w:rPr>
                      <w:rFonts w:cs="Arial"/>
                      <w:b/>
                      <w:color w:val="00709E"/>
                      <w:sz w:val="18"/>
                      <w:szCs w:val="18"/>
                    </w:rPr>
                    <w:t>Macquarie Radio Network Ltd</w:t>
                  </w:r>
                </w:p>
              </w:tc>
              <w:tc>
                <w:tcPr>
                  <w:tcW w:w="1843" w:type="dxa"/>
                  <w:hideMark/>
                </w:tcPr>
                <w:p w:rsidR="001E6FB8" w:rsidRDefault="001E6FB8" w:rsidP="001E6FB8">
                  <w:pPr>
                    <w:keepNext/>
                    <w:keepLines/>
                    <w:spacing w:after="40"/>
                    <w:ind w:right="142"/>
                    <w:outlineLvl w:val="0"/>
                    <w:rPr>
                      <w:rFonts w:cs="Arial"/>
                      <w:sz w:val="18"/>
                      <w:szCs w:val="18"/>
                    </w:rPr>
                  </w:pPr>
                  <w:r w:rsidRPr="008B74FA">
                    <w:rPr>
                      <w:rFonts w:cs="Arial"/>
                      <w:sz w:val="18"/>
                      <w:szCs w:val="18"/>
                    </w:rPr>
                    <w:t>8</w:t>
                  </w:r>
                </w:p>
              </w:tc>
              <w:tc>
                <w:tcPr>
                  <w:tcW w:w="5772" w:type="dxa"/>
                </w:tcPr>
                <w:p w:rsidR="001E6FB8" w:rsidRPr="008B74FA" w:rsidRDefault="001E6FB8" w:rsidP="001E6FB8">
                  <w:pPr>
                    <w:keepNext/>
                    <w:keepLines/>
                    <w:spacing w:after="40"/>
                    <w:ind w:right="284"/>
                    <w:outlineLvl w:val="0"/>
                    <w:rPr>
                      <w:rFonts w:cs="Arial"/>
                      <w:sz w:val="18"/>
                      <w:szCs w:val="18"/>
                    </w:rPr>
                  </w:pPr>
                  <w:r w:rsidRPr="008B74FA">
                    <w:rPr>
                      <w:rFonts w:cs="Arial"/>
                      <w:sz w:val="18"/>
                      <w:szCs w:val="18"/>
                    </w:rPr>
                    <w:t xml:space="preserve">Two metropolitan radio licences in Sydney </w:t>
                  </w:r>
                </w:p>
                <w:p w:rsidR="001E6FB8" w:rsidRPr="008B74FA" w:rsidRDefault="001E6FB8" w:rsidP="001E6FB8">
                  <w:pPr>
                    <w:keepNext/>
                    <w:keepLines/>
                    <w:spacing w:after="40"/>
                    <w:ind w:right="284"/>
                    <w:outlineLvl w:val="0"/>
                    <w:rPr>
                      <w:rFonts w:cs="Arial"/>
                      <w:sz w:val="18"/>
                      <w:szCs w:val="18"/>
                    </w:rPr>
                  </w:pPr>
                  <w:r w:rsidRPr="008B74FA">
                    <w:rPr>
                      <w:rFonts w:cs="Arial"/>
                      <w:sz w:val="18"/>
                      <w:szCs w:val="18"/>
                    </w:rPr>
                    <w:t>Radio licences in regional Queensland (Charleville, Emerald, Kingaroy, Mt Isa and Roma)</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keepNext/>
                    <w:keepLines/>
                    <w:spacing w:after="40"/>
                    <w:ind w:right="283"/>
                    <w:outlineLvl w:val="0"/>
                    <w:rPr>
                      <w:rFonts w:cs="Arial"/>
                      <w:b/>
                      <w:color w:val="00709E"/>
                      <w:sz w:val="18"/>
                      <w:szCs w:val="18"/>
                    </w:rPr>
                  </w:pPr>
                  <w:r w:rsidRPr="008B74FA">
                    <w:rPr>
                      <w:rFonts w:cs="Arial"/>
                      <w:b/>
                      <w:color w:val="00709E"/>
                      <w:sz w:val="18"/>
                      <w:szCs w:val="18"/>
                    </w:rPr>
                    <w:t>Prime Media Group Ltd</w:t>
                  </w:r>
                </w:p>
              </w:tc>
              <w:tc>
                <w:tcPr>
                  <w:tcW w:w="1843" w:type="dxa"/>
                  <w:hideMark/>
                </w:tcPr>
                <w:p w:rsidR="001E6FB8" w:rsidRDefault="001E6FB8" w:rsidP="001E6FB8">
                  <w:pPr>
                    <w:keepNext/>
                    <w:keepLines/>
                    <w:spacing w:after="40"/>
                    <w:ind w:right="142"/>
                    <w:outlineLvl w:val="0"/>
                    <w:rPr>
                      <w:rFonts w:cs="Arial"/>
                      <w:sz w:val="18"/>
                      <w:szCs w:val="18"/>
                    </w:rPr>
                  </w:pPr>
                  <w:r w:rsidRPr="008B74FA">
                    <w:rPr>
                      <w:rFonts w:cs="Arial"/>
                      <w:sz w:val="18"/>
                      <w:szCs w:val="18"/>
                    </w:rPr>
                    <w:t>10</w:t>
                  </w:r>
                </w:p>
              </w:tc>
              <w:tc>
                <w:tcPr>
                  <w:tcW w:w="5772" w:type="dxa"/>
                </w:tcPr>
                <w:p w:rsidR="001E6FB8" w:rsidRPr="008B74FA" w:rsidRDefault="001E6FB8" w:rsidP="001E6FB8">
                  <w:pPr>
                    <w:spacing w:after="40"/>
                    <w:ind w:right="284"/>
                    <w:rPr>
                      <w:rFonts w:cs="Arial"/>
                      <w:sz w:val="18"/>
                      <w:szCs w:val="18"/>
                    </w:rPr>
                  </w:pPr>
                  <w:r w:rsidRPr="008B74FA">
                    <w:rPr>
                      <w:rFonts w:cs="Arial"/>
                      <w:sz w:val="18"/>
                      <w:szCs w:val="18"/>
                    </w:rPr>
                    <w:t>Radio licences in the following areas of regional Queensland—Cairns, Gympie, Mackay, Nambour, Rockhampton and Townsville</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spacing w:after="40"/>
                    <w:ind w:right="283"/>
                    <w:rPr>
                      <w:rFonts w:cs="Arial"/>
                      <w:b/>
                      <w:color w:val="00709E"/>
                      <w:sz w:val="18"/>
                      <w:szCs w:val="18"/>
                    </w:rPr>
                  </w:pPr>
                  <w:proofErr w:type="spellStart"/>
                  <w:r w:rsidRPr="008B74FA">
                    <w:rPr>
                      <w:rFonts w:cs="Arial"/>
                      <w:b/>
                      <w:color w:val="00709E"/>
                      <w:sz w:val="18"/>
                      <w:szCs w:val="18"/>
                    </w:rPr>
                    <w:t>Redwave</w:t>
                  </w:r>
                  <w:proofErr w:type="spellEnd"/>
                  <w:r w:rsidRPr="008B74FA">
                    <w:rPr>
                      <w:rFonts w:cs="Arial"/>
                      <w:b/>
                      <w:color w:val="00709E"/>
                      <w:sz w:val="18"/>
                      <w:szCs w:val="18"/>
                    </w:rPr>
                    <w:t xml:space="preserve"> Media Ltd/Seven Group Holdings Ltd</w:t>
                  </w:r>
                </w:p>
              </w:tc>
              <w:tc>
                <w:tcPr>
                  <w:tcW w:w="1843" w:type="dxa"/>
                  <w:hideMark/>
                </w:tcPr>
                <w:p w:rsidR="001E6FB8" w:rsidRDefault="001E6FB8" w:rsidP="001E6FB8">
                  <w:pPr>
                    <w:spacing w:after="40"/>
                    <w:ind w:right="142"/>
                    <w:rPr>
                      <w:rFonts w:cs="Arial"/>
                      <w:sz w:val="18"/>
                      <w:szCs w:val="18"/>
                    </w:rPr>
                  </w:pPr>
                  <w:r w:rsidRPr="008B74FA">
                    <w:rPr>
                      <w:rFonts w:cs="Arial"/>
                      <w:sz w:val="18"/>
                      <w:szCs w:val="18"/>
                    </w:rPr>
                    <w:t>9</w:t>
                  </w:r>
                </w:p>
              </w:tc>
              <w:tc>
                <w:tcPr>
                  <w:tcW w:w="5772" w:type="dxa"/>
                </w:tcPr>
                <w:p w:rsidR="001E6FB8" w:rsidRPr="008B74FA" w:rsidRDefault="001E6FB8" w:rsidP="001E6FB8">
                  <w:pPr>
                    <w:spacing w:after="40"/>
                    <w:ind w:right="284"/>
                    <w:rPr>
                      <w:rFonts w:cs="Arial"/>
                      <w:sz w:val="18"/>
                      <w:szCs w:val="18"/>
                    </w:rPr>
                  </w:pPr>
                  <w:r w:rsidRPr="008B74FA">
                    <w:rPr>
                      <w:rFonts w:cs="Arial"/>
                      <w:sz w:val="18"/>
                      <w:szCs w:val="18"/>
                    </w:rPr>
                    <w:t>Radio licences in the following areas of regional Western Australia—Bunbury, Geraldton, Karratha, Port Hedland and Remote Commercial Radio Service Western Zone</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spacing w:after="40"/>
                    <w:ind w:right="284"/>
                    <w:rPr>
                      <w:rFonts w:cs="Arial"/>
                      <w:b/>
                      <w:color w:val="00709E"/>
                      <w:sz w:val="18"/>
                      <w:szCs w:val="18"/>
                    </w:rPr>
                  </w:pPr>
                  <w:r w:rsidRPr="008B74FA">
                    <w:rPr>
                      <w:rFonts w:cs="Arial"/>
                      <w:b/>
                      <w:color w:val="00709E"/>
                      <w:sz w:val="18"/>
                      <w:szCs w:val="18"/>
                    </w:rPr>
                    <w:t xml:space="preserve">Resonate Broadcasting </w:t>
                  </w:r>
                  <w:r>
                    <w:rPr>
                      <w:rFonts w:cs="Arial"/>
                      <w:b/>
                      <w:color w:val="00709E"/>
                      <w:sz w:val="18"/>
                      <w:szCs w:val="18"/>
                    </w:rPr>
                    <w:br/>
                  </w:r>
                  <w:r w:rsidRPr="008B74FA">
                    <w:rPr>
                      <w:rFonts w:cs="Arial"/>
                      <w:b/>
                      <w:color w:val="00709E"/>
                      <w:sz w:val="18"/>
                      <w:szCs w:val="18"/>
                    </w:rPr>
                    <w:t>Pty Ltd</w:t>
                  </w:r>
                </w:p>
              </w:tc>
              <w:tc>
                <w:tcPr>
                  <w:tcW w:w="1843" w:type="dxa"/>
                  <w:hideMark/>
                </w:tcPr>
                <w:p w:rsidR="001E6FB8" w:rsidRDefault="001E6FB8" w:rsidP="001E6FB8">
                  <w:pPr>
                    <w:spacing w:after="40"/>
                    <w:ind w:right="142"/>
                    <w:rPr>
                      <w:rFonts w:cs="Arial"/>
                      <w:sz w:val="18"/>
                      <w:szCs w:val="18"/>
                    </w:rPr>
                  </w:pPr>
                  <w:r w:rsidRPr="008B74FA">
                    <w:rPr>
                      <w:rFonts w:cs="Arial"/>
                      <w:sz w:val="18"/>
                      <w:szCs w:val="18"/>
                    </w:rPr>
                    <w:t>5</w:t>
                  </w:r>
                </w:p>
              </w:tc>
              <w:tc>
                <w:tcPr>
                  <w:tcW w:w="5772" w:type="dxa"/>
                </w:tcPr>
                <w:p w:rsidR="001E6FB8" w:rsidRPr="008B74FA" w:rsidRDefault="001E6FB8" w:rsidP="001E6FB8">
                  <w:pPr>
                    <w:spacing w:after="40"/>
                    <w:ind w:right="283"/>
                    <w:rPr>
                      <w:rFonts w:cs="Arial"/>
                      <w:sz w:val="18"/>
                      <w:szCs w:val="18"/>
                    </w:rPr>
                  </w:pPr>
                  <w:r w:rsidRPr="008B74FA">
                    <w:rPr>
                      <w:rFonts w:cs="Arial"/>
                      <w:sz w:val="18"/>
                      <w:szCs w:val="18"/>
                    </w:rPr>
                    <w:t>Regional radio licences, two in each of, Longreach and Charters Towers and one in Warragul</w:t>
                  </w:r>
                </w:p>
              </w:tc>
            </w:tr>
            <w:tr w:rsidR="001E6FB8" w:rsidRPr="00FB0BFC" w:rsidTr="001E6FB8">
              <w:trPr>
                <w:trHeight w:val="284"/>
              </w:trPr>
              <w:tc>
                <w:tcPr>
                  <w:tcW w:w="1955" w:type="dxa"/>
                  <w:tcMar>
                    <w:top w:w="0" w:type="dxa"/>
                    <w:left w:w="113" w:type="dxa"/>
                    <w:bottom w:w="0" w:type="dxa"/>
                    <w:right w:w="0" w:type="dxa"/>
                  </w:tcMar>
                  <w:hideMark/>
                </w:tcPr>
                <w:p w:rsidR="001E6FB8" w:rsidRPr="008B74FA" w:rsidRDefault="001E6FB8" w:rsidP="001E6FB8">
                  <w:pPr>
                    <w:spacing w:after="40"/>
                    <w:ind w:right="283"/>
                    <w:rPr>
                      <w:rFonts w:cs="Arial"/>
                      <w:b/>
                      <w:color w:val="00709E"/>
                      <w:sz w:val="18"/>
                      <w:szCs w:val="18"/>
                    </w:rPr>
                  </w:pPr>
                  <w:r w:rsidRPr="008B74FA">
                    <w:rPr>
                      <w:rFonts w:cs="Arial"/>
                      <w:b/>
                      <w:color w:val="00709E"/>
                      <w:sz w:val="18"/>
                      <w:szCs w:val="18"/>
                    </w:rPr>
                    <w:t>Southern Cross Media Group Ltd</w:t>
                  </w:r>
                </w:p>
              </w:tc>
              <w:tc>
                <w:tcPr>
                  <w:tcW w:w="1843" w:type="dxa"/>
                  <w:hideMark/>
                </w:tcPr>
                <w:p w:rsidR="001E6FB8" w:rsidRDefault="001E6FB8" w:rsidP="001E6FB8">
                  <w:pPr>
                    <w:spacing w:after="40"/>
                    <w:ind w:right="142"/>
                    <w:rPr>
                      <w:rFonts w:cs="Arial"/>
                      <w:sz w:val="18"/>
                      <w:szCs w:val="18"/>
                    </w:rPr>
                  </w:pPr>
                  <w:r w:rsidRPr="008B74FA">
                    <w:rPr>
                      <w:rFonts w:cs="Arial"/>
                      <w:sz w:val="18"/>
                      <w:szCs w:val="18"/>
                    </w:rPr>
                    <w:t>78</w:t>
                  </w:r>
                </w:p>
              </w:tc>
              <w:tc>
                <w:tcPr>
                  <w:tcW w:w="5772" w:type="dxa"/>
                </w:tcPr>
                <w:p w:rsidR="001E6FB8" w:rsidRPr="008B74FA" w:rsidRDefault="001E6FB8" w:rsidP="001E6FB8">
                  <w:pPr>
                    <w:spacing w:after="40"/>
                    <w:ind w:right="284"/>
                    <w:rPr>
                      <w:rFonts w:cs="Arial"/>
                      <w:sz w:val="18"/>
                      <w:szCs w:val="18"/>
                    </w:rPr>
                  </w:pPr>
                  <w:r w:rsidRPr="008B74FA">
                    <w:rPr>
                      <w:rFonts w:cs="Arial"/>
                      <w:sz w:val="18"/>
                      <w:szCs w:val="18"/>
                    </w:rPr>
                    <w:t>Metropolitan radio licences in Adelaide, Brisbane, Melbourne, Perth and Sydney</w:t>
                  </w:r>
                </w:p>
                <w:p w:rsidR="001E6FB8" w:rsidRPr="008B74FA" w:rsidRDefault="001E6FB8" w:rsidP="001E6FB8">
                  <w:pPr>
                    <w:spacing w:after="40"/>
                    <w:ind w:right="284"/>
                    <w:rPr>
                      <w:rFonts w:cs="Arial"/>
                      <w:sz w:val="18"/>
                      <w:szCs w:val="18"/>
                    </w:rPr>
                  </w:pPr>
                  <w:r w:rsidRPr="008B74FA">
                    <w:rPr>
                      <w:rFonts w:cs="Arial"/>
                      <w:sz w:val="18"/>
                      <w:szCs w:val="18"/>
                    </w:rPr>
                    <w:t>Radio licences in various regional areas of Australia</w:t>
                  </w:r>
                </w:p>
              </w:tc>
            </w:tr>
            <w:tr w:rsidR="001E6FB8" w:rsidRPr="00FB0BFC" w:rsidTr="001E6FB8">
              <w:trPr>
                <w:trHeight w:val="284"/>
              </w:trPr>
              <w:tc>
                <w:tcPr>
                  <w:tcW w:w="1955" w:type="dxa"/>
                  <w:tcMar>
                    <w:top w:w="0" w:type="dxa"/>
                    <w:left w:w="113" w:type="dxa"/>
                    <w:bottom w:w="0" w:type="dxa"/>
                    <w:right w:w="0" w:type="dxa"/>
                  </w:tcMar>
                </w:tcPr>
                <w:p w:rsidR="001E6FB8" w:rsidRPr="008B74FA" w:rsidRDefault="001E6FB8" w:rsidP="001E6FB8">
                  <w:pPr>
                    <w:spacing w:after="40"/>
                    <w:ind w:right="284"/>
                    <w:rPr>
                      <w:rFonts w:cs="Arial"/>
                      <w:b/>
                      <w:color w:val="00709E"/>
                      <w:sz w:val="18"/>
                      <w:szCs w:val="18"/>
                    </w:rPr>
                  </w:pPr>
                  <w:r w:rsidRPr="008B74FA">
                    <w:rPr>
                      <w:rFonts w:cs="Arial"/>
                      <w:b/>
                      <w:color w:val="00709E"/>
                      <w:sz w:val="18"/>
                      <w:szCs w:val="18"/>
                    </w:rPr>
                    <w:t xml:space="preserve">Broadcast Operations </w:t>
                  </w:r>
                  <w:r>
                    <w:rPr>
                      <w:rFonts w:cs="Arial"/>
                      <w:b/>
                      <w:color w:val="00709E"/>
                      <w:sz w:val="18"/>
                      <w:szCs w:val="18"/>
                    </w:rPr>
                    <w:br/>
                  </w:r>
                  <w:r w:rsidRPr="008B74FA">
                    <w:rPr>
                      <w:rFonts w:cs="Arial"/>
                      <w:b/>
                      <w:color w:val="00709E"/>
                      <w:sz w:val="18"/>
                      <w:szCs w:val="18"/>
                    </w:rPr>
                    <w:t>Pty Ltd (Super Radio Network)</w:t>
                  </w:r>
                </w:p>
              </w:tc>
              <w:tc>
                <w:tcPr>
                  <w:tcW w:w="1843" w:type="dxa"/>
                </w:tcPr>
                <w:p w:rsidR="001E6FB8" w:rsidRDefault="001E6FB8" w:rsidP="001E6FB8">
                  <w:pPr>
                    <w:spacing w:after="40"/>
                    <w:ind w:right="142"/>
                    <w:rPr>
                      <w:rFonts w:cs="Arial"/>
                      <w:sz w:val="18"/>
                      <w:szCs w:val="18"/>
                    </w:rPr>
                  </w:pPr>
                  <w:r w:rsidRPr="008B74FA">
                    <w:rPr>
                      <w:rFonts w:cs="Arial"/>
                      <w:sz w:val="18"/>
                      <w:szCs w:val="18"/>
                    </w:rPr>
                    <w:t>36</w:t>
                  </w:r>
                </w:p>
              </w:tc>
              <w:tc>
                <w:tcPr>
                  <w:tcW w:w="5772" w:type="dxa"/>
                </w:tcPr>
                <w:p w:rsidR="001E6FB8" w:rsidRPr="008B74FA" w:rsidRDefault="001E6FB8" w:rsidP="001E6FB8">
                  <w:pPr>
                    <w:spacing w:after="40"/>
                    <w:ind w:right="283"/>
                    <w:rPr>
                      <w:rFonts w:cs="Arial"/>
                      <w:sz w:val="18"/>
                      <w:szCs w:val="18"/>
                    </w:rPr>
                  </w:pPr>
                  <w:r w:rsidRPr="008B74FA">
                    <w:rPr>
                      <w:rFonts w:cs="Arial"/>
                      <w:sz w:val="18"/>
                      <w:szCs w:val="18"/>
                    </w:rPr>
                    <w:t>Radio licences mainly in regional areas of Australia, but also has one metropolitan radio licence in Sydney</w:t>
                  </w:r>
                </w:p>
              </w:tc>
            </w:tr>
          </w:tbl>
          <w:p w:rsidR="001E6FB8" w:rsidRPr="00FB0BFC" w:rsidRDefault="001E6FB8" w:rsidP="001E6FB8">
            <w:pPr>
              <w:rPr>
                <w:rFonts w:cs="Arial"/>
                <w:sz w:val="16"/>
                <w:szCs w:val="16"/>
              </w:rPr>
            </w:pPr>
          </w:p>
        </w:tc>
      </w:tr>
      <w:tr w:rsidR="001E6FB8" w:rsidRPr="00E141F1" w:rsidTr="001E6FB8">
        <w:trPr>
          <w:trHeight w:val="291"/>
        </w:trPr>
        <w:tc>
          <w:tcPr>
            <w:tcW w:w="9645" w:type="dxa"/>
            <w:tcBorders>
              <w:bottom w:val="single" w:sz="2" w:space="0" w:color="505050"/>
            </w:tcBorders>
            <w:shd w:val="clear" w:color="auto" w:fill="auto"/>
          </w:tcPr>
          <w:p w:rsidR="001E6FB8" w:rsidRPr="00FB0BFC" w:rsidRDefault="001E6FB8" w:rsidP="001E6FB8">
            <w:pPr>
              <w:spacing w:before="120" w:line="240" w:lineRule="auto"/>
              <w:rPr>
                <w:rFonts w:cs="Arial"/>
                <w:i/>
                <w:sz w:val="16"/>
                <w:szCs w:val="16"/>
              </w:rPr>
            </w:pPr>
            <w:r w:rsidRPr="00FB0BFC">
              <w:rPr>
                <w:rFonts w:cs="Arial"/>
                <w:i/>
                <w:sz w:val="16"/>
                <w:szCs w:val="16"/>
              </w:rPr>
              <w:t>Note: Table only includes networks with five licences or more.</w:t>
            </w:r>
          </w:p>
          <w:p w:rsidR="001E6FB8" w:rsidRPr="00FB0BFC" w:rsidRDefault="001E6FB8" w:rsidP="001E6FB8">
            <w:pPr>
              <w:spacing w:after="60" w:line="240" w:lineRule="auto"/>
              <w:rPr>
                <w:rFonts w:cs="Arial"/>
                <w:sz w:val="16"/>
                <w:szCs w:val="16"/>
              </w:rPr>
            </w:pPr>
            <w:r w:rsidRPr="00FB0BFC">
              <w:rPr>
                <w:rFonts w:cs="Arial"/>
                <w:i/>
                <w:sz w:val="16"/>
                <w:szCs w:val="16"/>
              </w:rPr>
              <w:t>Source: The Register of Controlled Media Groups.</w:t>
            </w:r>
          </w:p>
        </w:tc>
      </w:tr>
    </w:tbl>
    <w:p w:rsidR="001E6FB8" w:rsidRPr="00E141F1" w:rsidRDefault="001E6FB8" w:rsidP="001E6FB8">
      <w:pPr>
        <w:spacing w:line="240" w:lineRule="auto"/>
        <w:rPr>
          <w:rFonts w:cs="Arial"/>
          <w:b/>
          <w:bCs/>
        </w:rPr>
      </w:pPr>
    </w:p>
    <w:p w:rsidR="001E6FB8" w:rsidRDefault="001E6FB8" w:rsidP="001E6FB8">
      <w:pPr>
        <w:spacing w:line="240" w:lineRule="auto"/>
        <w:rPr>
          <w:rFonts w:cs="Arial"/>
          <w:bCs/>
          <w:szCs w:val="26"/>
        </w:rPr>
      </w:pPr>
      <w:r>
        <w:rPr>
          <w:b/>
        </w:rPr>
        <w:br w:type="page"/>
      </w:r>
    </w:p>
    <w:p w:rsidR="001E6FB8" w:rsidRPr="00DE7FC5" w:rsidRDefault="001E6FB8" w:rsidP="001E6FB8">
      <w:pPr>
        <w:spacing w:after="80" w:line="240" w:lineRule="auto"/>
        <w:rPr>
          <w:rFonts w:cs="Arial"/>
        </w:rPr>
      </w:pPr>
      <w:r w:rsidRPr="00DE7FC5">
        <w:rPr>
          <w:rFonts w:cs="Arial"/>
        </w:rPr>
        <w:t>A number of key changes occurred in 2012–13:</w:t>
      </w:r>
    </w:p>
    <w:p w:rsidR="001E6FB8" w:rsidRPr="00E141F1" w:rsidRDefault="001E6FB8" w:rsidP="001E6FB8">
      <w:pPr>
        <w:pStyle w:val="ListBullet"/>
        <w:rPr>
          <w:rFonts w:cs="Arial"/>
        </w:rPr>
      </w:pPr>
      <w:r>
        <w:rPr>
          <w:rFonts w:cs="Arial"/>
        </w:rPr>
        <w:t>O</w:t>
      </w:r>
      <w:r w:rsidRPr="00E141F1">
        <w:rPr>
          <w:rFonts w:cs="Arial"/>
        </w:rPr>
        <w:t>n 2 July 2012, Mr Guy Dobson and Mr Rex Morris acquired two commercial radio broadcasting licences in Longreach from Radio Outback Pty Ltd</w:t>
      </w:r>
      <w:r>
        <w:rPr>
          <w:rFonts w:cs="Arial"/>
        </w:rPr>
        <w:t>.</w:t>
      </w:r>
    </w:p>
    <w:p w:rsidR="001E6FB8" w:rsidRPr="00E141F1" w:rsidRDefault="001E6FB8" w:rsidP="001E6FB8">
      <w:pPr>
        <w:pStyle w:val="ListBullet"/>
        <w:rPr>
          <w:rFonts w:cs="Arial"/>
        </w:rPr>
      </w:pPr>
      <w:r>
        <w:rPr>
          <w:rFonts w:cs="Arial"/>
        </w:rPr>
        <w:t>O</w:t>
      </w:r>
      <w:r w:rsidRPr="00E141F1">
        <w:rPr>
          <w:rFonts w:cs="Arial"/>
        </w:rPr>
        <w:t>n 5 July 2012, companies controlled by Mrs Gina Rinehart sold some shares in Fairfax Media Limited, taking her interest to below 15 per cent. As a result, she ceased to be ‘deemed’ in a position of control of the commercial radio licences and associated newspapers controlled by Fairfax Media Limited</w:t>
      </w:r>
      <w:r>
        <w:rPr>
          <w:rFonts w:cs="Arial"/>
        </w:rPr>
        <w:t>.</w:t>
      </w:r>
    </w:p>
    <w:p w:rsidR="001E6FB8" w:rsidRPr="00E141F1" w:rsidRDefault="001E6FB8" w:rsidP="001E6FB8">
      <w:pPr>
        <w:pStyle w:val="ListBullet"/>
        <w:rPr>
          <w:rFonts w:cs="Arial"/>
        </w:rPr>
      </w:pPr>
      <w:r>
        <w:rPr>
          <w:rFonts w:cs="Arial"/>
        </w:rPr>
        <w:t>O</w:t>
      </w:r>
      <w:r w:rsidRPr="00E141F1">
        <w:rPr>
          <w:rFonts w:cs="Arial"/>
        </w:rPr>
        <w:t>n 31 August 2012</w:t>
      </w:r>
      <w:r>
        <w:rPr>
          <w:rFonts w:cs="Arial"/>
        </w:rPr>
        <w:t>,</w:t>
      </w:r>
      <w:r w:rsidRPr="00E141F1">
        <w:rPr>
          <w:rFonts w:cs="Arial"/>
        </w:rPr>
        <w:t xml:space="preserve"> companies controlled by Mr Lachlan Murdoch (which held a 50 per cent interest in the DMG radio licences, Nova and Smooth FM) acquired the remaining interest in those licences from Daily Mail and General Holdings Limited, who then ceased to be</w:t>
      </w:r>
      <w:r>
        <w:rPr>
          <w:rFonts w:cs="Arial"/>
        </w:rPr>
        <w:t xml:space="preserve"> a controller of those licences.</w:t>
      </w:r>
    </w:p>
    <w:p w:rsidR="001E6FB8" w:rsidRPr="00E141F1" w:rsidRDefault="001E6FB8" w:rsidP="001E6FB8">
      <w:pPr>
        <w:pStyle w:val="ListBullet"/>
        <w:rPr>
          <w:rFonts w:cs="Arial"/>
        </w:rPr>
      </w:pPr>
      <w:r>
        <w:rPr>
          <w:rFonts w:cs="Arial"/>
        </w:rPr>
        <w:t>O</w:t>
      </w:r>
      <w:r w:rsidRPr="00E141F1">
        <w:rPr>
          <w:rFonts w:cs="Arial"/>
        </w:rPr>
        <w:t>n 6 February 2013, 85 lenders of the Nine Network (Nine Entertainment Co Holdings Ltd) became controllers of the Nine Network</w:t>
      </w:r>
      <w:r>
        <w:rPr>
          <w:rFonts w:cs="Arial"/>
        </w:rPr>
        <w:t>.</w:t>
      </w:r>
    </w:p>
    <w:p w:rsidR="001E6FB8" w:rsidRPr="00E141F1" w:rsidRDefault="001E6FB8" w:rsidP="001E6FB8">
      <w:pPr>
        <w:pStyle w:val="ListBullet"/>
        <w:rPr>
          <w:rFonts w:cs="Arial"/>
        </w:rPr>
      </w:pPr>
      <w:r>
        <w:rPr>
          <w:rFonts w:cs="Arial"/>
        </w:rPr>
        <w:t>O</w:t>
      </w:r>
      <w:r w:rsidRPr="00E141F1">
        <w:rPr>
          <w:rFonts w:cs="Arial"/>
        </w:rPr>
        <w:t>n 15 March 2013, Southern Cross Media Group Limited sold its two radio licences in Nambour to a new entrant into the industry, Eon Broadcasting Pty Ltd, a subsidiary of HCI International Holdings Limited</w:t>
      </w:r>
      <w:r>
        <w:rPr>
          <w:rFonts w:cs="Arial"/>
        </w:rPr>
        <w:t>.</w:t>
      </w:r>
    </w:p>
    <w:p w:rsidR="001E6FB8" w:rsidRPr="00E141F1" w:rsidRDefault="001E6FB8" w:rsidP="001E6FB8">
      <w:pPr>
        <w:pStyle w:val="ListBullet"/>
        <w:rPr>
          <w:rFonts w:cs="Arial"/>
        </w:rPr>
      </w:pPr>
      <w:r>
        <w:rPr>
          <w:rFonts w:cs="Arial"/>
        </w:rPr>
        <w:t>O</w:t>
      </w:r>
      <w:r w:rsidRPr="00E141F1">
        <w:rPr>
          <w:rFonts w:cs="Arial"/>
        </w:rPr>
        <w:t>n 23 May 2013, the private equity group, Kohlberg Kravis Robert (KKR) sold its remaining 12 per</w:t>
      </w:r>
      <w:r>
        <w:rPr>
          <w:rFonts w:cs="Arial"/>
        </w:rPr>
        <w:t xml:space="preserve"> </w:t>
      </w:r>
      <w:r w:rsidRPr="00E141F1">
        <w:rPr>
          <w:rFonts w:cs="Arial"/>
        </w:rPr>
        <w:t>cent interest in the Seven Network (Seven West Media Ltd), to a broad spread of institutional investors</w:t>
      </w:r>
      <w:r>
        <w:rPr>
          <w:rFonts w:cs="Arial"/>
        </w:rPr>
        <w:t>.</w:t>
      </w:r>
    </w:p>
    <w:p w:rsidR="001E6FB8" w:rsidRPr="00E141F1" w:rsidRDefault="001E6FB8" w:rsidP="001E6FB8">
      <w:pPr>
        <w:pStyle w:val="ListBullet"/>
        <w:spacing w:after="240"/>
        <w:rPr>
          <w:rFonts w:cs="Arial"/>
        </w:rPr>
      </w:pPr>
      <w:r>
        <w:rPr>
          <w:rFonts w:cs="Arial"/>
        </w:rPr>
        <w:t>O</w:t>
      </w:r>
      <w:r w:rsidRPr="00E141F1">
        <w:rPr>
          <w:rFonts w:cs="Arial"/>
        </w:rPr>
        <w:t xml:space="preserve">n 28 June 2013, News Corporation finalised its restructure, splitting its international entertainment arm—including FOX and </w:t>
      </w:r>
      <w:proofErr w:type="spellStart"/>
      <w:r w:rsidRPr="00E141F1">
        <w:rPr>
          <w:rFonts w:cs="Arial"/>
        </w:rPr>
        <w:t>BSkyB</w:t>
      </w:r>
      <w:proofErr w:type="spellEnd"/>
      <w:r w:rsidRPr="00E141F1">
        <w:rPr>
          <w:rFonts w:cs="Arial"/>
        </w:rPr>
        <w:t xml:space="preserve"> (into ‘21st Century Fox’)—from its publishing arm that includes Australian newspapers as well as FOXTEL (including News Ltd newspapers and Australian pay-TV distribution).</w:t>
      </w:r>
    </w:p>
    <w:p w:rsidR="001E6FB8" w:rsidRPr="00E141F1" w:rsidRDefault="001E6FB8" w:rsidP="001E6FB8">
      <w:pPr>
        <w:pStyle w:val="Heading3"/>
      </w:pPr>
      <w:bookmarkStart w:id="177" w:name="_Toc287540128"/>
      <w:bookmarkStart w:id="178" w:name="_Toc308517153"/>
      <w:bookmarkStart w:id="179" w:name="_Toc308523599"/>
      <w:bookmarkStart w:id="180" w:name="_Toc312157112"/>
      <w:bookmarkStart w:id="181" w:name="_Toc341428322"/>
      <w:bookmarkStart w:id="182" w:name="_Toc371589001"/>
      <w:bookmarkStart w:id="183" w:name="_Toc373149063"/>
      <w:r w:rsidRPr="00E141F1">
        <w:t>Cross-media ownership</w:t>
      </w:r>
      <w:bookmarkEnd w:id="177"/>
      <w:bookmarkEnd w:id="178"/>
      <w:bookmarkEnd w:id="179"/>
      <w:bookmarkEnd w:id="180"/>
      <w:bookmarkEnd w:id="181"/>
      <w:bookmarkEnd w:id="182"/>
      <w:bookmarkEnd w:id="183"/>
      <w:r w:rsidRPr="00E141F1">
        <w:t xml:space="preserve"> </w:t>
      </w:r>
    </w:p>
    <w:p w:rsidR="001E6FB8" w:rsidRPr="00E141F1" w:rsidRDefault="001E6FB8" w:rsidP="001E6FB8">
      <w:pPr>
        <w:spacing w:after="80" w:line="240" w:lineRule="auto"/>
        <w:rPr>
          <w:rFonts w:cs="Arial"/>
        </w:rPr>
      </w:pPr>
      <w:r w:rsidRPr="00E141F1">
        <w:rPr>
          <w:rFonts w:cs="Arial"/>
        </w:rPr>
        <w:t xml:space="preserve">A small number of companies control two types of media assets in the same markets: </w:t>
      </w:r>
    </w:p>
    <w:p w:rsidR="001E6FB8" w:rsidRPr="00E141F1" w:rsidRDefault="001E6FB8" w:rsidP="001E6FB8">
      <w:pPr>
        <w:pStyle w:val="ListBullet"/>
        <w:rPr>
          <w:rFonts w:cs="Arial"/>
        </w:rPr>
      </w:pPr>
      <w:r w:rsidRPr="00E141F1">
        <w:rPr>
          <w:rFonts w:cs="Arial"/>
        </w:rPr>
        <w:t>Southern Cross Media Group Ltd controls a combination of radio and television broadcasting licences in 26 radio licence areas</w:t>
      </w:r>
      <w:r>
        <w:rPr>
          <w:rFonts w:cs="Arial"/>
        </w:rPr>
        <w:t>.</w:t>
      </w:r>
    </w:p>
    <w:p w:rsidR="001E6FB8" w:rsidRPr="00E141F1" w:rsidRDefault="001E6FB8" w:rsidP="001E6FB8">
      <w:pPr>
        <w:pStyle w:val="ListBullet"/>
        <w:rPr>
          <w:rFonts w:cs="Arial"/>
        </w:rPr>
      </w:pPr>
      <w:r w:rsidRPr="00E141F1">
        <w:rPr>
          <w:rFonts w:cs="Arial"/>
        </w:rPr>
        <w:t>Fairfax Media Limited controls two radio licences and a newspaper in Melbourne, and a radio licence and a newspaper in Sydney</w:t>
      </w:r>
      <w:r>
        <w:rPr>
          <w:rFonts w:cs="Arial"/>
        </w:rPr>
        <w:t>.</w:t>
      </w:r>
    </w:p>
    <w:p w:rsidR="001E6FB8" w:rsidRPr="00E141F1" w:rsidRDefault="001E6FB8" w:rsidP="001E6FB8">
      <w:pPr>
        <w:pStyle w:val="ListBullet"/>
        <w:rPr>
          <w:rFonts w:cs="Arial"/>
        </w:rPr>
      </w:pPr>
      <w:r w:rsidRPr="00E141F1">
        <w:rPr>
          <w:rFonts w:cs="Arial"/>
        </w:rPr>
        <w:t>Seven Group Holdings Limited controls a television licence and controls a newspaper in Perth</w:t>
      </w:r>
      <w:r>
        <w:rPr>
          <w:rFonts w:cs="Arial"/>
        </w:rPr>
        <w:t>.</w:t>
      </w:r>
    </w:p>
    <w:p w:rsidR="001E6FB8" w:rsidRPr="00E141F1" w:rsidRDefault="001E6FB8" w:rsidP="001E6FB8">
      <w:pPr>
        <w:pStyle w:val="ListBullet"/>
        <w:rPr>
          <w:rFonts w:cs="Arial"/>
        </w:rPr>
      </w:pPr>
      <w:r w:rsidRPr="00E141F1">
        <w:rPr>
          <w:rFonts w:cs="Arial"/>
        </w:rPr>
        <w:t>WIN Corporation Pty Ltd controls a radio and television licence in Wollongong</w:t>
      </w:r>
      <w:r>
        <w:rPr>
          <w:rFonts w:cs="Arial"/>
        </w:rPr>
        <w:t>.</w:t>
      </w:r>
    </w:p>
    <w:p w:rsidR="001E6FB8" w:rsidRPr="00E141F1" w:rsidRDefault="001E6FB8" w:rsidP="001E6FB8">
      <w:pPr>
        <w:pStyle w:val="ListBullet"/>
        <w:spacing w:after="240"/>
        <w:rPr>
          <w:rFonts w:cs="Arial"/>
        </w:rPr>
      </w:pPr>
      <w:r w:rsidRPr="00E141F1">
        <w:rPr>
          <w:rFonts w:cs="Arial"/>
        </w:rPr>
        <w:t>Mr Lachlan Murdoch, through his interests in Ten Network Holdings Limited and Illyria Radio Investments Ltd radio licences, controls two radio licences and a television licence in each of the Sydney, Brisbane, Adelaide and Melbourne metropolitan licence areas, and one radio licence and one television licence in Perth and Gosford.</w:t>
      </w:r>
    </w:p>
    <w:p w:rsidR="001E6FB8" w:rsidRPr="00E141F1" w:rsidRDefault="001E6FB8" w:rsidP="001E6FB8">
      <w:pPr>
        <w:pStyle w:val="Heading3"/>
      </w:pPr>
      <w:bookmarkStart w:id="184" w:name="_Toc287540129"/>
      <w:bookmarkStart w:id="185" w:name="_Toc308517154"/>
      <w:bookmarkStart w:id="186" w:name="_Toc308523600"/>
      <w:bookmarkStart w:id="187" w:name="_Toc312157113"/>
      <w:bookmarkStart w:id="188" w:name="_Toc341428323"/>
      <w:bookmarkStart w:id="189" w:name="_Toc371589002"/>
      <w:bookmarkStart w:id="190" w:name="_Toc373149064"/>
      <w:r w:rsidRPr="00E141F1">
        <w:t>Register of Controlled Media Groups</w:t>
      </w:r>
      <w:bookmarkEnd w:id="184"/>
      <w:bookmarkEnd w:id="185"/>
      <w:bookmarkEnd w:id="186"/>
      <w:bookmarkEnd w:id="187"/>
      <w:bookmarkEnd w:id="188"/>
      <w:bookmarkEnd w:id="189"/>
      <w:bookmarkEnd w:id="190"/>
    </w:p>
    <w:p w:rsidR="001E6FB8" w:rsidRPr="00E141F1" w:rsidRDefault="001E6FB8" w:rsidP="001E6FB8">
      <w:pPr>
        <w:rPr>
          <w:rFonts w:cs="Arial"/>
        </w:rPr>
      </w:pPr>
      <w:r w:rsidRPr="00E141F1">
        <w:rPr>
          <w:rFonts w:cs="Arial"/>
        </w:rPr>
        <w:t>The Register of Controlled Media Groups—published on the ACMA website—provides information to industry and the community about the existence of registered media groups operating in licence areas across Australia, the media operations that form each group and the controllers of those operations. When the register was first published in March 2007, it contained 131 media groups. The number has increased to 187 at June 2013.</w:t>
      </w:r>
    </w:p>
    <w:p w:rsidR="001E6FB8" w:rsidRPr="00E141F1" w:rsidRDefault="001E6FB8" w:rsidP="001E6FB8">
      <w:pPr>
        <w:spacing w:line="240" w:lineRule="auto"/>
        <w:rPr>
          <w:rFonts w:cs="Arial"/>
        </w:rPr>
      </w:pPr>
    </w:p>
    <w:p w:rsidR="001E6FB8" w:rsidRPr="00E141F1" w:rsidRDefault="001E6FB8" w:rsidP="001E6FB8">
      <w:pPr>
        <w:pStyle w:val="Heading3"/>
      </w:pPr>
      <w:bookmarkStart w:id="191" w:name="_Toc341428324"/>
      <w:bookmarkStart w:id="192" w:name="_Toc371589003"/>
      <w:bookmarkStart w:id="193" w:name="_Toc373149065"/>
      <w:r w:rsidRPr="00E141F1">
        <w:t>Subscription television in Australia</w:t>
      </w:r>
      <w:bookmarkEnd w:id="191"/>
      <w:bookmarkEnd w:id="192"/>
      <w:bookmarkEnd w:id="193"/>
    </w:p>
    <w:p w:rsidR="001E6FB8" w:rsidRPr="00E141F1" w:rsidRDefault="001E6FB8" w:rsidP="001E6FB8">
      <w:pPr>
        <w:rPr>
          <w:rFonts w:cs="Arial"/>
        </w:rPr>
      </w:pPr>
      <w:r w:rsidRPr="00E141F1">
        <w:rPr>
          <w:rFonts w:cs="Arial"/>
        </w:rPr>
        <w:t xml:space="preserve">In 2012–13, the ACMA allocated one subscription television broadcasting licence to </w:t>
      </w:r>
      <w:proofErr w:type="spellStart"/>
      <w:r w:rsidRPr="00E141F1">
        <w:rPr>
          <w:rFonts w:cs="Arial"/>
        </w:rPr>
        <w:t>Konnectv</w:t>
      </w:r>
      <w:proofErr w:type="spellEnd"/>
      <w:r w:rsidRPr="00E141F1">
        <w:rPr>
          <w:rFonts w:cs="Arial"/>
        </w:rPr>
        <w:t xml:space="preserve"> Pty Ltd.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FOXTEL’s subscriber numbers increased from 2.40 million at June 2012 to 2.48</w:t>
      </w:r>
      <w:r>
        <w:rPr>
          <w:rFonts w:cs="Arial"/>
        </w:rPr>
        <w:t> </w:t>
      </w:r>
      <w:r w:rsidRPr="00E141F1">
        <w:rPr>
          <w:rFonts w:cs="Arial"/>
        </w:rPr>
        <w:t xml:space="preserve">million at June 2013, an increase of </w:t>
      </w:r>
      <w:r>
        <w:rPr>
          <w:rFonts w:cs="Arial"/>
        </w:rPr>
        <w:t>three</w:t>
      </w:r>
      <w:r w:rsidRPr="00E141F1">
        <w:rPr>
          <w:rFonts w:cs="Arial"/>
        </w:rPr>
        <w:t xml:space="preserve"> per cent (both numbers include </w:t>
      </w:r>
      <w:proofErr w:type="spellStart"/>
      <w:r w:rsidRPr="00E141F1">
        <w:rPr>
          <w:rFonts w:cs="Arial"/>
        </w:rPr>
        <w:t>Austar</w:t>
      </w:r>
      <w:proofErr w:type="spellEnd"/>
      <w:r w:rsidRPr="00E141F1">
        <w:rPr>
          <w:rFonts w:cs="Arial"/>
        </w:rPr>
        <w:t xml:space="preserve"> subscriber numbers, following on from FOXTEL’s purchase of </w:t>
      </w:r>
      <w:proofErr w:type="spellStart"/>
      <w:r w:rsidRPr="00E141F1">
        <w:rPr>
          <w:rFonts w:cs="Arial"/>
        </w:rPr>
        <w:t>Austar</w:t>
      </w:r>
      <w:proofErr w:type="spellEnd"/>
      <w:r w:rsidRPr="00E141F1">
        <w:rPr>
          <w:rFonts w:cs="Arial"/>
        </w:rPr>
        <w:t xml:space="preserve"> in May 2012).</w:t>
      </w:r>
    </w:p>
    <w:p w:rsidR="001E6FB8" w:rsidRPr="00E141F1" w:rsidRDefault="001E6FB8" w:rsidP="001E6FB8">
      <w:pPr>
        <w:rPr>
          <w:rFonts w:cs="Arial"/>
        </w:rPr>
      </w:pPr>
    </w:p>
    <w:p w:rsidR="001E6FB8" w:rsidRPr="00E141F1" w:rsidRDefault="001E6FB8" w:rsidP="001E6FB8">
      <w:pPr>
        <w:pStyle w:val="Heading3"/>
      </w:pPr>
      <w:bookmarkStart w:id="194" w:name="_Toc371589004"/>
      <w:bookmarkStart w:id="195" w:name="_Toc373149066"/>
      <w:r w:rsidRPr="00E141F1">
        <w:t>Community radio broadcasting licences</w:t>
      </w:r>
      <w:bookmarkEnd w:id="194"/>
      <w:bookmarkEnd w:id="195"/>
    </w:p>
    <w:p w:rsidR="001E6FB8" w:rsidRPr="00E141F1" w:rsidRDefault="001E6FB8" w:rsidP="001E6FB8">
      <w:pPr>
        <w:rPr>
          <w:rFonts w:cs="Arial"/>
        </w:rPr>
      </w:pPr>
      <w:r w:rsidRPr="00E141F1">
        <w:rPr>
          <w:rFonts w:cs="Arial"/>
        </w:rPr>
        <w:t>Community broadcasting services are radio and television broadcasting services that are provided for community purposes and must not be operated for profit or as part of a profit-making enterprise. They must encourage community participation in service operation and programming.</w:t>
      </w:r>
    </w:p>
    <w:p w:rsidR="001E6FB8" w:rsidRPr="00E141F1" w:rsidRDefault="001E6FB8" w:rsidP="001E6FB8">
      <w:pPr>
        <w:rPr>
          <w:rFonts w:cs="Arial"/>
        </w:rPr>
      </w:pPr>
    </w:p>
    <w:p w:rsidR="001E6FB8" w:rsidRPr="00E141F1" w:rsidRDefault="001E6FB8" w:rsidP="001E6FB8">
      <w:pPr>
        <w:rPr>
          <w:rFonts w:cs="Arial"/>
        </w:rPr>
      </w:pPr>
      <w:r w:rsidRPr="00E141F1">
        <w:rPr>
          <w:rFonts w:cs="Arial"/>
        </w:rPr>
        <w:t>At 30 June 2013, there were 355 long-term community radio broadcasting licences, representing a range of community interests (Table 1.9). Forty-nine per cent of community radio broadcasting services represent the general community in their respective licence areas.</w:t>
      </w:r>
    </w:p>
    <w:p w:rsidR="001E6FB8" w:rsidRPr="00E141F1" w:rsidRDefault="001E6FB8" w:rsidP="001E6FB8">
      <w:pPr>
        <w:pStyle w:val="Bodysubheader"/>
        <w:rPr>
          <w:rFonts w:cs="Arial"/>
          <w:i w:val="0"/>
        </w:rPr>
      </w:pPr>
    </w:p>
    <w:p w:rsidR="001E6FB8" w:rsidRPr="00E141F1" w:rsidRDefault="001E6FB8" w:rsidP="001E6FB8">
      <w:pPr>
        <w:spacing w:after="80"/>
        <w:rPr>
          <w:rFonts w:cs="Arial"/>
        </w:rPr>
      </w:pPr>
      <w:r w:rsidRPr="00E141F1">
        <w:rPr>
          <w:rFonts w:cs="Arial"/>
        </w:rPr>
        <w:t>During 2012–13, the ACMA:</w:t>
      </w:r>
    </w:p>
    <w:p w:rsidR="001E6FB8" w:rsidRPr="00E141F1" w:rsidRDefault="001E6FB8" w:rsidP="001E6FB8">
      <w:pPr>
        <w:pStyle w:val="CommentSubject"/>
        <w:numPr>
          <w:ilvl w:val="0"/>
          <w:numId w:val="1"/>
        </w:numPr>
        <w:spacing w:after="80"/>
        <w:rPr>
          <w:rFonts w:cs="Arial"/>
        </w:rPr>
      </w:pPr>
      <w:r w:rsidRPr="00E141F1">
        <w:rPr>
          <w:rFonts w:cs="Arial"/>
          <w:b w:val="0"/>
        </w:rPr>
        <w:t>renewed 158 community radio broadcasting licences</w:t>
      </w:r>
    </w:p>
    <w:p w:rsidR="001E6FB8" w:rsidRPr="00E141F1" w:rsidRDefault="001E6FB8" w:rsidP="001E6FB8">
      <w:pPr>
        <w:pStyle w:val="CommentSubject"/>
        <w:numPr>
          <w:ilvl w:val="0"/>
          <w:numId w:val="1"/>
        </w:numPr>
        <w:spacing w:after="80"/>
        <w:rPr>
          <w:rFonts w:cs="Arial"/>
          <w:b w:val="0"/>
        </w:rPr>
      </w:pPr>
      <w:r w:rsidRPr="00E141F1">
        <w:rPr>
          <w:rFonts w:cs="Arial"/>
          <w:b w:val="0"/>
        </w:rPr>
        <w:t>refused the renewal of one community broadcasting licence (7HRT)</w:t>
      </w:r>
    </w:p>
    <w:p w:rsidR="001E6FB8" w:rsidRPr="00E141F1" w:rsidRDefault="001E6FB8" w:rsidP="001E6FB8">
      <w:pPr>
        <w:pStyle w:val="CommentSubject"/>
        <w:numPr>
          <w:ilvl w:val="0"/>
          <w:numId w:val="1"/>
        </w:numPr>
        <w:spacing w:after="80"/>
        <w:rPr>
          <w:rFonts w:cs="Arial"/>
          <w:b w:val="0"/>
        </w:rPr>
      </w:pPr>
      <w:r w:rsidRPr="00E141F1">
        <w:rPr>
          <w:rFonts w:cs="Arial"/>
          <w:b w:val="0"/>
        </w:rPr>
        <w:t>allocated one community radio broadcasting licence for Cherbourg, Queensland</w:t>
      </w:r>
    </w:p>
    <w:p w:rsidR="001E6FB8" w:rsidRPr="00E141F1" w:rsidRDefault="001E6FB8" w:rsidP="001E6FB8">
      <w:pPr>
        <w:pStyle w:val="ListBullet"/>
        <w:spacing w:after="240"/>
        <w:rPr>
          <w:rFonts w:cs="Arial"/>
        </w:rPr>
      </w:pPr>
      <w:r w:rsidRPr="00E141F1">
        <w:rPr>
          <w:rFonts w:cs="Arial"/>
        </w:rPr>
        <w:t>decided not to allocate the community radio broadcasting licence for Cairns, Queensland.</w:t>
      </w:r>
    </w:p>
    <w:p w:rsidR="001E6FB8" w:rsidRPr="00E141F1" w:rsidRDefault="001E6FB8" w:rsidP="001E6FB8">
      <w:pPr>
        <w:pStyle w:val="CommentSubject"/>
        <w:rPr>
          <w:rFonts w:cs="Arial"/>
          <w:b w:val="0"/>
        </w:rPr>
      </w:pPr>
      <w:r w:rsidRPr="00E141F1">
        <w:rPr>
          <w:rFonts w:cs="Arial"/>
          <w:b w:val="0"/>
        </w:rPr>
        <w:t>The licences for six remote Indigenous community radio broadcasting licences lapsed because the licensees did not submit an application for renewal.</w:t>
      </w:r>
    </w:p>
    <w:p w:rsidR="001E6FB8" w:rsidRPr="00E141F1" w:rsidRDefault="001E6FB8" w:rsidP="001E6FB8">
      <w:pPr>
        <w:pStyle w:val="Bodysubheader"/>
        <w:rPr>
          <w:rFonts w:cs="Arial"/>
        </w:rPr>
      </w:pPr>
    </w:p>
    <w:p w:rsidR="001E6FB8" w:rsidRPr="00E141F1" w:rsidRDefault="001E6FB8" w:rsidP="001E6FB8">
      <w:pPr>
        <w:spacing w:after="240"/>
        <w:rPr>
          <w:rFonts w:cs="Arial"/>
        </w:rPr>
      </w:pPr>
      <w:r w:rsidRPr="00E141F1">
        <w:rPr>
          <w:rFonts w:cs="Arial"/>
        </w:rPr>
        <w:t>One community broadcasting licence (4JAZ) was surrendered to the ACMA during 2012–13.</w:t>
      </w: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bookmarkStart w:id="196" w:name="_Toc287540131"/>
            <w:r w:rsidRPr="00E141F1">
              <w:rPr>
                <w:rFonts w:cs="Arial"/>
              </w:rPr>
              <w:t>Table 1.</w:t>
            </w:r>
            <w:r w:rsidR="00421002" w:rsidRPr="00E141F1">
              <w:rPr>
                <w:rFonts w:cs="Arial"/>
              </w:rPr>
              <w:fldChar w:fldCharType="begin"/>
            </w:r>
            <w:r w:rsidRPr="00E141F1">
              <w:rPr>
                <w:rFonts w:cs="Arial"/>
              </w:rPr>
              <w:instrText xml:space="preserve"> SEQ Table \* ARABIC </w:instrText>
            </w:r>
            <w:r w:rsidR="00421002" w:rsidRPr="00E141F1">
              <w:rPr>
                <w:rFonts w:cs="Arial"/>
              </w:rPr>
              <w:fldChar w:fldCharType="separate"/>
            </w:r>
            <w:r>
              <w:rPr>
                <w:rFonts w:cs="Arial"/>
                <w:noProof/>
              </w:rPr>
              <w:t>9</w:t>
            </w:r>
            <w:r w:rsidR="00421002" w:rsidRPr="00E141F1">
              <w:rPr>
                <w:rFonts w:cs="Arial"/>
              </w:rPr>
              <w:fldChar w:fldCharType="end"/>
            </w:r>
            <w:r w:rsidRPr="00E141F1">
              <w:rPr>
                <w:rFonts w:cs="Arial"/>
              </w:rPr>
              <w:t xml:space="preserve"> Community radio broadcasting services by community interest, June 2013</w:t>
            </w:r>
          </w:p>
        </w:tc>
      </w:tr>
      <w:tr w:rsidR="001E6FB8" w:rsidRPr="00E141F1" w:rsidTr="001E6FB8">
        <w:trPr>
          <w:trHeight w:val="2801"/>
        </w:trPr>
        <w:tc>
          <w:tcPr>
            <w:tcW w:w="9645" w:type="dxa"/>
            <w:shd w:val="clear" w:color="auto" w:fill="auto"/>
            <w:tcMar>
              <w:left w:w="28" w:type="dxa"/>
            </w:tcMar>
          </w:tcPr>
          <w:tbl>
            <w:tblPr>
              <w:tblW w:w="9576"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3517"/>
              <w:gridCol w:w="4569"/>
              <w:gridCol w:w="1490"/>
            </w:tblGrid>
            <w:tr w:rsidR="001E6FB8" w:rsidRPr="00E141F1" w:rsidTr="001E6FB8">
              <w:trPr>
                <w:trHeight w:val="284"/>
              </w:trPr>
              <w:tc>
                <w:tcPr>
                  <w:tcW w:w="3517" w:type="dxa"/>
                  <w:shd w:val="clear" w:color="auto" w:fill="00709E"/>
                  <w:tcMar>
                    <w:top w:w="34" w:type="dxa"/>
                    <w:left w:w="113" w:type="dxa"/>
                    <w:bottom w:w="0" w:type="dxa"/>
                    <w:right w:w="0" w:type="dxa"/>
                  </w:tcMar>
                  <w:hideMark/>
                </w:tcPr>
                <w:p w:rsidR="001E6FB8" w:rsidRPr="00E141F1" w:rsidRDefault="001E6FB8" w:rsidP="001E6FB8">
                  <w:pPr>
                    <w:rPr>
                      <w:rFonts w:cs="Arial"/>
                      <w:b/>
                      <w:color w:val="FFFFFF" w:themeColor="background1"/>
                      <w:sz w:val="18"/>
                      <w:szCs w:val="18"/>
                    </w:rPr>
                  </w:pPr>
                  <w:r w:rsidRPr="00E141F1">
                    <w:rPr>
                      <w:rFonts w:cs="Arial"/>
                      <w:b/>
                      <w:color w:val="FFFFFF" w:themeColor="background1"/>
                      <w:sz w:val="18"/>
                      <w:szCs w:val="18"/>
                    </w:rPr>
                    <w:t>Community interest</w:t>
                  </w:r>
                </w:p>
              </w:tc>
              <w:tc>
                <w:tcPr>
                  <w:tcW w:w="4569" w:type="dxa"/>
                  <w:shd w:val="clear" w:color="auto" w:fill="00709E"/>
                  <w:hideMark/>
                </w:tcPr>
                <w:p w:rsidR="001E6FB8" w:rsidRPr="00E141F1" w:rsidRDefault="001E6FB8" w:rsidP="001E6FB8">
                  <w:pPr>
                    <w:ind w:right="79"/>
                    <w:jc w:val="right"/>
                    <w:rPr>
                      <w:rFonts w:cs="Arial"/>
                      <w:b/>
                      <w:color w:val="FFFFFF" w:themeColor="background1"/>
                      <w:sz w:val="18"/>
                      <w:szCs w:val="18"/>
                    </w:rPr>
                  </w:pPr>
                  <w:r w:rsidRPr="00E141F1">
                    <w:rPr>
                      <w:rFonts w:cs="Arial"/>
                      <w:b/>
                      <w:color w:val="FFFFFF" w:themeColor="background1"/>
                      <w:sz w:val="18"/>
                      <w:szCs w:val="18"/>
                    </w:rPr>
                    <w:t>Number</w:t>
                  </w:r>
                </w:p>
              </w:tc>
              <w:tc>
                <w:tcPr>
                  <w:tcW w:w="1490" w:type="dxa"/>
                  <w:shd w:val="clear" w:color="auto" w:fill="00709E"/>
                  <w:hideMark/>
                </w:tcPr>
                <w:p w:rsidR="001E6FB8" w:rsidRPr="00E141F1" w:rsidRDefault="001E6FB8" w:rsidP="001E6FB8">
                  <w:pPr>
                    <w:ind w:right="79"/>
                    <w:jc w:val="right"/>
                    <w:rPr>
                      <w:rFonts w:cs="Arial"/>
                      <w:b/>
                      <w:color w:val="FFFFFF" w:themeColor="background1"/>
                      <w:sz w:val="18"/>
                      <w:szCs w:val="18"/>
                    </w:rPr>
                  </w:pPr>
                  <w:r w:rsidRPr="00E141F1">
                    <w:rPr>
                      <w:rFonts w:cs="Arial"/>
                      <w:b/>
                      <w:color w:val="FFFFFF" w:themeColor="background1"/>
                      <w:sz w:val="18"/>
                      <w:szCs w:val="18"/>
                    </w:rPr>
                    <w:t>% of total</w:t>
                  </w:r>
                </w:p>
              </w:tc>
            </w:tr>
            <w:tr w:rsidR="001E6FB8" w:rsidRPr="00E141F1" w:rsidTr="001E6FB8">
              <w:trPr>
                <w:trHeight w:val="132"/>
              </w:trPr>
              <w:tc>
                <w:tcPr>
                  <w:tcW w:w="3517" w:type="dxa"/>
                  <w:tcMar>
                    <w:top w:w="0" w:type="dxa"/>
                    <w:left w:w="113" w:type="dxa"/>
                    <w:bottom w:w="0" w:type="dxa"/>
                    <w:right w:w="0" w:type="dxa"/>
                  </w:tcMar>
                  <w:hideMark/>
                </w:tcPr>
                <w:p w:rsidR="001E6FB8" w:rsidRPr="00E141F1" w:rsidRDefault="001E6FB8" w:rsidP="001E6FB8">
                  <w:pPr>
                    <w:spacing w:before="40" w:after="40" w:line="240" w:lineRule="auto"/>
                    <w:rPr>
                      <w:rFonts w:cs="Arial"/>
                      <w:sz w:val="18"/>
                      <w:szCs w:val="18"/>
                    </w:rPr>
                  </w:pPr>
                  <w:r w:rsidRPr="00E141F1">
                    <w:rPr>
                      <w:rFonts w:cs="Arial"/>
                      <w:sz w:val="18"/>
                      <w:szCs w:val="18"/>
                    </w:rPr>
                    <w:t xml:space="preserve">Aboriginal and Torres Strait Islander </w:t>
                  </w:r>
                </w:p>
              </w:tc>
              <w:tc>
                <w:tcPr>
                  <w:tcW w:w="4569" w:type="dxa"/>
                  <w:hideMark/>
                </w:tcPr>
                <w:p w:rsidR="001E6FB8" w:rsidRPr="00E141F1" w:rsidRDefault="001E6FB8" w:rsidP="001E6FB8">
                  <w:pPr>
                    <w:keepNext/>
                    <w:keepLines/>
                    <w:spacing w:before="40" w:after="40" w:line="240" w:lineRule="auto"/>
                    <w:ind w:left="295" w:right="79"/>
                    <w:jc w:val="right"/>
                    <w:outlineLvl w:val="0"/>
                    <w:rPr>
                      <w:rFonts w:cs="Arial"/>
                      <w:sz w:val="18"/>
                      <w:szCs w:val="18"/>
                    </w:rPr>
                  </w:pPr>
                  <w:r w:rsidRPr="00E141F1">
                    <w:rPr>
                      <w:rFonts w:cs="Arial"/>
                      <w:sz w:val="18"/>
                      <w:szCs w:val="18"/>
                    </w:rPr>
                    <w:t>94</w:t>
                  </w:r>
                </w:p>
              </w:tc>
              <w:tc>
                <w:tcPr>
                  <w:tcW w:w="1490" w:type="dxa"/>
                  <w:hideMark/>
                </w:tcPr>
                <w:p w:rsidR="001E6FB8" w:rsidRPr="00E141F1" w:rsidRDefault="001E6FB8" w:rsidP="001E6FB8">
                  <w:pPr>
                    <w:keepNext/>
                    <w:keepLines/>
                    <w:spacing w:before="40" w:after="40" w:line="240" w:lineRule="auto"/>
                    <w:ind w:left="295" w:right="79"/>
                    <w:jc w:val="right"/>
                    <w:outlineLvl w:val="0"/>
                    <w:rPr>
                      <w:rFonts w:cs="Arial"/>
                      <w:sz w:val="18"/>
                      <w:szCs w:val="18"/>
                    </w:rPr>
                  </w:pPr>
                  <w:r w:rsidRPr="00E141F1">
                    <w:rPr>
                      <w:rFonts w:cs="Arial"/>
                      <w:sz w:val="18"/>
                      <w:szCs w:val="18"/>
                    </w:rPr>
                    <w:t>26</w:t>
                  </w:r>
                </w:p>
              </w:tc>
            </w:tr>
            <w:tr w:rsidR="001E6FB8" w:rsidRPr="00E141F1" w:rsidTr="001E6FB8">
              <w:trPr>
                <w:trHeight w:val="154"/>
              </w:trPr>
              <w:tc>
                <w:tcPr>
                  <w:tcW w:w="3517" w:type="dxa"/>
                  <w:tcMar>
                    <w:top w:w="0" w:type="dxa"/>
                    <w:left w:w="113" w:type="dxa"/>
                    <w:bottom w:w="0" w:type="dxa"/>
                    <w:right w:w="0" w:type="dxa"/>
                  </w:tcMar>
                  <w:hideMark/>
                </w:tcPr>
                <w:p w:rsidR="001E6FB8" w:rsidRPr="00E141F1" w:rsidRDefault="001E6FB8" w:rsidP="001E6FB8">
                  <w:pPr>
                    <w:spacing w:before="40" w:after="40" w:line="240" w:lineRule="auto"/>
                    <w:rPr>
                      <w:rFonts w:cs="Arial"/>
                      <w:sz w:val="18"/>
                      <w:szCs w:val="18"/>
                    </w:rPr>
                  </w:pPr>
                  <w:r w:rsidRPr="00E141F1">
                    <w:rPr>
                      <w:rFonts w:cs="Arial"/>
                      <w:sz w:val="18"/>
                      <w:szCs w:val="18"/>
                    </w:rPr>
                    <w:t>Educational/special interest</w:t>
                  </w:r>
                </w:p>
              </w:tc>
              <w:tc>
                <w:tcPr>
                  <w:tcW w:w="4569" w:type="dxa"/>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22</w:t>
                  </w:r>
                </w:p>
              </w:tc>
              <w:tc>
                <w:tcPr>
                  <w:tcW w:w="1490" w:type="dxa"/>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6</w:t>
                  </w:r>
                </w:p>
              </w:tc>
            </w:tr>
            <w:tr w:rsidR="001E6FB8" w:rsidRPr="00E141F1" w:rsidTr="001E6FB8">
              <w:trPr>
                <w:trHeight w:val="154"/>
              </w:trPr>
              <w:tc>
                <w:tcPr>
                  <w:tcW w:w="3517" w:type="dxa"/>
                  <w:tcMar>
                    <w:top w:w="0" w:type="dxa"/>
                    <w:left w:w="113" w:type="dxa"/>
                    <w:bottom w:w="0" w:type="dxa"/>
                    <w:right w:w="0" w:type="dxa"/>
                  </w:tcMar>
                  <w:hideMark/>
                </w:tcPr>
                <w:p w:rsidR="001E6FB8" w:rsidRPr="00E141F1" w:rsidRDefault="001E6FB8" w:rsidP="001E6FB8">
                  <w:pPr>
                    <w:spacing w:before="40" w:after="40" w:line="240" w:lineRule="auto"/>
                    <w:rPr>
                      <w:rFonts w:cs="Arial"/>
                      <w:sz w:val="18"/>
                      <w:szCs w:val="18"/>
                    </w:rPr>
                  </w:pPr>
                  <w:r w:rsidRPr="00E141F1">
                    <w:rPr>
                      <w:rFonts w:cs="Arial"/>
                      <w:sz w:val="18"/>
                      <w:szCs w:val="18"/>
                    </w:rPr>
                    <w:t xml:space="preserve">Ethnic </w:t>
                  </w:r>
                </w:p>
              </w:tc>
              <w:tc>
                <w:tcPr>
                  <w:tcW w:w="4569" w:type="dxa"/>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6</w:t>
                  </w:r>
                </w:p>
              </w:tc>
              <w:tc>
                <w:tcPr>
                  <w:tcW w:w="1490" w:type="dxa"/>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2</w:t>
                  </w:r>
                </w:p>
              </w:tc>
            </w:tr>
            <w:tr w:rsidR="001E6FB8" w:rsidRPr="00E141F1" w:rsidTr="001E6FB8">
              <w:trPr>
                <w:trHeight w:val="154"/>
              </w:trPr>
              <w:tc>
                <w:tcPr>
                  <w:tcW w:w="3517" w:type="dxa"/>
                  <w:tcMar>
                    <w:top w:w="0" w:type="dxa"/>
                    <w:left w:w="113" w:type="dxa"/>
                    <w:bottom w:w="0" w:type="dxa"/>
                    <w:right w:w="0" w:type="dxa"/>
                  </w:tcMar>
                  <w:hideMark/>
                </w:tcPr>
                <w:p w:rsidR="001E6FB8" w:rsidRPr="00E141F1" w:rsidRDefault="001E6FB8" w:rsidP="001E6FB8">
                  <w:pPr>
                    <w:spacing w:before="40" w:after="40" w:line="240" w:lineRule="auto"/>
                    <w:rPr>
                      <w:rFonts w:cs="Arial"/>
                      <w:sz w:val="18"/>
                      <w:szCs w:val="18"/>
                    </w:rPr>
                  </w:pPr>
                  <w:r w:rsidRPr="00E141F1">
                    <w:rPr>
                      <w:rFonts w:cs="Arial"/>
                      <w:sz w:val="18"/>
                      <w:szCs w:val="18"/>
                    </w:rPr>
                    <w:t>General geographic area</w:t>
                  </w:r>
                </w:p>
              </w:tc>
              <w:tc>
                <w:tcPr>
                  <w:tcW w:w="4569" w:type="dxa"/>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175</w:t>
                  </w:r>
                </w:p>
              </w:tc>
              <w:tc>
                <w:tcPr>
                  <w:tcW w:w="1490" w:type="dxa"/>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49</w:t>
                  </w:r>
                </w:p>
              </w:tc>
            </w:tr>
            <w:tr w:rsidR="001E6FB8" w:rsidRPr="00E141F1" w:rsidTr="001E6FB8">
              <w:trPr>
                <w:trHeight w:val="154"/>
              </w:trPr>
              <w:tc>
                <w:tcPr>
                  <w:tcW w:w="3517" w:type="dxa"/>
                  <w:tcMar>
                    <w:top w:w="0" w:type="dxa"/>
                    <w:left w:w="113" w:type="dxa"/>
                    <w:bottom w:w="0" w:type="dxa"/>
                    <w:right w:w="0" w:type="dxa"/>
                  </w:tcMar>
                  <w:hideMark/>
                </w:tcPr>
                <w:p w:rsidR="001E6FB8" w:rsidRPr="00E141F1" w:rsidRDefault="001E6FB8" w:rsidP="001E6FB8">
                  <w:pPr>
                    <w:spacing w:before="40" w:after="40" w:line="240" w:lineRule="auto"/>
                    <w:rPr>
                      <w:rFonts w:cs="Arial"/>
                      <w:sz w:val="18"/>
                      <w:szCs w:val="18"/>
                    </w:rPr>
                  </w:pPr>
                  <w:r w:rsidRPr="00E141F1">
                    <w:rPr>
                      <w:rFonts w:cs="Arial"/>
                      <w:sz w:val="18"/>
                      <w:szCs w:val="18"/>
                    </w:rPr>
                    <w:t>Music</w:t>
                  </w:r>
                </w:p>
              </w:tc>
              <w:tc>
                <w:tcPr>
                  <w:tcW w:w="4569" w:type="dxa"/>
                  <w:hideMark/>
                </w:tcPr>
                <w:p w:rsidR="001E6FB8" w:rsidRPr="00E141F1" w:rsidRDefault="001E6FB8" w:rsidP="001E6FB8">
                  <w:pPr>
                    <w:keepNext/>
                    <w:keepLines/>
                    <w:spacing w:before="40" w:after="40" w:line="240" w:lineRule="auto"/>
                    <w:ind w:left="295" w:right="79"/>
                    <w:jc w:val="right"/>
                    <w:outlineLvl w:val="0"/>
                    <w:rPr>
                      <w:rFonts w:cs="Arial"/>
                      <w:sz w:val="18"/>
                      <w:szCs w:val="18"/>
                    </w:rPr>
                  </w:pPr>
                  <w:r w:rsidRPr="00E141F1">
                    <w:rPr>
                      <w:rFonts w:cs="Arial"/>
                      <w:sz w:val="18"/>
                      <w:szCs w:val="18"/>
                    </w:rPr>
                    <w:t>8</w:t>
                  </w:r>
                </w:p>
              </w:tc>
              <w:tc>
                <w:tcPr>
                  <w:tcW w:w="1490" w:type="dxa"/>
                  <w:vAlign w:val="bottom"/>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2</w:t>
                  </w:r>
                </w:p>
              </w:tc>
            </w:tr>
            <w:tr w:rsidR="001E6FB8" w:rsidRPr="00E141F1" w:rsidTr="001E6FB8">
              <w:trPr>
                <w:trHeight w:val="154"/>
              </w:trPr>
              <w:tc>
                <w:tcPr>
                  <w:tcW w:w="3517" w:type="dxa"/>
                  <w:tcMar>
                    <w:top w:w="0" w:type="dxa"/>
                    <w:left w:w="113" w:type="dxa"/>
                    <w:bottom w:w="0" w:type="dxa"/>
                    <w:right w:w="0" w:type="dxa"/>
                  </w:tcMar>
                  <w:vAlign w:val="bottom"/>
                  <w:hideMark/>
                </w:tcPr>
                <w:p w:rsidR="001E6FB8" w:rsidRPr="00E141F1" w:rsidRDefault="001E6FB8" w:rsidP="001E6FB8">
                  <w:pPr>
                    <w:spacing w:before="40" w:after="40" w:line="240" w:lineRule="auto"/>
                    <w:rPr>
                      <w:rFonts w:cs="Arial"/>
                      <w:sz w:val="18"/>
                      <w:szCs w:val="18"/>
                    </w:rPr>
                  </w:pPr>
                  <w:r w:rsidRPr="00E141F1">
                    <w:rPr>
                      <w:rFonts w:cs="Arial"/>
                      <w:sz w:val="18"/>
                      <w:szCs w:val="18"/>
                    </w:rPr>
                    <w:t>Religious</w:t>
                  </w:r>
                </w:p>
              </w:tc>
              <w:tc>
                <w:tcPr>
                  <w:tcW w:w="4569" w:type="dxa"/>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34</w:t>
                  </w:r>
                </w:p>
              </w:tc>
              <w:tc>
                <w:tcPr>
                  <w:tcW w:w="1490" w:type="dxa"/>
                  <w:vAlign w:val="bottom"/>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10</w:t>
                  </w:r>
                </w:p>
              </w:tc>
            </w:tr>
            <w:tr w:rsidR="001E6FB8" w:rsidRPr="00E141F1" w:rsidTr="001E6FB8">
              <w:trPr>
                <w:trHeight w:val="154"/>
              </w:trPr>
              <w:tc>
                <w:tcPr>
                  <w:tcW w:w="3517" w:type="dxa"/>
                  <w:tcMar>
                    <w:top w:w="0" w:type="dxa"/>
                    <w:left w:w="113" w:type="dxa"/>
                    <w:bottom w:w="0" w:type="dxa"/>
                    <w:right w:w="0" w:type="dxa"/>
                  </w:tcMar>
                  <w:vAlign w:val="bottom"/>
                  <w:hideMark/>
                </w:tcPr>
                <w:p w:rsidR="001E6FB8" w:rsidRPr="00E141F1" w:rsidRDefault="001E6FB8" w:rsidP="001E6FB8">
                  <w:pPr>
                    <w:spacing w:before="40" w:after="40" w:line="240" w:lineRule="auto"/>
                    <w:rPr>
                      <w:rFonts w:cs="Arial"/>
                      <w:sz w:val="18"/>
                      <w:szCs w:val="18"/>
                    </w:rPr>
                  </w:pPr>
                  <w:r w:rsidRPr="00E141F1">
                    <w:rPr>
                      <w:rFonts w:cs="Arial"/>
                      <w:sz w:val="18"/>
                      <w:szCs w:val="18"/>
                    </w:rPr>
                    <w:t>Senior citizen</w:t>
                  </w:r>
                </w:p>
              </w:tc>
              <w:tc>
                <w:tcPr>
                  <w:tcW w:w="4569" w:type="dxa"/>
                  <w:hideMark/>
                </w:tcPr>
                <w:p w:rsidR="001E6FB8" w:rsidRPr="00E141F1" w:rsidRDefault="001E6FB8" w:rsidP="001E6FB8">
                  <w:pPr>
                    <w:keepNext/>
                    <w:keepLines/>
                    <w:spacing w:before="40" w:after="40" w:line="240" w:lineRule="auto"/>
                    <w:ind w:right="79"/>
                    <w:jc w:val="right"/>
                    <w:outlineLvl w:val="0"/>
                    <w:rPr>
                      <w:rFonts w:cs="Arial"/>
                      <w:sz w:val="18"/>
                      <w:szCs w:val="18"/>
                    </w:rPr>
                  </w:pPr>
                  <w:r w:rsidRPr="00E141F1">
                    <w:rPr>
                      <w:rFonts w:cs="Arial"/>
                      <w:sz w:val="18"/>
                      <w:szCs w:val="18"/>
                    </w:rPr>
                    <w:t>8</w:t>
                  </w:r>
                </w:p>
              </w:tc>
              <w:tc>
                <w:tcPr>
                  <w:tcW w:w="1490" w:type="dxa"/>
                  <w:vAlign w:val="bottom"/>
                  <w:hideMark/>
                </w:tcPr>
                <w:p w:rsidR="001E6FB8" w:rsidRPr="00E141F1" w:rsidRDefault="001E6FB8" w:rsidP="001E6FB8">
                  <w:pPr>
                    <w:spacing w:before="40" w:after="40" w:line="240" w:lineRule="auto"/>
                    <w:ind w:right="79"/>
                    <w:jc w:val="right"/>
                    <w:rPr>
                      <w:rFonts w:cs="Arial"/>
                      <w:sz w:val="18"/>
                      <w:szCs w:val="18"/>
                    </w:rPr>
                  </w:pPr>
                  <w:r w:rsidRPr="00E141F1">
                    <w:rPr>
                      <w:rFonts w:cs="Arial"/>
                      <w:sz w:val="18"/>
                      <w:szCs w:val="18"/>
                    </w:rPr>
                    <w:t>2</w:t>
                  </w:r>
                </w:p>
              </w:tc>
            </w:tr>
            <w:tr w:rsidR="001E6FB8" w:rsidRPr="00E141F1" w:rsidTr="001E6FB8">
              <w:trPr>
                <w:trHeight w:val="154"/>
              </w:trPr>
              <w:tc>
                <w:tcPr>
                  <w:tcW w:w="3517" w:type="dxa"/>
                  <w:tcMar>
                    <w:top w:w="0" w:type="dxa"/>
                    <w:left w:w="113" w:type="dxa"/>
                    <w:bottom w:w="0" w:type="dxa"/>
                    <w:right w:w="0" w:type="dxa"/>
                  </w:tcMar>
                  <w:hideMark/>
                </w:tcPr>
                <w:p w:rsidR="001E6FB8" w:rsidRPr="00E141F1" w:rsidRDefault="001E6FB8" w:rsidP="001E6FB8">
                  <w:pPr>
                    <w:spacing w:before="40" w:after="40" w:line="240" w:lineRule="auto"/>
                    <w:rPr>
                      <w:rFonts w:cs="Arial"/>
                      <w:sz w:val="18"/>
                      <w:szCs w:val="18"/>
                    </w:rPr>
                  </w:pPr>
                  <w:r w:rsidRPr="00E141F1">
                    <w:rPr>
                      <w:rFonts w:cs="Arial"/>
                      <w:sz w:val="18"/>
                      <w:szCs w:val="18"/>
                    </w:rPr>
                    <w:t>Youth</w:t>
                  </w:r>
                </w:p>
              </w:tc>
              <w:tc>
                <w:tcPr>
                  <w:tcW w:w="4569" w:type="dxa"/>
                  <w:hideMark/>
                </w:tcPr>
                <w:p w:rsidR="001E6FB8" w:rsidRPr="00E141F1" w:rsidRDefault="001E6FB8" w:rsidP="001E6FB8">
                  <w:pPr>
                    <w:spacing w:before="40" w:after="40" w:line="240" w:lineRule="auto"/>
                    <w:ind w:right="79"/>
                    <w:jc w:val="right"/>
                    <w:rPr>
                      <w:rFonts w:cs="Arial"/>
                      <w:sz w:val="18"/>
                      <w:szCs w:val="18"/>
                    </w:rPr>
                  </w:pPr>
                  <w:r w:rsidRPr="00E141F1">
                    <w:rPr>
                      <w:rFonts w:cs="Arial"/>
                      <w:sz w:val="18"/>
                      <w:szCs w:val="18"/>
                    </w:rPr>
                    <w:t>8</w:t>
                  </w:r>
                </w:p>
              </w:tc>
              <w:tc>
                <w:tcPr>
                  <w:tcW w:w="1490" w:type="dxa"/>
                  <w:vAlign w:val="bottom"/>
                  <w:hideMark/>
                </w:tcPr>
                <w:p w:rsidR="001E6FB8" w:rsidRPr="00E141F1" w:rsidRDefault="001E6FB8" w:rsidP="001E6FB8">
                  <w:pPr>
                    <w:spacing w:before="40" w:after="40" w:line="240" w:lineRule="auto"/>
                    <w:ind w:right="79"/>
                    <w:jc w:val="right"/>
                    <w:rPr>
                      <w:rFonts w:cs="Arial"/>
                      <w:sz w:val="18"/>
                      <w:szCs w:val="18"/>
                    </w:rPr>
                  </w:pPr>
                  <w:r w:rsidRPr="00E141F1">
                    <w:rPr>
                      <w:rFonts w:cs="Arial"/>
                      <w:sz w:val="18"/>
                      <w:szCs w:val="18"/>
                    </w:rPr>
                    <w:t>2</w:t>
                  </w:r>
                </w:p>
              </w:tc>
            </w:tr>
            <w:tr w:rsidR="001E6FB8" w:rsidRPr="00E141F1" w:rsidTr="001E6FB8">
              <w:trPr>
                <w:trHeight w:val="154"/>
              </w:trPr>
              <w:tc>
                <w:tcPr>
                  <w:tcW w:w="3517" w:type="dxa"/>
                  <w:tcMar>
                    <w:top w:w="0" w:type="dxa"/>
                    <w:left w:w="113" w:type="dxa"/>
                    <w:bottom w:w="0" w:type="dxa"/>
                    <w:right w:w="0" w:type="dxa"/>
                  </w:tcMar>
                  <w:hideMark/>
                </w:tcPr>
                <w:p w:rsidR="001E6FB8" w:rsidRPr="00E141F1" w:rsidRDefault="001E6FB8" w:rsidP="001E6FB8">
                  <w:pPr>
                    <w:spacing w:before="40" w:after="40" w:line="240" w:lineRule="auto"/>
                    <w:rPr>
                      <w:rFonts w:cs="Arial"/>
                      <w:b/>
                      <w:sz w:val="18"/>
                      <w:szCs w:val="18"/>
                    </w:rPr>
                  </w:pPr>
                  <w:r w:rsidRPr="00E141F1">
                    <w:rPr>
                      <w:rFonts w:cs="Arial"/>
                      <w:b/>
                      <w:sz w:val="18"/>
                      <w:szCs w:val="18"/>
                    </w:rPr>
                    <w:t xml:space="preserve">Total </w:t>
                  </w:r>
                </w:p>
              </w:tc>
              <w:tc>
                <w:tcPr>
                  <w:tcW w:w="4569" w:type="dxa"/>
                  <w:hideMark/>
                </w:tcPr>
                <w:p w:rsidR="001E6FB8" w:rsidRPr="00E141F1" w:rsidRDefault="001E6FB8" w:rsidP="001E6FB8">
                  <w:pPr>
                    <w:spacing w:before="40" w:after="40" w:line="240" w:lineRule="auto"/>
                    <w:ind w:right="79"/>
                    <w:jc w:val="right"/>
                    <w:rPr>
                      <w:rFonts w:cs="Arial"/>
                      <w:b/>
                      <w:sz w:val="18"/>
                      <w:szCs w:val="18"/>
                    </w:rPr>
                  </w:pPr>
                  <w:r w:rsidRPr="00E141F1">
                    <w:rPr>
                      <w:rFonts w:cs="Arial"/>
                      <w:b/>
                      <w:sz w:val="18"/>
                      <w:szCs w:val="18"/>
                    </w:rPr>
                    <w:t xml:space="preserve">355 </w:t>
                  </w:r>
                </w:p>
              </w:tc>
              <w:tc>
                <w:tcPr>
                  <w:tcW w:w="1490" w:type="dxa"/>
                  <w:hideMark/>
                </w:tcPr>
                <w:p w:rsidR="001E6FB8" w:rsidRPr="00E141F1" w:rsidRDefault="001E6FB8" w:rsidP="001E6FB8">
                  <w:pPr>
                    <w:spacing w:before="40" w:after="40" w:line="240" w:lineRule="auto"/>
                    <w:ind w:left="295" w:right="79"/>
                    <w:jc w:val="right"/>
                    <w:rPr>
                      <w:rFonts w:cs="Arial"/>
                      <w:b/>
                      <w:sz w:val="18"/>
                      <w:szCs w:val="18"/>
                    </w:rPr>
                  </w:pPr>
                  <w:r w:rsidRPr="00E141F1">
                    <w:rPr>
                      <w:rFonts w:cs="Arial"/>
                      <w:b/>
                      <w:sz w:val="18"/>
                      <w:szCs w:val="18"/>
                    </w:rPr>
                    <w:t>100</w:t>
                  </w:r>
                </w:p>
              </w:tc>
            </w:tr>
          </w:tbl>
          <w:p w:rsidR="001E6FB8" w:rsidRPr="00E141F1" w:rsidRDefault="001E6FB8" w:rsidP="001E6FB8">
            <w:pPr>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rPr>
                <w:rFonts w:cs="Arial"/>
              </w:rPr>
            </w:pPr>
            <w:r w:rsidRPr="00E141F1">
              <w:rPr>
                <w:rFonts w:cs="Arial"/>
                <w:i/>
                <w:sz w:val="16"/>
                <w:szCs w:val="16"/>
              </w:rPr>
              <w:t>Source: The ACMA</w:t>
            </w:r>
            <w:r w:rsidRPr="00E141F1">
              <w:rPr>
                <w:rFonts w:cs="Arial"/>
                <w:i/>
                <w:sz w:val="18"/>
              </w:rPr>
              <w:t>.</w:t>
            </w:r>
          </w:p>
        </w:tc>
      </w:tr>
    </w:tbl>
    <w:p w:rsidR="001E6FB8" w:rsidRPr="00E141F1" w:rsidRDefault="001E6FB8" w:rsidP="001E6FB8">
      <w:pPr>
        <w:rPr>
          <w:rFonts w:cs="Arial"/>
        </w:rPr>
      </w:pPr>
    </w:p>
    <w:p w:rsidR="001E6FB8" w:rsidRPr="00E141F1" w:rsidRDefault="001E6FB8" w:rsidP="001E6FB8">
      <w:pPr>
        <w:pStyle w:val="Heading3"/>
      </w:pPr>
      <w:bookmarkStart w:id="197" w:name="_Toc341428326"/>
      <w:bookmarkStart w:id="198" w:name="_Toc371589005"/>
      <w:bookmarkStart w:id="199" w:name="_Toc373149067"/>
      <w:bookmarkEnd w:id="196"/>
      <w:r w:rsidRPr="00E141F1">
        <w:t>Temporary community radio broadcasting licences</w:t>
      </w:r>
      <w:bookmarkEnd w:id="197"/>
      <w:bookmarkEnd w:id="198"/>
      <w:bookmarkEnd w:id="199"/>
    </w:p>
    <w:p w:rsidR="001E6FB8" w:rsidRPr="00E141F1" w:rsidRDefault="001E6FB8" w:rsidP="001E6FB8">
      <w:pPr>
        <w:rPr>
          <w:rFonts w:cs="Arial"/>
        </w:rPr>
      </w:pPr>
      <w:r w:rsidRPr="00E141F1">
        <w:rPr>
          <w:rFonts w:cs="Arial"/>
        </w:rPr>
        <w:t>The temporary community radio broadcasting licence scheme allows the ACMA to allocate non-renewable community radio licences to eligible aspirant broadcasters. There were 95 temporary licences at 30 June 2013.</w:t>
      </w:r>
    </w:p>
    <w:p w:rsidR="001E6FB8" w:rsidRPr="00E141F1" w:rsidRDefault="001E6FB8" w:rsidP="001E6FB8">
      <w:pPr>
        <w:rPr>
          <w:rFonts w:cs="Arial"/>
        </w:rPr>
      </w:pPr>
    </w:p>
    <w:p w:rsidR="001E6FB8" w:rsidRPr="00E141F1" w:rsidRDefault="001E6FB8" w:rsidP="001E6FB8">
      <w:pPr>
        <w:pStyle w:val="Heading3"/>
      </w:pPr>
      <w:bookmarkStart w:id="200" w:name="_Toc341428327"/>
      <w:bookmarkStart w:id="201" w:name="_Toc371589006"/>
      <w:bookmarkStart w:id="202" w:name="_Toc373149068"/>
      <w:r w:rsidRPr="00E141F1">
        <w:t>Community television services</w:t>
      </w:r>
      <w:bookmarkEnd w:id="200"/>
      <w:bookmarkEnd w:id="201"/>
      <w:bookmarkEnd w:id="202"/>
    </w:p>
    <w:p w:rsidR="001E6FB8" w:rsidRPr="00E141F1" w:rsidRDefault="001E6FB8" w:rsidP="001E6FB8">
      <w:pPr>
        <w:rPr>
          <w:rFonts w:cs="Arial"/>
        </w:rPr>
      </w:pPr>
      <w:r w:rsidRPr="00E141F1">
        <w:rPr>
          <w:rFonts w:cs="Arial"/>
        </w:rPr>
        <w:t>There were 69 long-term community television broadcasting licensees at 30 June 2013, of which three were in the metropolitan areas of Brisbane, Melbourne and Sydney. The remaining 66 were remote Indigenous broadcasting services. The licences for 12 remote Indigenous community television broadcasting services lapsed because the licensees did not submit an application for renewal.</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ACMA renewed 59 community television broadcasting licences during 2012–13, all of which were remote Indigenous broadcasting services.</w:t>
      </w:r>
    </w:p>
    <w:p w:rsidR="001E6FB8" w:rsidRPr="00E141F1" w:rsidRDefault="001E6FB8" w:rsidP="001E6FB8">
      <w:pPr>
        <w:rPr>
          <w:rFonts w:cs="Arial"/>
        </w:rPr>
      </w:pPr>
    </w:p>
    <w:p w:rsidR="001E6FB8" w:rsidRPr="00E141F1" w:rsidRDefault="001E6FB8" w:rsidP="001E6FB8">
      <w:pPr>
        <w:pStyle w:val="Heading3"/>
      </w:pPr>
      <w:bookmarkStart w:id="203" w:name="_Toc287540134"/>
      <w:bookmarkStart w:id="204" w:name="_Toc341428328"/>
      <w:bookmarkStart w:id="205" w:name="_Toc371589007"/>
      <w:bookmarkStart w:id="206" w:name="_Toc373149069"/>
      <w:r w:rsidRPr="00E141F1">
        <w:t>Community television trials</w:t>
      </w:r>
      <w:bookmarkEnd w:id="203"/>
      <w:bookmarkEnd w:id="204"/>
      <w:bookmarkEnd w:id="205"/>
      <w:bookmarkEnd w:id="206"/>
    </w:p>
    <w:p w:rsidR="001E6FB8" w:rsidRPr="00E141F1" w:rsidRDefault="001E6FB8" w:rsidP="001E6FB8">
      <w:r w:rsidRPr="00E141F1">
        <w:t>During 2012–13, the ACMA decided to make spectrum available for further community television trials in Adelaide and Perth for the period 1 July 2013 to 31 December 2013. These services operate under the open narrowcasting class licence, subject to a condition on the apparatus licence that they be used only to provide an open narrowcasting television service for community and educational non-profit purposes.</w:t>
      </w:r>
    </w:p>
    <w:p w:rsidR="001E6FB8" w:rsidRPr="00E141F1" w:rsidRDefault="001E6FB8" w:rsidP="001E6FB8">
      <w:pPr>
        <w:rPr>
          <w:b/>
        </w:rPr>
      </w:pPr>
    </w:p>
    <w:p w:rsidR="001E6FB8" w:rsidRPr="00E141F1" w:rsidRDefault="001E6FB8" w:rsidP="001E6FB8">
      <w:pPr>
        <w:pStyle w:val="Heading2"/>
      </w:pPr>
      <w:bookmarkStart w:id="207" w:name="_Toc371589008"/>
      <w:bookmarkStart w:id="208" w:name="_Toc373149070"/>
      <w:r w:rsidRPr="00E141F1">
        <w:t>Advertising expenditure in main media</w:t>
      </w:r>
      <w:bookmarkEnd w:id="207"/>
      <w:bookmarkEnd w:id="208"/>
    </w:p>
    <w:p w:rsidR="001E6FB8" w:rsidRPr="00E141F1" w:rsidRDefault="001E6FB8" w:rsidP="001E6FB8">
      <w:pPr>
        <w:rPr>
          <w:rFonts w:cs="Arial"/>
          <w:vertAlign w:val="superscript"/>
        </w:rPr>
      </w:pPr>
      <w:r w:rsidRPr="00E141F1">
        <w:rPr>
          <w:rFonts w:cs="Arial"/>
        </w:rPr>
        <w:t>Commercial Economic Advisory Service of Australia (CEASA) data for the year ended 31 December 2012 shows that total advertising expenditure is yet to reach pre-GFC levels, with advertising expenditure declining by 1.6 per cent in 2012 to $13.27 billion.</w:t>
      </w:r>
      <w:r>
        <w:rPr>
          <w:rFonts w:cs="Arial"/>
        </w:rPr>
        <w:t xml:space="preserve"> </w:t>
      </w:r>
      <w:r w:rsidRPr="00E141F1">
        <w:rPr>
          <w:rFonts w:cs="Arial"/>
        </w:rPr>
        <w:t xml:space="preserve">The television </w:t>
      </w:r>
      <w:r>
        <w:rPr>
          <w:rFonts w:cs="Arial"/>
        </w:rPr>
        <w:t xml:space="preserve">and </w:t>
      </w:r>
      <w:r w:rsidRPr="00E141F1">
        <w:rPr>
          <w:rFonts w:cs="Arial"/>
        </w:rPr>
        <w:t>print media attracted the majority of advertising expenditure during this period. In the 2012 calendar year, these two forms of media accounted for 33 and 29 per cent of total advertising expenditure respectively.</w:t>
      </w:r>
      <w:r w:rsidRPr="00E141F1">
        <w:rPr>
          <w:rStyle w:val="EndnoteReference"/>
          <w:rFonts w:cs="Arial"/>
        </w:rPr>
        <w:endnoteReference w:id="26"/>
      </w:r>
      <w:r>
        <w:rPr>
          <w:rFonts w:cs="Arial"/>
        </w:rPr>
        <w:t xml:space="preserve"> </w:t>
      </w:r>
      <w:r w:rsidRPr="00E141F1">
        <w:rPr>
          <w:rFonts w:cs="Arial"/>
        </w:rPr>
        <w:t xml:space="preserve">However, </w:t>
      </w:r>
      <w:r>
        <w:rPr>
          <w:rFonts w:cs="Arial"/>
        </w:rPr>
        <w:t>in 2012</w:t>
      </w:r>
      <w:r w:rsidRPr="00E141F1">
        <w:rPr>
          <w:rFonts w:cs="Arial"/>
        </w:rPr>
        <w:t>, the amount of advertising expenditure on both television and print media decreased (one and 16 per cent, respectively).</w:t>
      </w:r>
    </w:p>
    <w:p w:rsidR="001E6FB8" w:rsidRPr="00E141F1" w:rsidRDefault="001E6FB8" w:rsidP="001E6FB8">
      <w:pPr>
        <w:rPr>
          <w:rFonts w:cs="Arial"/>
        </w:rPr>
      </w:pPr>
    </w:p>
    <w:p w:rsidR="001E6FB8" w:rsidRDefault="001E6FB8" w:rsidP="001E6FB8">
      <w:pPr>
        <w:pStyle w:val="Heading3"/>
      </w:pPr>
      <w:bookmarkStart w:id="209" w:name="_Toc371589009"/>
      <w:bookmarkStart w:id="210" w:name="_Toc373149071"/>
      <w:r w:rsidRPr="00E141F1">
        <w:t>Continued growth in expenditure on online advertising channels</w:t>
      </w:r>
      <w:bookmarkEnd w:id="209"/>
      <w:bookmarkEnd w:id="210"/>
    </w:p>
    <w:p w:rsidR="001E6FB8" w:rsidRPr="00E141F1" w:rsidRDefault="001E6FB8" w:rsidP="001E6FB8">
      <w:pPr>
        <w:spacing w:line="240" w:lineRule="auto"/>
        <w:rPr>
          <w:rFonts w:cs="Arial"/>
        </w:rPr>
      </w:pPr>
      <w:r w:rsidRPr="00E141F1">
        <w:rPr>
          <w:rFonts w:cs="Arial"/>
        </w:rPr>
        <w:t>Expenditure on online advertising grew by 26 per cent to total $3.34 billion over the 2012 calendar year (Figure 1.18). This represented a 25 per cent share of total media advertising expenditure compared to 20 per cent during 2011 and 17 per cent during 2010. The 2012 calendar year was characterised by significant growth in all online advertising categories with the online general category exhibiting the greatest</w:t>
      </w:r>
      <w:r>
        <w:rPr>
          <w:rFonts w:cs="Arial"/>
        </w:rPr>
        <w:t xml:space="preserve"> proportional</w:t>
      </w:r>
      <w:r w:rsidRPr="00E141F1">
        <w:rPr>
          <w:rFonts w:cs="Arial"/>
        </w:rPr>
        <w:t xml:space="preserve"> increase. Revenue in the classifieds and search &amp; directories categories increased by just over </w:t>
      </w:r>
      <w:r>
        <w:rPr>
          <w:rFonts w:cs="Arial"/>
        </w:rPr>
        <w:t>nine</w:t>
      </w:r>
      <w:r w:rsidRPr="00E141F1">
        <w:rPr>
          <w:rFonts w:cs="Arial"/>
        </w:rPr>
        <w:t xml:space="preserve"> per cent and 27 per cent respectively, with the online general category reporting a year-on-year revenue increase of 39 per cent.</w:t>
      </w:r>
    </w:p>
    <w:p w:rsidR="001E6FB8" w:rsidRPr="00E141F1" w:rsidRDefault="001E6FB8" w:rsidP="001E6FB8">
      <w:pPr>
        <w:spacing w:line="240" w:lineRule="auto"/>
        <w:rPr>
          <w:rFonts w:cs="Arial"/>
        </w:rPr>
      </w:pPr>
    </w:p>
    <w:tbl>
      <w:tblPr>
        <w:tblW w:w="9960" w:type="dxa"/>
        <w:tblLayout w:type="fixed"/>
        <w:tblCellMar>
          <w:left w:w="0" w:type="dxa"/>
          <w:right w:w="0" w:type="dxa"/>
        </w:tblCellMar>
        <w:tblLook w:val="01E0"/>
      </w:tblPr>
      <w:tblGrid>
        <w:gridCol w:w="9960"/>
      </w:tblGrid>
      <w:tr w:rsidR="001E6FB8" w:rsidRPr="00E141F1" w:rsidTr="001E6FB8">
        <w:trPr>
          <w:trHeight w:val="715"/>
        </w:trPr>
        <w:tc>
          <w:tcPr>
            <w:tcW w:w="9960"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18</w:t>
            </w:r>
            <w:r w:rsidR="00421002" w:rsidRPr="00E141F1">
              <w:rPr>
                <w:rFonts w:cs="Arial"/>
              </w:rPr>
              <w:fldChar w:fldCharType="end"/>
            </w:r>
            <w:r w:rsidRPr="00E141F1">
              <w:rPr>
                <w:rFonts w:cs="Arial"/>
              </w:rPr>
              <w:t xml:space="preserve"> Online advertising expenditure, 2010–2012</w:t>
            </w:r>
          </w:p>
        </w:tc>
      </w:tr>
      <w:tr w:rsidR="001E6FB8" w:rsidRPr="00E141F1" w:rsidTr="001E6FB8">
        <w:trPr>
          <w:trHeight w:val="3344"/>
        </w:trPr>
        <w:tc>
          <w:tcPr>
            <w:tcW w:w="9960" w:type="dxa"/>
            <w:shd w:val="clear" w:color="auto" w:fill="auto"/>
            <w:tcMar>
              <w:left w:w="28" w:type="dxa"/>
            </w:tcMar>
          </w:tcPr>
          <w:p w:rsidR="001E6FB8" w:rsidRPr="00E141F1" w:rsidRDefault="001E6FB8" w:rsidP="001E6FB8">
            <w:pPr>
              <w:keepNext/>
              <w:rPr>
                <w:rFonts w:cs="Arial"/>
                <w:szCs w:val="20"/>
              </w:rPr>
            </w:pPr>
            <w:r w:rsidRPr="001D1CF5">
              <w:rPr>
                <w:rFonts w:cs="Arial"/>
                <w:noProof/>
                <w:szCs w:val="20"/>
              </w:rPr>
              <w:drawing>
                <wp:inline distT="0" distB="0" distL="0" distR="0">
                  <wp:extent cx="5791200" cy="2371725"/>
                  <wp:effectExtent l="0" t="0" r="0" b="0"/>
                  <wp:docPr id="232"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1E6FB8" w:rsidRPr="00E141F1" w:rsidTr="001E6FB8">
        <w:trPr>
          <w:trHeight w:val="247"/>
        </w:trPr>
        <w:tc>
          <w:tcPr>
            <w:tcW w:w="9960" w:type="dxa"/>
            <w:tcBorders>
              <w:bottom w:val="single" w:sz="2" w:space="0" w:color="505050"/>
            </w:tcBorders>
            <w:shd w:val="clear" w:color="auto" w:fill="auto"/>
          </w:tcPr>
          <w:p w:rsidR="001E6FB8" w:rsidRPr="00E141F1" w:rsidRDefault="001E6FB8" w:rsidP="001E6FB8">
            <w:pPr>
              <w:keepNext/>
              <w:spacing w:after="60"/>
              <w:rPr>
                <w:rFonts w:cs="Arial"/>
                <w:i/>
                <w:sz w:val="16"/>
                <w:szCs w:val="16"/>
              </w:rPr>
            </w:pPr>
            <w:r w:rsidRPr="00E141F1">
              <w:rPr>
                <w:rFonts w:cs="Arial"/>
                <w:i/>
                <w:sz w:val="16"/>
                <w:szCs w:val="16"/>
              </w:rPr>
              <w:t>Source: Commercial Economic Advisory Service of Australia, year ended 31 December 2012.</w:t>
            </w:r>
          </w:p>
        </w:tc>
      </w:tr>
    </w:tbl>
    <w:p w:rsidR="001E6FB8" w:rsidRDefault="001E6FB8" w:rsidP="001E6FB8"/>
    <w:p w:rsidR="001E6FB8" w:rsidRDefault="001E6FB8" w:rsidP="001E6FB8">
      <w:pPr>
        <w:spacing w:line="240" w:lineRule="auto"/>
        <w:rPr>
          <w:rFonts w:cs="Arial"/>
          <w:b/>
          <w:bCs/>
          <w:iCs/>
          <w:sz w:val="28"/>
          <w:szCs w:val="28"/>
        </w:rPr>
      </w:pPr>
      <w:r>
        <w:br w:type="page"/>
      </w:r>
    </w:p>
    <w:p w:rsidR="001E6FB8" w:rsidRDefault="001E6FB8" w:rsidP="001E6FB8">
      <w:pPr>
        <w:pStyle w:val="Heading2"/>
        <w:keepNext w:val="0"/>
      </w:pPr>
      <w:bookmarkStart w:id="211" w:name="_Toc371589010"/>
      <w:bookmarkStart w:id="212" w:name="_Toc373149072"/>
      <w:r w:rsidRPr="00E141F1">
        <w:t>Consumer use of traditional media and growth in online digital content activities</w:t>
      </w:r>
      <w:bookmarkEnd w:id="211"/>
      <w:bookmarkEnd w:id="212"/>
    </w:p>
    <w:p w:rsidR="001E6FB8" w:rsidRDefault="001E6FB8" w:rsidP="001E6FB8">
      <w:pPr>
        <w:pStyle w:val="Heading3"/>
        <w:keepNext w:val="0"/>
      </w:pPr>
      <w:bookmarkStart w:id="213" w:name="_Toc371589011"/>
      <w:bookmarkStart w:id="214" w:name="_Toc373149073"/>
      <w:r w:rsidRPr="00E141F1">
        <w:t>Use of traditional broadcast media</w:t>
      </w:r>
      <w:bookmarkEnd w:id="213"/>
      <w:bookmarkEnd w:id="214"/>
    </w:p>
    <w:p w:rsidR="001E6FB8" w:rsidRDefault="001E6FB8" w:rsidP="001E6FB8">
      <w:pPr>
        <w:spacing w:line="240" w:lineRule="auto"/>
        <w:rPr>
          <w:rFonts w:cs="Arial"/>
          <w:bCs/>
        </w:rPr>
      </w:pPr>
      <w:r w:rsidRPr="00E141F1">
        <w:rPr>
          <w:rFonts w:cs="Arial"/>
          <w:bCs/>
        </w:rPr>
        <w:t xml:space="preserve">Despite the </w:t>
      </w:r>
      <w:r>
        <w:rPr>
          <w:rFonts w:cs="Arial"/>
          <w:bCs/>
        </w:rPr>
        <w:t>increasing use</w:t>
      </w:r>
      <w:r w:rsidRPr="00E141F1">
        <w:rPr>
          <w:rFonts w:cs="Arial"/>
          <w:bCs/>
        </w:rPr>
        <w:t xml:space="preserve"> of online content service delivery models, Australians’ levels of use of traditional media channels (television and radio services) have remained relatively stable over the past fi</w:t>
      </w:r>
      <w:r>
        <w:rPr>
          <w:rFonts w:cs="Arial"/>
          <w:bCs/>
        </w:rPr>
        <w:t>ve years. This is reflected in f</w:t>
      </w:r>
      <w:r w:rsidRPr="00E141F1">
        <w:rPr>
          <w:rFonts w:cs="Arial"/>
          <w:bCs/>
        </w:rPr>
        <w:t xml:space="preserve">igures 1.19 and 1.20, which show time spent watching and listening to commercial television and radio. </w:t>
      </w:r>
    </w:p>
    <w:p w:rsidR="001E6FB8" w:rsidRPr="00E141F1" w:rsidRDefault="001E6FB8" w:rsidP="001E6FB8">
      <w:pPr>
        <w:spacing w:line="240" w:lineRule="auto"/>
        <w:rPr>
          <w:rFonts w:cs="Arial"/>
          <w:bCs/>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19</w:t>
            </w:r>
            <w:r w:rsidR="00421002" w:rsidRPr="00E141F1">
              <w:rPr>
                <w:rFonts w:cs="Arial"/>
              </w:rPr>
              <w:fldChar w:fldCharType="end"/>
            </w:r>
            <w:r w:rsidRPr="00E141F1">
              <w:rPr>
                <w:rFonts w:cs="Arial"/>
              </w:rPr>
              <w:t xml:space="preserve"> Commercial television viewing on a normal weekday</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rPr>
                <w:rFonts w:cs="Arial"/>
              </w:rPr>
            </w:pPr>
            <w:r w:rsidRPr="00752440">
              <w:rPr>
                <w:rFonts w:cs="Arial"/>
                <w:noProof/>
              </w:rPr>
              <w:drawing>
                <wp:inline distT="0" distB="0" distL="0" distR="0">
                  <wp:extent cx="5657088" cy="2913888"/>
                  <wp:effectExtent l="0" t="0" r="0" b="0"/>
                  <wp:docPr id="2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120" w:after="60"/>
              <w:rPr>
                <w:rFonts w:cs="Arial"/>
              </w:rPr>
            </w:pPr>
            <w:r w:rsidRPr="00E141F1">
              <w:rPr>
                <w:rFonts w:cs="Arial"/>
                <w:i/>
                <w:sz w:val="16"/>
                <w:szCs w:val="16"/>
              </w:rPr>
              <w:t>Source: Roy Morgan Single Source.</w:t>
            </w:r>
          </w:p>
        </w:tc>
      </w:tr>
    </w:tbl>
    <w:p w:rsidR="001E6FB8" w:rsidRDefault="001E6FB8" w:rsidP="001E6FB8">
      <w:pPr>
        <w:spacing w:line="240" w:lineRule="auto"/>
        <w:rPr>
          <w:rFonts w:cs="Arial"/>
        </w:rPr>
      </w:pPr>
    </w:p>
    <w:p w:rsidR="001E6FB8"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A74B5E" w:rsidRDefault="001E6FB8" w:rsidP="001E6FB8">
            <w:pPr>
              <w:pStyle w:val="Caption"/>
              <w:keepNext/>
            </w:pPr>
            <w:r>
              <w:t>Figure 1.</w:t>
            </w:r>
            <w:fldSimple w:instr=" SEQ Figure \* ARABIC ">
              <w:r>
                <w:rPr>
                  <w:noProof/>
                </w:rPr>
                <w:t>20</w:t>
              </w:r>
            </w:fldSimple>
            <w:r>
              <w:t xml:space="preserve"> Commercial radio listening on a normal weekday</w:t>
            </w:r>
          </w:p>
        </w:tc>
      </w:tr>
      <w:tr w:rsidR="001E6FB8" w:rsidTr="001E6FB8">
        <w:trPr>
          <w:trHeight w:val="3086"/>
        </w:trPr>
        <w:tc>
          <w:tcPr>
            <w:tcW w:w="9645" w:type="dxa"/>
            <w:shd w:val="clear" w:color="auto" w:fill="auto"/>
            <w:tcMar>
              <w:left w:w="28" w:type="dxa"/>
            </w:tcMar>
          </w:tcPr>
          <w:p w:rsidR="001E6FB8" w:rsidRDefault="001E6FB8" w:rsidP="001E6FB8">
            <w:pPr>
              <w:keepNext/>
            </w:pPr>
            <w:r w:rsidRPr="00752440">
              <w:rPr>
                <w:noProof/>
              </w:rPr>
              <w:drawing>
                <wp:inline distT="0" distB="0" distL="0" distR="0">
                  <wp:extent cx="5596128" cy="2767584"/>
                  <wp:effectExtent l="0" t="0" r="0" b="0"/>
                  <wp:docPr id="22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r w:rsidR="001E6FB8" w:rsidTr="001E6FB8">
        <w:trPr>
          <w:trHeight w:val="291"/>
        </w:trPr>
        <w:tc>
          <w:tcPr>
            <w:tcW w:w="9645" w:type="dxa"/>
            <w:tcBorders>
              <w:bottom w:val="single" w:sz="2" w:space="0" w:color="505050"/>
            </w:tcBorders>
            <w:shd w:val="clear" w:color="auto" w:fill="auto"/>
          </w:tcPr>
          <w:p w:rsidR="001E6FB8" w:rsidRDefault="001E6FB8" w:rsidP="001E6FB8">
            <w:pPr>
              <w:keepNext/>
              <w:spacing w:before="60" w:after="60"/>
            </w:pPr>
            <w:r w:rsidRPr="00E141F1">
              <w:rPr>
                <w:rFonts w:cs="Arial"/>
                <w:i/>
                <w:sz w:val="16"/>
                <w:szCs w:val="16"/>
              </w:rPr>
              <w:t>Source: Roy Morgan Single Source.</w:t>
            </w:r>
          </w:p>
        </w:tc>
      </w:tr>
    </w:tbl>
    <w:p w:rsidR="001E6FB8" w:rsidRPr="00E141F1" w:rsidRDefault="001E6FB8" w:rsidP="001E6FB8">
      <w:pPr>
        <w:spacing w:line="240" w:lineRule="auto"/>
        <w:rPr>
          <w:rFonts w:cs="Arial"/>
        </w:rPr>
      </w:pPr>
    </w:p>
    <w:p w:rsidR="001E6FB8" w:rsidRDefault="001E6FB8" w:rsidP="001E6FB8">
      <w:pPr>
        <w:pStyle w:val="Heading3"/>
      </w:pPr>
      <w:bookmarkStart w:id="215" w:name="_Toc371589012"/>
      <w:bookmarkStart w:id="216" w:name="_Toc373149074"/>
      <w:r w:rsidRPr="00E141F1">
        <w:t>The shift to online content formats and the proliferation of user pays models</w:t>
      </w:r>
      <w:bookmarkEnd w:id="215"/>
      <w:bookmarkEnd w:id="216"/>
    </w:p>
    <w:p w:rsidR="001E6FB8" w:rsidRDefault="001E6FB8" w:rsidP="001E6FB8">
      <w:pPr>
        <w:spacing w:line="240" w:lineRule="auto"/>
        <w:rPr>
          <w:rFonts w:cs="Arial"/>
        </w:rPr>
      </w:pPr>
      <w:r w:rsidRPr="00E141F1">
        <w:rPr>
          <w:rFonts w:cs="Arial"/>
        </w:rPr>
        <w:t>While the use of traditional media channels has seen little change over the last five years, the increased frequency of internet use in Australia is a driving factor in the emergence of online content services such as news and catch-up television. During June 2013, an estimated 14.77 million Australians aged 14 years and over went online compared to 14.34 million during June 2012.</w:t>
      </w:r>
      <w:r w:rsidRPr="00E141F1">
        <w:rPr>
          <w:rStyle w:val="EndnoteReference"/>
          <w:rFonts w:cs="Arial"/>
        </w:rPr>
        <w:endnoteReference w:id="27"/>
      </w:r>
      <w:r w:rsidRPr="00E141F1">
        <w:rPr>
          <w:rFonts w:cs="Arial"/>
        </w:rPr>
        <w:t xml:space="preserve"> Australians are going online more frequently, with the number of internet users going online at least once a day during 2012–13, increasing by nearly seven per cent to 11.56 million people (Figure 1.21). </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21</w:t>
            </w:r>
            <w:r w:rsidR="00421002" w:rsidRPr="00E141F1">
              <w:rPr>
                <w:rFonts w:cs="Arial"/>
              </w:rPr>
              <w:fldChar w:fldCharType="end"/>
            </w:r>
            <w:r w:rsidRPr="00E141F1">
              <w:rPr>
                <w:rFonts w:cs="Arial"/>
              </w:rPr>
              <w:t xml:space="preserve"> Australians going online more than once a day</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rPr>
                <w:rFonts w:cs="Arial"/>
              </w:rPr>
            </w:pPr>
            <w:r w:rsidRPr="001D1CF5">
              <w:rPr>
                <w:rFonts w:cs="Arial"/>
                <w:noProof/>
              </w:rPr>
              <w:drawing>
                <wp:inline distT="0" distB="0" distL="0" distR="0">
                  <wp:extent cx="5727940" cy="3001993"/>
                  <wp:effectExtent l="0" t="0" r="0" b="0"/>
                  <wp:docPr id="238"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60" w:after="60"/>
              <w:rPr>
                <w:rFonts w:cs="Arial"/>
                <w:i/>
                <w:sz w:val="16"/>
                <w:szCs w:val="16"/>
              </w:rPr>
            </w:pPr>
            <w:r w:rsidRPr="00E141F1">
              <w:rPr>
                <w:rFonts w:cs="Arial"/>
                <w:i/>
                <w:sz w:val="16"/>
                <w:szCs w:val="16"/>
              </w:rPr>
              <w:t>Source: Roy Morgan Single Source.</w:t>
            </w:r>
          </w:p>
        </w:tc>
      </w:tr>
    </w:tbl>
    <w:p w:rsidR="001E6FB8" w:rsidRPr="00E141F1" w:rsidRDefault="001E6FB8" w:rsidP="001E6FB8">
      <w:pPr>
        <w:spacing w:line="240" w:lineRule="auto"/>
        <w:rPr>
          <w:rFonts w:cs="Arial"/>
        </w:rPr>
      </w:pPr>
    </w:p>
    <w:p w:rsidR="001E6FB8" w:rsidRPr="00E141F1" w:rsidRDefault="001E6FB8" w:rsidP="001E6FB8">
      <w:pPr>
        <w:spacing w:after="80" w:line="240" w:lineRule="auto"/>
        <w:rPr>
          <w:rFonts w:cs="Arial"/>
        </w:rPr>
      </w:pPr>
      <w:r w:rsidRPr="00E141F1">
        <w:rPr>
          <w:rFonts w:cs="Arial"/>
        </w:rPr>
        <w:t>The availability of higher-speed internet services and the growth in online content services such as video on demand and catch-up television has seen Australians increasing their online media consumption in addition to their existing offline media use. For example, during June 2013 (in comparison to June 2012):</w:t>
      </w:r>
    </w:p>
    <w:p w:rsidR="001E6FB8" w:rsidRPr="00E141F1" w:rsidRDefault="001E6FB8" w:rsidP="001E6FB8">
      <w:pPr>
        <w:pStyle w:val="CommentSubject"/>
        <w:numPr>
          <w:ilvl w:val="0"/>
          <w:numId w:val="1"/>
        </w:numPr>
        <w:spacing w:after="80"/>
        <w:rPr>
          <w:rFonts w:cs="Arial"/>
          <w:b w:val="0"/>
        </w:rPr>
      </w:pPr>
      <w:r>
        <w:rPr>
          <w:rFonts w:cs="Arial"/>
          <w:b w:val="0"/>
        </w:rPr>
        <w:t>five</w:t>
      </w:r>
      <w:r w:rsidRPr="00E141F1">
        <w:rPr>
          <w:rFonts w:cs="Arial"/>
          <w:b w:val="0"/>
        </w:rPr>
        <w:t xml:space="preserve"> million people streamed videos online, an increase of 14 per cent </w:t>
      </w:r>
    </w:p>
    <w:p w:rsidR="001E6FB8" w:rsidRPr="00E141F1" w:rsidRDefault="001E6FB8" w:rsidP="001E6FB8">
      <w:pPr>
        <w:pStyle w:val="CommentSubject"/>
        <w:numPr>
          <w:ilvl w:val="0"/>
          <w:numId w:val="1"/>
        </w:numPr>
        <w:spacing w:after="80"/>
        <w:rPr>
          <w:rFonts w:cs="Arial"/>
          <w:b w:val="0"/>
        </w:rPr>
      </w:pPr>
      <w:r w:rsidRPr="00E141F1">
        <w:rPr>
          <w:rFonts w:cs="Arial"/>
          <w:b w:val="0"/>
        </w:rPr>
        <w:t>2.6 million streamed music, an increase of 27 per cent</w:t>
      </w:r>
    </w:p>
    <w:p w:rsidR="001E6FB8" w:rsidRPr="00E141F1" w:rsidRDefault="001E6FB8" w:rsidP="001E6FB8">
      <w:pPr>
        <w:pStyle w:val="ListBullet"/>
        <w:spacing w:after="240"/>
        <w:rPr>
          <w:rFonts w:cs="Arial"/>
        </w:rPr>
      </w:pPr>
      <w:r w:rsidRPr="00E141F1">
        <w:rPr>
          <w:rFonts w:cs="Arial"/>
        </w:rPr>
        <w:t>1.7 million streamed TV programs, an increase of 10 per cent.</w:t>
      </w:r>
    </w:p>
    <w:p w:rsidR="001E6FB8" w:rsidRPr="00E141F1" w:rsidRDefault="001E6FB8" w:rsidP="001E6FB8">
      <w:pPr>
        <w:spacing w:line="240" w:lineRule="auto"/>
        <w:rPr>
          <w:rFonts w:cs="Arial"/>
        </w:rPr>
      </w:pPr>
      <w:r w:rsidRPr="00E141F1">
        <w:rPr>
          <w:rFonts w:cs="Arial"/>
        </w:rPr>
        <w:t>All online activities saw a steady increase in the five years to June 13 with one exception. The number of people downloading video clips peaked at 1.58 million in June 2011, falling to 1.14 million at June 2012, and up to 1.33 million at June 2013.</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22</w:t>
            </w:r>
            <w:r w:rsidR="00421002" w:rsidRPr="00E141F1">
              <w:rPr>
                <w:rFonts w:cs="Arial"/>
              </w:rPr>
              <w:fldChar w:fldCharType="end"/>
            </w:r>
            <w:r w:rsidRPr="00E141F1">
              <w:rPr>
                <w:rFonts w:cs="Arial"/>
              </w:rPr>
              <w:t xml:space="preserve"> Digital media activities u</w:t>
            </w:r>
            <w:r>
              <w:rPr>
                <w:rFonts w:cs="Arial"/>
              </w:rPr>
              <w:t xml:space="preserve">ndertaken online by Australians </w:t>
            </w:r>
            <w:r w:rsidRPr="00E141F1">
              <w:rPr>
                <w:rFonts w:cs="Arial"/>
              </w:rPr>
              <w:t>during the month of June</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keepNext/>
              <w:keepLines/>
              <w:rPr>
                <w:rFonts w:cs="Arial"/>
              </w:rPr>
            </w:pPr>
            <w:r>
              <w:rPr>
                <w:noProof/>
              </w:rPr>
              <w:drawing>
                <wp:inline distT="0" distB="0" distL="0" distR="0">
                  <wp:extent cx="6041040" cy="5976258"/>
                  <wp:effectExtent l="19050" t="0" r="0" b="0"/>
                  <wp:docPr id="5" name="Picture 1" descr="C:\Users\KLaGalle\AppData\Local\Microsoft\Windows\Temporary Internet Files\Content.Word\Figure 1.2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aGalle\AppData\Local\Microsoft\Windows\Temporary Internet Files\Content.Word\Figure 1.22.emf"/>
                          <pic:cNvPicPr>
                            <a:picLocks noChangeAspect="1" noChangeArrowheads="1"/>
                          </pic:cNvPicPr>
                        </pic:nvPicPr>
                        <pic:blipFill>
                          <a:blip r:embed="rId56" cstate="print"/>
                          <a:srcRect l="11943" t="1542" r="12551" b="3599"/>
                          <a:stretch>
                            <a:fillRect/>
                          </a:stretch>
                        </pic:blipFill>
                        <pic:spPr bwMode="auto">
                          <a:xfrm>
                            <a:off x="0" y="0"/>
                            <a:ext cx="6047637" cy="5982784"/>
                          </a:xfrm>
                          <a:prstGeom prst="rect">
                            <a:avLst/>
                          </a:prstGeom>
                          <a:noFill/>
                          <a:ln w="9525">
                            <a:noFill/>
                            <a:miter lim="800000"/>
                            <a:headEnd/>
                            <a:tailEnd/>
                          </a:ln>
                        </pic:spPr>
                      </pic:pic>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9F5856" w:rsidRDefault="001E6FB8" w:rsidP="001E6FB8">
            <w:pPr>
              <w:keepNext/>
              <w:keepLines/>
              <w:spacing w:before="240" w:line="240" w:lineRule="auto"/>
              <w:rPr>
                <w:rFonts w:cs="Arial"/>
                <w:i/>
                <w:sz w:val="16"/>
                <w:szCs w:val="16"/>
              </w:rPr>
            </w:pPr>
            <w:r>
              <w:rPr>
                <w:rFonts w:cs="Arial"/>
                <w:i/>
                <w:sz w:val="16"/>
                <w:szCs w:val="16"/>
              </w:rPr>
              <w:t>*Data not available for June-</w:t>
            </w:r>
            <w:r w:rsidRPr="00E141F1">
              <w:rPr>
                <w:rFonts w:cs="Arial"/>
                <w:i/>
                <w:sz w:val="16"/>
                <w:szCs w:val="16"/>
              </w:rPr>
              <w:t xml:space="preserve">09. Excludes full-length TV content. </w:t>
            </w:r>
            <w:r w:rsidRPr="00E141F1">
              <w:rPr>
                <w:rFonts w:cs="Arial"/>
                <w:i/>
                <w:sz w:val="16"/>
                <w:szCs w:val="16"/>
              </w:rPr>
              <w:br/>
            </w:r>
            <w:r w:rsidRPr="00FF2D8A">
              <w:rPr>
                <w:rFonts w:cs="Arial"/>
                <w:i/>
                <w:sz w:val="16"/>
                <w:szCs w:val="16"/>
                <w:vertAlign w:val="superscript"/>
              </w:rPr>
              <w:t>†</w:t>
            </w:r>
            <w:r w:rsidRPr="00E141F1">
              <w:rPr>
                <w:rFonts w:cs="Arial"/>
                <w:i/>
                <w:sz w:val="16"/>
                <w:szCs w:val="16"/>
              </w:rPr>
              <w:t>Relates to use of catch-up TV services.</w:t>
            </w:r>
          </w:p>
          <w:p w:rsidR="001E6FB8" w:rsidRPr="00E141F1" w:rsidRDefault="001E6FB8" w:rsidP="001E6FB8">
            <w:pPr>
              <w:keepNext/>
              <w:keepLines/>
              <w:spacing w:line="240" w:lineRule="auto"/>
              <w:rPr>
                <w:rFonts w:cs="Arial"/>
                <w:b/>
                <w:i/>
                <w:color w:val="4D4D4F"/>
                <w:spacing w:val="-28"/>
                <w:sz w:val="16"/>
                <w:szCs w:val="16"/>
              </w:rPr>
            </w:pPr>
            <w:r w:rsidRPr="00FF2D8A">
              <w:rPr>
                <w:rFonts w:cs="Arial"/>
                <w:i/>
                <w:sz w:val="16"/>
                <w:szCs w:val="16"/>
                <w:vertAlign w:val="superscript"/>
              </w:rPr>
              <w:t>^</w:t>
            </w:r>
            <w:r>
              <w:rPr>
                <w:rFonts w:cs="Arial"/>
                <w:i/>
                <w:sz w:val="16"/>
                <w:szCs w:val="16"/>
              </w:rPr>
              <w:t>Data not available for June-09, June-10 or June-</w:t>
            </w:r>
            <w:r w:rsidRPr="00E141F1">
              <w:rPr>
                <w:rFonts w:cs="Arial"/>
                <w:i/>
                <w:sz w:val="16"/>
                <w:szCs w:val="16"/>
              </w:rPr>
              <w:t xml:space="preserve">11. </w:t>
            </w:r>
            <w:r w:rsidRPr="00E141F1">
              <w:rPr>
                <w:rFonts w:cs="Arial"/>
                <w:i/>
                <w:sz w:val="16"/>
                <w:szCs w:val="16"/>
              </w:rPr>
              <w:br/>
              <w:t>Note: Comparable data before 2009 not available.</w:t>
            </w:r>
          </w:p>
          <w:p w:rsidR="001E6FB8" w:rsidRPr="00E141F1" w:rsidRDefault="001E6FB8" w:rsidP="001E6FB8">
            <w:pPr>
              <w:keepNext/>
              <w:keepLines/>
              <w:spacing w:after="60" w:line="240" w:lineRule="auto"/>
              <w:rPr>
                <w:rFonts w:cs="Arial"/>
                <w:b/>
                <w:color w:val="4D4D4F"/>
                <w:spacing w:val="-28"/>
                <w:sz w:val="53"/>
              </w:rPr>
            </w:pPr>
            <w:r w:rsidRPr="00E141F1">
              <w:rPr>
                <w:rFonts w:cs="Arial"/>
                <w:i/>
                <w:sz w:val="16"/>
                <w:szCs w:val="16"/>
              </w:rPr>
              <w:t>Source: Roy Morgan Single Source.</w:t>
            </w:r>
          </w:p>
        </w:tc>
      </w:tr>
    </w:tbl>
    <w:p w:rsidR="001E6FB8" w:rsidRPr="00E141F1" w:rsidRDefault="001E6FB8" w:rsidP="001E6FB8">
      <w:pPr>
        <w:spacing w:line="240" w:lineRule="auto"/>
        <w:rPr>
          <w:rFonts w:cs="Arial"/>
        </w:rPr>
      </w:pPr>
    </w:p>
    <w:p w:rsidR="001E6FB8" w:rsidRDefault="001E6FB8" w:rsidP="001E6FB8">
      <w:pPr>
        <w:spacing w:line="240" w:lineRule="auto"/>
        <w:rPr>
          <w:rFonts w:cs="Arial"/>
          <w:b/>
          <w:bCs/>
        </w:rPr>
      </w:pPr>
      <w:r>
        <w:rPr>
          <w:rFonts w:cs="Arial"/>
          <w:b/>
          <w:bCs/>
        </w:rPr>
        <w:br w:type="page"/>
      </w:r>
    </w:p>
    <w:p w:rsidR="001E6FB8" w:rsidRPr="00E141F1" w:rsidRDefault="001E6FB8" w:rsidP="001E6FB8">
      <w:pPr>
        <w:keepNext/>
        <w:spacing w:line="240" w:lineRule="auto"/>
        <w:rPr>
          <w:rFonts w:cs="Arial"/>
          <w:b/>
          <w:bCs/>
        </w:rPr>
      </w:pPr>
      <w:r w:rsidRPr="00E141F1">
        <w:rPr>
          <w:rFonts w:cs="Arial"/>
          <w:b/>
          <w:bCs/>
        </w:rPr>
        <w:t>Online video content services</w:t>
      </w:r>
    </w:p>
    <w:p w:rsidR="001E6FB8" w:rsidRPr="00E141F1" w:rsidRDefault="001E6FB8" w:rsidP="001E6FB8">
      <w:pPr>
        <w:keepNext/>
        <w:spacing w:line="240" w:lineRule="auto"/>
        <w:rPr>
          <w:rFonts w:cs="Arial"/>
          <w:bCs/>
        </w:rPr>
      </w:pPr>
      <w:r w:rsidRPr="00E141F1">
        <w:rPr>
          <w:rFonts w:cs="Arial"/>
          <w:bCs/>
        </w:rPr>
        <w:t>The growth in online participation, in conjunction with increased network capabilities and ongoing challenges to traditional revenue streams, has seen a growth in online video content services.</w:t>
      </w:r>
    </w:p>
    <w:p w:rsidR="001E6FB8" w:rsidRPr="00E141F1" w:rsidRDefault="001E6FB8" w:rsidP="001E6FB8">
      <w:pPr>
        <w:spacing w:line="240" w:lineRule="auto"/>
        <w:rPr>
          <w:rFonts w:cs="Arial"/>
          <w:bCs/>
        </w:rPr>
      </w:pPr>
    </w:p>
    <w:p w:rsidR="001E6FB8" w:rsidRDefault="001E6FB8" w:rsidP="001E6FB8">
      <w:pPr>
        <w:spacing w:after="80" w:line="240" w:lineRule="auto"/>
        <w:rPr>
          <w:rFonts w:cs="Arial"/>
          <w:bCs/>
        </w:rPr>
      </w:pPr>
      <w:r w:rsidRPr="00E141F1">
        <w:rPr>
          <w:rFonts w:cs="Arial"/>
          <w:bCs/>
        </w:rPr>
        <w:t>In the six months to May 2013, 7.86 million Australians aged 18 years and over accessed a commercial or free-to-air online video content (OVC) service compared to 5.16 million in the six months to May 2012, a 52 per cent increase. The majority of OVC activity related to the use of online catch-up television services. ACMA research showed that in the six months to May 2013:</w:t>
      </w:r>
    </w:p>
    <w:p w:rsidR="001E6FB8" w:rsidRPr="00E141F1" w:rsidRDefault="001E6FB8" w:rsidP="001E6FB8">
      <w:pPr>
        <w:pStyle w:val="ListBullet"/>
        <w:rPr>
          <w:rFonts w:cs="Arial"/>
        </w:rPr>
      </w:pPr>
      <w:r w:rsidRPr="00E141F1">
        <w:rPr>
          <w:rFonts w:cs="Arial"/>
        </w:rPr>
        <w:t>6.69 million used a catch-up television service</w:t>
      </w:r>
    </w:p>
    <w:p w:rsidR="001E6FB8" w:rsidRPr="00E141F1" w:rsidRDefault="001E6FB8" w:rsidP="001E6FB8">
      <w:pPr>
        <w:pStyle w:val="ListBullet"/>
        <w:rPr>
          <w:rFonts w:cs="Arial"/>
        </w:rPr>
      </w:pPr>
      <w:r w:rsidRPr="00E141F1">
        <w:rPr>
          <w:rFonts w:cs="Arial"/>
        </w:rPr>
        <w:t>1.94 million used video on demand services</w:t>
      </w:r>
    </w:p>
    <w:p w:rsidR="001E6FB8" w:rsidRPr="00E141F1" w:rsidRDefault="001E6FB8" w:rsidP="001E6FB8">
      <w:pPr>
        <w:pStyle w:val="ListBullet"/>
        <w:spacing w:after="240"/>
        <w:rPr>
          <w:rFonts w:cs="Arial"/>
        </w:rPr>
      </w:pPr>
      <w:r w:rsidRPr="00E141F1">
        <w:rPr>
          <w:rFonts w:cs="Arial"/>
        </w:rPr>
        <w:t>1.38 million used a commercial internet television service such as IPTV.</w:t>
      </w:r>
    </w:p>
    <w:p w:rsidR="001E6FB8" w:rsidRPr="00E141F1" w:rsidRDefault="001E6FB8" w:rsidP="001E6FB8">
      <w:pPr>
        <w:spacing w:line="240" w:lineRule="auto"/>
        <w:rPr>
          <w:rFonts w:cs="Arial"/>
        </w:rPr>
      </w:pPr>
      <w:r w:rsidRPr="00E141F1">
        <w:rPr>
          <w:rFonts w:cs="Arial"/>
        </w:rPr>
        <w:t>In addition, an estimated 5.2 million Australians aged 18 years</w:t>
      </w:r>
      <w:r>
        <w:rPr>
          <w:rFonts w:cs="Arial"/>
        </w:rPr>
        <w:t xml:space="preserve"> and over had access to a ‘time-</w:t>
      </w:r>
      <w:r w:rsidRPr="00E141F1">
        <w:rPr>
          <w:rFonts w:cs="Arial"/>
        </w:rPr>
        <w:t>shifting’ device (used to access professionally produced content services) at June 2013, an increase of seven per cent in comparison to June 2012. Some of these devices are outlined in Figure 1.23.</w:t>
      </w:r>
    </w:p>
    <w:p w:rsidR="001E6FB8" w:rsidRPr="00E141F1" w:rsidRDefault="001E6FB8" w:rsidP="001E6FB8">
      <w:pPr>
        <w:spacing w:line="240" w:lineRule="auto"/>
        <w:rPr>
          <w:rFonts w:cs="Arial"/>
        </w:rPr>
      </w:pPr>
      <w:r>
        <w:rPr>
          <w:rFonts w:cs="Arial"/>
        </w:rPr>
        <w:t xml:space="preserve"> </w:t>
      </w:r>
    </w:p>
    <w:tbl>
      <w:tblPr>
        <w:tblW w:w="9525" w:type="dxa"/>
        <w:tblLayout w:type="fixed"/>
        <w:tblCellMar>
          <w:left w:w="0" w:type="dxa"/>
          <w:right w:w="0" w:type="dxa"/>
        </w:tblCellMar>
        <w:tblLook w:val="01E0"/>
      </w:tblPr>
      <w:tblGrid>
        <w:gridCol w:w="9525"/>
      </w:tblGrid>
      <w:tr w:rsidR="001E6FB8" w:rsidRPr="00E141F1" w:rsidTr="001E6FB8">
        <w:trPr>
          <w:trHeight w:val="597"/>
        </w:trPr>
        <w:tc>
          <w:tcPr>
            <w:tcW w:w="952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Figure 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23</w:t>
            </w:r>
            <w:r w:rsidR="00421002" w:rsidRPr="00E141F1">
              <w:rPr>
                <w:rFonts w:cs="Arial"/>
              </w:rPr>
              <w:fldChar w:fldCharType="end"/>
            </w:r>
            <w:r w:rsidRPr="00E141F1">
              <w:rPr>
                <w:rFonts w:cs="Arial"/>
              </w:rPr>
              <w:t xml:space="preserve"> Access to time-shifting content devices in the home, June 2013</w:t>
            </w:r>
          </w:p>
        </w:tc>
      </w:tr>
      <w:tr w:rsidR="001E6FB8" w:rsidRPr="00E141F1" w:rsidTr="001E6FB8">
        <w:trPr>
          <w:trHeight w:val="373"/>
        </w:trPr>
        <w:tc>
          <w:tcPr>
            <w:tcW w:w="9525" w:type="dxa"/>
            <w:tcBorders>
              <w:bottom w:val="single" w:sz="2" w:space="0" w:color="505050"/>
            </w:tcBorders>
            <w:shd w:val="clear" w:color="auto" w:fill="auto"/>
          </w:tcPr>
          <w:p w:rsidR="001E6FB8" w:rsidRPr="00E141F1" w:rsidRDefault="001E6FB8" w:rsidP="001E6FB8">
            <w:pPr>
              <w:rPr>
                <w:rFonts w:cs="Arial"/>
                <w:i/>
                <w:sz w:val="16"/>
                <w:szCs w:val="16"/>
              </w:rPr>
            </w:pPr>
            <w:r w:rsidRPr="000D177F">
              <w:rPr>
                <w:rFonts w:cs="Arial"/>
                <w:i/>
                <w:noProof/>
                <w:sz w:val="16"/>
                <w:szCs w:val="16"/>
              </w:rPr>
              <w:drawing>
                <wp:inline distT="0" distB="0" distL="0" distR="0">
                  <wp:extent cx="6061435" cy="3214541"/>
                  <wp:effectExtent l="0" t="0" r="0" b="0"/>
                  <wp:docPr id="341" name="Chart 3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E6FB8" w:rsidRPr="00E141F1" w:rsidRDefault="001E6FB8" w:rsidP="001E6FB8">
            <w:pPr>
              <w:spacing w:before="60" w:after="60"/>
              <w:rPr>
                <w:rFonts w:cs="Arial"/>
                <w:szCs w:val="20"/>
              </w:rPr>
            </w:pPr>
            <w:r w:rsidRPr="00E141F1">
              <w:rPr>
                <w:rFonts w:cs="Arial"/>
                <w:i/>
                <w:sz w:val="16"/>
                <w:szCs w:val="16"/>
              </w:rPr>
              <w:t>Source: Roy Morgan Single Source.</w:t>
            </w:r>
          </w:p>
        </w:tc>
      </w:tr>
    </w:tbl>
    <w:p w:rsidR="001E6FB8" w:rsidRPr="00E141F1" w:rsidRDefault="001E6FB8" w:rsidP="001E6FB8">
      <w:pPr>
        <w:spacing w:line="240" w:lineRule="auto"/>
        <w:rPr>
          <w:rFonts w:cs="Arial"/>
        </w:rPr>
      </w:pPr>
    </w:p>
    <w:p w:rsidR="001E6FB8" w:rsidRPr="00E141F1" w:rsidRDefault="001E6FB8" w:rsidP="001E6FB8">
      <w:pPr>
        <w:spacing w:line="240" w:lineRule="auto"/>
        <w:rPr>
          <w:rFonts w:cs="Arial"/>
          <w:b/>
          <w:bCs/>
          <w:i/>
        </w:rPr>
      </w:pPr>
      <w:r w:rsidRPr="00E141F1">
        <w:rPr>
          <w:rFonts w:cs="Arial"/>
          <w:b/>
          <w:bCs/>
          <w:i/>
        </w:rPr>
        <w:t>Online news services</w:t>
      </w:r>
    </w:p>
    <w:p w:rsidR="001E6FB8" w:rsidRPr="00E141F1" w:rsidRDefault="001E6FB8" w:rsidP="001E6FB8">
      <w:pPr>
        <w:spacing w:line="240" w:lineRule="auto"/>
        <w:rPr>
          <w:rFonts w:cs="Arial"/>
          <w:bCs/>
        </w:rPr>
      </w:pPr>
      <w:r w:rsidRPr="00E141F1">
        <w:rPr>
          <w:rFonts w:cs="Arial"/>
          <w:bCs/>
        </w:rPr>
        <w:t>Australians are increasingly shifting their news viewing from traditional news sources such as newspaper and television to online methods, with 65 per cent of Australians</w:t>
      </w:r>
      <w:r>
        <w:rPr>
          <w:rFonts w:cs="Arial"/>
          <w:bCs/>
        </w:rPr>
        <w:t xml:space="preserve"> (11.39 million)</w:t>
      </w:r>
      <w:r w:rsidRPr="00E141F1">
        <w:rPr>
          <w:rFonts w:cs="Arial"/>
          <w:bCs/>
        </w:rPr>
        <w:t xml:space="preserve"> accessing news online at May 2013.</w:t>
      </w:r>
      <w:r>
        <w:rPr>
          <w:rStyle w:val="EndnoteReference"/>
          <w:rFonts w:cs="Arial"/>
          <w:bCs/>
        </w:rPr>
        <w:endnoteReference w:id="28"/>
      </w:r>
      <w:r w:rsidRPr="00E141F1">
        <w:rPr>
          <w:rFonts w:cs="Arial"/>
          <w:bCs/>
        </w:rPr>
        <w:t xml:space="preserve"> </w:t>
      </w:r>
    </w:p>
    <w:p w:rsidR="001E6FB8" w:rsidRPr="00E141F1" w:rsidRDefault="001E6FB8" w:rsidP="001E6FB8">
      <w:pPr>
        <w:spacing w:line="240" w:lineRule="auto"/>
        <w:rPr>
          <w:rFonts w:cs="Arial"/>
          <w:bCs/>
        </w:rPr>
      </w:pPr>
    </w:p>
    <w:p w:rsidR="001E6FB8" w:rsidRPr="00E141F1" w:rsidRDefault="001E6FB8" w:rsidP="001E6FB8">
      <w:pPr>
        <w:spacing w:line="240" w:lineRule="auto"/>
        <w:rPr>
          <w:rFonts w:cs="Arial"/>
          <w:bCs/>
        </w:rPr>
      </w:pPr>
      <w:r w:rsidRPr="00E141F1">
        <w:rPr>
          <w:rFonts w:cs="Arial"/>
          <w:bCs/>
        </w:rPr>
        <w:t xml:space="preserve">Figure 1.24 shows a strong preference for local news, with Australian news sites accounting for nine out of the top </w:t>
      </w:r>
      <w:r>
        <w:rPr>
          <w:rFonts w:cs="Arial"/>
          <w:bCs/>
        </w:rPr>
        <w:t>10</w:t>
      </w:r>
      <w:r w:rsidRPr="00E141F1">
        <w:rPr>
          <w:rFonts w:cs="Arial"/>
          <w:bCs/>
        </w:rPr>
        <w:t xml:space="preserve"> sites accessed by Australians during June 2013. While major daily newspapers in Australia already have a significant number of readers accessing their online news sites, non-print news and international organisations continue to attract significant online readership in Australia. News websites such as Ninemsn news, Yahoo7 News, ABC News and the BBC news all featured in the top 10 online news sites.</w:t>
      </w:r>
    </w:p>
    <w:p w:rsidR="001E6FB8" w:rsidRPr="00E141F1" w:rsidRDefault="001E6FB8" w:rsidP="001E6FB8">
      <w:pPr>
        <w:spacing w:line="240" w:lineRule="auto"/>
        <w:rPr>
          <w:rFonts w:cs="Arial"/>
          <w:bCs/>
        </w:rPr>
      </w:pPr>
    </w:p>
    <w:p w:rsidR="001E6FB8" w:rsidRDefault="001E6FB8" w:rsidP="001E6FB8">
      <w:pPr>
        <w:spacing w:after="80" w:line="240" w:lineRule="auto"/>
        <w:rPr>
          <w:rFonts w:cs="Arial"/>
        </w:rPr>
      </w:pPr>
      <w:r w:rsidRPr="00E141F1">
        <w:rPr>
          <w:rFonts w:cs="Arial"/>
        </w:rPr>
        <w:t>With revenues from traditional print media in decline, pay-per-view models are being explored as a mechanism to generate revenue from this growing online audience. The two largest media organisations in Australia (News Corporation and Fairfax) have introduced metered models that allow users to only view a limited number of articles per week before being asked to register. For example:</w:t>
      </w:r>
    </w:p>
    <w:p w:rsidR="001E6FB8" w:rsidRDefault="001E6FB8" w:rsidP="001E6FB8">
      <w:pPr>
        <w:numPr>
          <w:ilvl w:val="0"/>
          <w:numId w:val="1"/>
        </w:numPr>
        <w:spacing w:after="80" w:line="240" w:lineRule="auto"/>
        <w:rPr>
          <w:rFonts w:cs="Arial"/>
        </w:rPr>
      </w:pPr>
      <w:r w:rsidRPr="00E141F1">
        <w:rPr>
          <w:rFonts w:cs="Arial"/>
          <w:bCs/>
        </w:rPr>
        <w:t xml:space="preserve">News Corporation launched a metered service in May 2013 that allows unregistered readers to access five articles a week at </w:t>
      </w:r>
      <w:r w:rsidRPr="00E141F1">
        <w:rPr>
          <w:rFonts w:cs="Arial"/>
          <w:bCs/>
          <w:i/>
        </w:rPr>
        <w:t xml:space="preserve">The </w:t>
      </w:r>
      <w:bookmarkStart w:id="217" w:name="OLE_LINK1"/>
      <w:bookmarkStart w:id="218" w:name="OLE_LINK2"/>
      <w:r w:rsidRPr="00E141F1">
        <w:rPr>
          <w:rFonts w:cs="Arial"/>
          <w:bCs/>
          <w:i/>
        </w:rPr>
        <w:t>Daily Telegraph</w:t>
      </w:r>
      <w:r w:rsidRPr="00E141F1">
        <w:rPr>
          <w:rFonts w:cs="Arial"/>
          <w:bCs/>
        </w:rPr>
        <w:t xml:space="preserve"> and the </w:t>
      </w:r>
      <w:r w:rsidRPr="00E141F1">
        <w:rPr>
          <w:rFonts w:cs="Arial"/>
          <w:bCs/>
          <w:i/>
        </w:rPr>
        <w:t>Herald</w:t>
      </w:r>
      <w:bookmarkEnd w:id="217"/>
      <w:bookmarkEnd w:id="218"/>
      <w:r w:rsidRPr="00E141F1">
        <w:rPr>
          <w:rFonts w:cs="Arial"/>
          <w:bCs/>
          <w:i/>
        </w:rPr>
        <w:t xml:space="preserve"> Sun</w:t>
      </w:r>
      <w:r w:rsidRPr="00E141F1">
        <w:rPr>
          <w:rFonts w:cs="Arial"/>
          <w:bCs/>
        </w:rPr>
        <w:t>. Registered users can</w:t>
      </w:r>
      <w:r>
        <w:rPr>
          <w:rFonts w:cs="Arial"/>
          <w:bCs/>
        </w:rPr>
        <w:t xml:space="preserve"> </w:t>
      </w:r>
      <w:r w:rsidRPr="00E141F1">
        <w:rPr>
          <w:rFonts w:cs="Arial"/>
          <w:bCs/>
        </w:rPr>
        <w:t xml:space="preserve">access an additional 15 articles per week at </w:t>
      </w:r>
      <w:r w:rsidRPr="00E141F1">
        <w:rPr>
          <w:rFonts w:cs="Arial"/>
          <w:bCs/>
          <w:i/>
        </w:rPr>
        <w:t>The Daily Telegraph</w:t>
      </w:r>
      <w:r w:rsidRPr="00E141F1">
        <w:rPr>
          <w:rFonts w:cs="Arial"/>
          <w:bCs/>
        </w:rPr>
        <w:t xml:space="preserve"> and 10 per week at the </w:t>
      </w:r>
      <w:r w:rsidRPr="00557163">
        <w:rPr>
          <w:rFonts w:cs="Arial"/>
          <w:bCs/>
          <w:i/>
        </w:rPr>
        <w:t>Herald Sun</w:t>
      </w:r>
      <w:r w:rsidRPr="00E141F1">
        <w:rPr>
          <w:rFonts w:cs="Arial"/>
          <w:bCs/>
        </w:rPr>
        <w:t xml:space="preserve"> and paid subscribers can access all content.</w:t>
      </w:r>
      <w:r w:rsidRPr="00E141F1">
        <w:rPr>
          <w:rStyle w:val="EndnoteReference"/>
          <w:rFonts w:cs="Arial"/>
          <w:bCs/>
        </w:rPr>
        <w:endnoteReference w:id="29"/>
      </w:r>
      <w:r w:rsidRPr="00E141F1">
        <w:rPr>
          <w:rFonts w:cs="Arial"/>
          <w:bCs/>
        </w:rPr>
        <w:t xml:space="preserve"> </w:t>
      </w:r>
    </w:p>
    <w:p w:rsidR="001E6FB8" w:rsidRPr="00E141F1" w:rsidRDefault="001E6FB8" w:rsidP="001E6FB8">
      <w:pPr>
        <w:pStyle w:val="ListBullet"/>
        <w:spacing w:after="240"/>
        <w:rPr>
          <w:rFonts w:cs="Arial"/>
        </w:rPr>
      </w:pPr>
      <w:r w:rsidRPr="00E141F1">
        <w:rPr>
          <w:rFonts w:cs="Arial"/>
        </w:rPr>
        <w:t xml:space="preserve">In July 2013, Fairfax introduced a similar model for the </w:t>
      </w:r>
      <w:r w:rsidRPr="00E141F1">
        <w:rPr>
          <w:rFonts w:cs="Arial"/>
          <w:i/>
        </w:rPr>
        <w:t>Sydney Morning Herald</w:t>
      </w:r>
      <w:r w:rsidRPr="00E141F1">
        <w:rPr>
          <w:rFonts w:cs="Arial"/>
        </w:rPr>
        <w:t xml:space="preserve"> and </w:t>
      </w:r>
      <w:r w:rsidRPr="00E141F1">
        <w:rPr>
          <w:rFonts w:cs="Arial"/>
          <w:i/>
        </w:rPr>
        <w:t>The Age.</w:t>
      </w:r>
      <w:r w:rsidRPr="00E141F1">
        <w:rPr>
          <w:rFonts w:cs="Arial"/>
        </w:rPr>
        <w:t xml:space="preserve"> Both media organisations are extending the model to other publications.</w:t>
      </w:r>
      <w:r w:rsidRPr="009A2CE2">
        <w:rPr>
          <w:rFonts w:cs="Arial"/>
          <w:vertAlign w:val="superscript"/>
        </w:rPr>
        <w:endnoteReference w:id="30"/>
      </w:r>
    </w:p>
    <w:p w:rsidR="001E6FB8" w:rsidRPr="00E141F1" w:rsidRDefault="001E6FB8" w:rsidP="001E6FB8">
      <w:pPr>
        <w:spacing w:line="240" w:lineRule="auto"/>
        <w:rPr>
          <w:rFonts w:cs="Arial"/>
        </w:rPr>
      </w:pPr>
      <w:r w:rsidRPr="00E141F1">
        <w:rPr>
          <w:rFonts w:cs="Arial"/>
        </w:rPr>
        <w:t xml:space="preserve">Not only does this model </w:t>
      </w:r>
      <w:r>
        <w:rPr>
          <w:rFonts w:cs="Arial"/>
        </w:rPr>
        <w:t>provide</w:t>
      </w:r>
      <w:r w:rsidRPr="00E141F1">
        <w:rPr>
          <w:rFonts w:cs="Arial"/>
        </w:rPr>
        <w:t xml:space="preserve"> revenue</w:t>
      </w:r>
      <w:r w:rsidR="00207F43">
        <w:rPr>
          <w:rFonts w:cs="Arial"/>
        </w:rPr>
        <w:t xml:space="preserve"> </w:t>
      </w:r>
      <w:r w:rsidRPr="00E141F1">
        <w:rPr>
          <w:rFonts w:cs="Arial"/>
        </w:rPr>
        <w:t xml:space="preserve">for News Corporation and Fairfax, the gathering of registration details also enables the organisations to allow advertisers to </w:t>
      </w:r>
      <w:r>
        <w:rPr>
          <w:rFonts w:cs="Arial"/>
        </w:rPr>
        <w:t xml:space="preserve">better </w:t>
      </w:r>
      <w:r w:rsidRPr="00E141F1">
        <w:rPr>
          <w:rFonts w:cs="Arial"/>
        </w:rPr>
        <w:t>target advertising to users, making it a more powerful tool.</w:t>
      </w:r>
    </w:p>
    <w:p w:rsidR="001E6FB8" w:rsidRPr="00E141F1" w:rsidRDefault="001E6FB8" w:rsidP="001E6FB8">
      <w:pPr>
        <w:spacing w:line="240" w:lineRule="auto"/>
        <w:rPr>
          <w:rFonts w:cs="Arial"/>
        </w:rPr>
      </w:pPr>
    </w:p>
    <w:p w:rsidR="001E6FB8" w:rsidRPr="00E141F1" w:rsidRDefault="001E6FB8" w:rsidP="001E6FB8">
      <w:pPr>
        <w:spacing w:line="240" w:lineRule="auto"/>
        <w:rPr>
          <w:rFonts w:cs="Arial"/>
        </w:rPr>
      </w:pPr>
      <w:r>
        <w:rPr>
          <w:rFonts w:cs="Arial"/>
        </w:rPr>
        <w:t xml:space="preserve">ACMA research indicates that, </w:t>
      </w:r>
      <w:r w:rsidRPr="00E141F1">
        <w:rPr>
          <w:rFonts w:cs="Arial"/>
        </w:rPr>
        <w:t>although the major newspapers are moving to metered models, the number of paid subscribers is still relatively low at just over six per cent (1.08 million people) at May 2013. This is a continuing challenge to the long-term sustainability of these business models.</w:t>
      </w:r>
      <w:r w:rsidRPr="00E141F1">
        <w:rPr>
          <w:rStyle w:val="EndnoteReference"/>
          <w:rFonts w:cs="Arial"/>
        </w:rPr>
        <w:endnoteReference w:id="31"/>
      </w:r>
    </w:p>
    <w:p w:rsidR="001E6FB8" w:rsidRDefault="001E6FB8" w:rsidP="001E6FB8">
      <w:pPr>
        <w:spacing w:line="240" w:lineRule="auto"/>
        <w:rPr>
          <w:rFonts w:cs="Arial"/>
          <w:bCs/>
        </w:rPr>
      </w:pPr>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A74B5E" w:rsidRDefault="001E6FB8" w:rsidP="001E6FB8">
            <w:pPr>
              <w:pStyle w:val="Caption"/>
            </w:pPr>
            <w:r>
              <w:t xml:space="preserve">Figure </w:t>
            </w:r>
            <w:r w:rsidRPr="00E141F1">
              <w:rPr>
                <w:rFonts w:cs="Arial"/>
              </w:rPr>
              <w:t>1.</w:t>
            </w:r>
            <w:r w:rsidR="00421002" w:rsidRPr="00E141F1">
              <w:rPr>
                <w:rFonts w:cs="Arial"/>
              </w:rPr>
              <w:fldChar w:fldCharType="begin"/>
            </w:r>
            <w:r w:rsidRPr="00E141F1">
              <w:rPr>
                <w:rFonts w:cs="Arial"/>
              </w:rPr>
              <w:instrText xml:space="preserve"> SEQ Figure \* ARABIC </w:instrText>
            </w:r>
            <w:r w:rsidR="00421002" w:rsidRPr="00E141F1">
              <w:rPr>
                <w:rFonts w:cs="Arial"/>
              </w:rPr>
              <w:fldChar w:fldCharType="separate"/>
            </w:r>
            <w:r>
              <w:rPr>
                <w:rFonts w:cs="Arial"/>
                <w:noProof/>
              </w:rPr>
              <w:t>24</w:t>
            </w:r>
            <w:r w:rsidR="00421002" w:rsidRPr="00E141F1">
              <w:rPr>
                <w:rFonts w:cs="Arial"/>
              </w:rPr>
              <w:fldChar w:fldCharType="end"/>
            </w:r>
            <w:r w:rsidRPr="00E141F1">
              <w:rPr>
                <w:rFonts w:cs="Arial"/>
              </w:rPr>
              <w:t xml:space="preserve"> Australians accessing online news sites during June 2013</w:t>
            </w:r>
          </w:p>
        </w:tc>
      </w:tr>
      <w:tr w:rsidR="001E6FB8" w:rsidTr="001E6FB8">
        <w:trPr>
          <w:trHeight w:val="3086"/>
        </w:trPr>
        <w:tc>
          <w:tcPr>
            <w:tcW w:w="9645" w:type="dxa"/>
            <w:shd w:val="clear" w:color="auto" w:fill="auto"/>
            <w:tcMar>
              <w:left w:w="28" w:type="dxa"/>
            </w:tcMar>
          </w:tcPr>
          <w:p w:rsidR="001E6FB8" w:rsidRDefault="001E6FB8" w:rsidP="001E6FB8">
            <w:r w:rsidRPr="001D1CF5">
              <w:rPr>
                <w:noProof/>
              </w:rPr>
              <w:drawing>
                <wp:inline distT="0" distB="0" distL="0" distR="0">
                  <wp:extent cx="4905375" cy="479107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1E6FB8" w:rsidTr="001E6FB8">
        <w:trPr>
          <w:trHeight w:val="291"/>
        </w:trPr>
        <w:tc>
          <w:tcPr>
            <w:tcW w:w="9645" w:type="dxa"/>
            <w:tcBorders>
              <w:bottom w:val="single" w:sz="2" w:space="0" w:color="505050"/>
            </w:tcBorders>
            <w:shd w:val="clear" w:color="auto" w:fill="auto"/>
          </w:tcPr>
          <w:p w:rsidR="001E6FB8" w:rsidRPr="001323FE" w:rsidRDefault="001E6FB8" w:rsidP="001E6FB8">
            <w:pPr>
              <w:spacing w:before="60" w:line="240" w:lineRule="auto"/>
              <w:rPr>
                <w:i/>
                <w:sz w:val="16"/>
                <w:szCs w:val="16"/>
              </w:rPr>
            </w:pPr>
            <w:r w:rsidRPr="001323FE">
              <w:rPr>
                <w:i/>
                <w:sz w:val="16"/>
                <w:szCs w:val="16"/>
              </w:rPr>
              <w:t>Note: Relates to use of a particular site at least once in the month reported.</w:t>
            </w:r>
          </w:p>
          <w:p w:rsidR="001E6FB8" w:rsidRDefault="001E6FB8" w:rsidP="001E6FB8">
            <w:pPr>
              <w:spacing w:after="60" w:line="240" w:lineRule="auto"/>
            </w:pPr>
            <w:r w:rsidRPr="001323FE">
              <w:rPr>
                <w:i/>
                <w:sz w:val="16"/>
                <w:szCs w:val="16"/>
              </w:rPr>
              <w:t>Source: The Nielsen Company</w:t>
            </w:r>
            <w:r>
              <w:t>.</w:t>
            </w:r>
          </w:p>
        </w:tc>
      </w:tr>
    </w:tbl>
    <w:p w:rsidR="001E6FB8" w:rsidRDefault="001E6FB8" w:rsidP="001E6FB8">
      <w:pPr>
        <w:spacing w:line="240" w:lineRule="auto"/>
        <w:rPr>
          <w:rFonts w:cs="Arial"/>
          <w:bCs/>
        </w:rPr>
        <w:sectPr w:rsidR="001E6FB8" w:rsidSect="001E6FB8">
          <w:endnotePr>
            <w:numFmt w:val="decimal"/>
            <w:numRestart w:val="eachSect"/>
          </w:endnotePr>
          <w:pgSz w:w="11906" w:h="16838" w:code="9"/>
          <w:pgMar w:top="1945" w:right="3101" w:bottom="868" w:left="1134" w:header="709" w:footer="119" w:gutter="0"/>
          <w:cols w:space="708"/>
          <w:docGrid w:linePitch="360"/>
        </w:sectPr>
      </w:pPr>
    </w:p>
    <w:p w:rsidR="001E6FB8" w:rsidRPr="00E141F1" w:rsidRDefault="001E6FB8" w:rsidP="001E6FB8">
      <w:pPr>
        <w:pStyle w:val="Heading1"/>
      </w:pPr>
      <w:bookmarkStart w:id="219" w:name="_Toc312157130"/>
      <w:bookmarkStart w:id="220" w:name="_Toc371589013"/>
      <w:bookmarkStart w:id="221" w:name="_Toc373149075"/>
      <w:bookmarkStart w:id="222" w:name="_Toc308517171"/>
      <w:bookmarkStart w:id="223" w:name="_Toc308523617"/>
      <w:bookmarkStart w:id="224" w:name="_Toc238027114"/>
      <w:r w:rsidRPr="00E141F1">
        <w:t>Chapter 2</w:t>
      </w:r>
      <w:r w:rsidRPr="00E141F1">
        <w:br/>
        <w:t>National interest issues</w:t>
      </w:r>
      <w:bookmarkEnd w:id="219"/>
      <w:bookmarkEnd w:id="220"/>
      <w:bookmarkEnd w:id="221"/>
      <w:r w:rsidRPr="00E141F1">
        <w:t xml:space="preserve"> </w:t>
      </w:r>
    </w:p>
    <w:p w:rsidR="001E6FB8" w:rsidRPr="00E141F1" w:rsidRDefault="001E6FB8" w:rsidP="001E6FB8">
      <w:pPr>
        <w:pStyle w:val="Heading2"/>
      </w:pPr>
      <w:bookmarkStart w:id="225" w:name="_Toc312157131"/>
      <w:bookmarkStart w:id="226" w:name="_Toc371589014"/>
      <w:bookmarkStart w:id="227" w:name="_Toc373149076"/>
      <w:r w:rsidRPr="00E141F1">
        <w:t>Overview</w:t>
      </w:r>
      <w:bookmarkEnd w:id="222"/>
      <w:bookmarkEnd w:id="223"/>
      <w:bookmarkEnd w:id="225"/>
      <w:bookmarkEnd w:id="226"/>
      <w:bookmarkEnd w:id="227"/>
    </w:p>
    <w:p w:rsidR="001E6FB8" w:rsidRPr="00E141F1" w:rsidRDefault="001E6FB8" w:rsidP="001E6FB8">
      <w:pPr>
        <w:rPr>
          <w:rFonts w:cs="Arial"/>
        </w:rPr>
      </w:pPr>
      <w:r w:rsidRPr="00E141F1">
        <w:rPr>
          <w:rFonts w:cs="Arial"/>
        </w:rPr>
        <w:t xml:space="preserve">This chapter provides information on the performance of the emergency call service and the communications industry’s support for law enforcement and national security agencies in terms of maintaining communication interception capabilities and the authorised disclosure of information. Information on the protection of Australia’s critical submarine cable infrastructure and </w:t>
      </w:r>
      <w:proofErr w:type="spellStart"/>
      <w:r w:rsidRPr="00E141F1">
        <w:rPr>
          <w:rFonts w:cs="Arial"/>
        </w:rPr>
        <w:t>radiocommunications</w:t>
      </w:r>
      <w:proofErr w:type="spellEnd"/>
      <w:r w:rsidRPr="00E141F1">
        <w:rPr>
          <w:rFonts w:cs="Arial"/>
        </w:rPr>
        <w:t xml:space="preserve"> interference complaints is also presented. </w:t>
      </w:r>
    </w:p>
    <w:p w:rsidR="001E6FB8" w:rsidRPr="00E141F1" w:rsidRDefault="001E6FB8" w:rsidP="001E6FB8">
      <w:pPr>
        <w:rPr>
          <w:rFonts w:cs="Arial"/>
        </w:rPr>
      </w:pPr>
    </w:p>
    <w:p w:rsidR="001E6FB8" w:rsidRDefault="001E6FB8" w:rsidP="001E6FB8">
      <w:pPr>
        <w:spacing w:after="80"/>
        <w:rPr>
          <w:rFonts w:cs="Arial"/>
        </w:rPr>
      </w:pPr>
      <w:r w:rsidRPr="00E141F1">
        <w:rPr>
          <w:rFonts w:cs="Arial"/>
        </w:rPr>
        <w:t>Key developments during 2012–13 included:</w:t>
      </w:r>
    </w:p>
    <w:p w:rsidR="001E6FB8" w:rsidRPr="00E141F1" w:rsidRDefault="001E6FB8" w:rsidP="001E6FB8">
      <w:pPr>
        <w:pStyle w:val="ListBullet"/>
        <w:rPr>
          <w:rFonts w:cs="Arial"/>
        </w:rPr>
      </w:pPr>
      <w:r w:rsidRPr="00E141F1">
        <w:rPr>
          <w:rFonts w:cs="Arial"/>
        </w:rPr>
        <w:t xml:space="preserve">decreases in number of calls to the emergency service numbers Triple Zero </w:t>
      </w:r>
      <w:r>
        <w:rPr>
          <w:rFonts w:cs="Arial"/>
        </w:rPr>
        <w:br/>
      </w:r>
      <w:r w:rsidRPr="00E141F1">
        <w:rPr>
          <w:rFonts w:cs="Arial"/>
        </w:rPr>
        <w:t xml:space="preserve">and 112 </w:t>
      </w:r>
    </w:p>
    <w:p w:rsidR="001E6FB8" w:rsidRPr="00E141F1" w:rsidRDefault="001E6FB8" w:rsidP="001E6FB8">
      <w:pPr>
        <w:pStyle w:val="ListBullet"/>
        <w:rPr>
          <w:rFonts w:cs="Arial"/>
        </w:rPr>
      </w:pPr>
      <w:r w:rsidRPr="00E141F1">
        <w:rPr>
          <w:rFonts w:cs="Arial"/>
        </w:rPr>
        <w:t xml:space="preserve">decrease in formal warnings issued to callers for misusing the Triple Zero service </w:t>
      </w:r>
    </w:p>
    <w:p w:rsidR="001E6FB8" w:rsidRPr="00E141F1" w:rsidRDefault="001E6FB8" w:rsidP="001E6FB8">
      <w:pPr>
        <w:pStyle w:val="ListBullet"/>
        <w:rPr>
          <w:rFonts w:cs="Arial"/>
        </w:rPr>
      </w:pPr>
      <w:r w:rsidRPr="00E141F1">
        <w:rPr>
          <w:rFonts w:cs="Arial"/>
        </w:rPr>
        <w:t>Telstra continuing to perform above the regulatory requirement in relation to emergency call answering</w:t>
      </w:r>
    </w:p>
    <w:p w:rsidR="001E6FB8" w:rsidRPr="00E141F1" w:rsidRDefault="001E6FB8" w:rsidP="001E6FB8">
      <w:pPr>
        <w:pStyle w:val="ListBullet"/>
        <w:rPr>
          <w:rFonts w:cs="Arial"/>
        </w:rPr>
      </w:pPr>
      <w:r w:rsidRPr="00E141F1">
        <w:rPr>
          <w:rFonts w:cs="Arial"/>
        </w:rPr>
        <w:t xml:space="preserve">an increase in the cost to industry of providing interception capability </w:t>
      </w:r>
    </w:p>
    <w:p w:rsidR="001E6FB8" w:rsidRPr="00E141F1" w:rsidRDefault="001E6FB8" w:rsidP="001E6FB8">
      <w:pPr>
        <w:pStyle w:val="ListBullet"/>
        <w:spacing w:after="240"/>
        <w:rPr>
          <w:rFonts w:cs="Arial"/>
        </w:rPr>
      </w:pPr>
      <w:r w:rsidRPr="00E141F1">
        <w:rPr>
          <w:rFonts w:cs="Arial"/>
        </w:rPr>
        <w:t>a slight decline in the number of domestic systems interference complaints an</w:t>
      </w:r>
      <w:r>
        <w:rPr>
          <w:rFonts w:cs="Arial"/>
        </w:rPr>
        <w:t xml:space="preserve">d an increase in the number of </w:t>
      </w:r>
      <w:proofErr w:type="spellStart"/>
      <w:r w:rsidRPr="00E141F1">
        <w:rPr>
          <w:rFonts w:cs="Arial"/>
        </w:rPr>
        <w:t>radiocommunications</w:t>
      </w:r>
      <w:proofErr w:type="spellEnd"/>
      <w:r w:rsidRPr="00E141F1">
        <w:rPr>
          <w:rFonts w:cs="Arial"/>
        </w:rPr>
        <w:t xml:space="preserve"> interference complaints</w:t>
      </w:r>
      <w:r>
        <w:rPr>
          <w:rFonts w:cs="Arial"/>
        </w:rPr>
        <w:t>.</w:t>
      </w:r>
    </w:p>
    <w:p w:rsidR="001E6FB8" w:rsidRPr="00E141F1" w:rsidRDefault="001E6FB8" w:rsidP="001E6FB8">
      <w:pPr>
        <w:pStyle w:val="Heading2"/>
      </w:pPr>
      <w:bookmarkStart w:id="228" w:name="_Toc371589015"/>
      <w:bookmarkStart w:id="229" w:name="_Toc373149077"/>
      <w:bookmarkStart w:id="230" w:name="_Toc308517180"/>
      <w:bookmarkStart w:id="231" w:name="_Toc308523626"/>
      <w:bookmarkStart w:id="232" w:name="_Toc312157140"/>
      <w:r w:rsidRPr="00E141F1">
        <w:t>Emergency call service</w:t>
      </w:r>
      <w:bookmarkEnd w:id="228"/>
      <w:bookmarkEnd w:id="229"/>
    </w:p>
    <w:p w:rsidR="001E6FB8" w:rsidRPr="00E141F1" w:rsidRDefault="001E6FB8" w:rsidP="001E6FB8">
      <w:pPr>
        <w:rPr>
          <w:rFonts w:cs="Arial"/>
        </w:rPr>
      </w:pPr>
      <w:r w:rsidRPr="00E141F1">
        <w:rPr>
          <w:rFonts w:cs="Arial"/>
        </w:rPr>
        <w:t>Under the Telecommunications (Emergency Call Service) Determination 2009 (the Emergency Call Service Determination), CSPs are required to provide free access to the emergency call service from standard telephone and mobile services. The emergency call service is an operator-assisted service that connects callers to an emergency service organisation (ESO)—police, fire or ambulance—in life-threatening or time-critical situations.</w:t>
      </w:r>
    </w:p>
    <w:p w:rsidR="001E6FB8" w:rsidRDefault="001E6FB8" w:rsidP="001E6FB8"/>
    <w:p w:rsidR="001E6FB8" w:rsidRDefault="001E6FB8" w:rsidP="001E6FB8">
      <w:pPr>
        <w:spacing w:after="80"/>
        <w:rPr>
          <w:rFonts w:cs="Arial"/>
        </w:rPr>
      </w:pPr>
      <w:r w:rsidRPr="00E141F1">
        <w:rPr>
          <w:rFonts w:cs="Arial"/>
        </w:rPr>
        <w:t>The emergency call service is provided by the emergency call persons (ECPs):</w:t>
      </w:r>
    </w:p>
    <w:p w:rsidR="001E6FB8" w:rsidRPr="00E141F1" w:rsidRDefault="001E6FB8" w:rsidP="001E6FB8">
      <w:pPr>
        <w:pStyle w:val="ListBullet"/>
        <w:rPr>
          <w:rFonts w:cs="Arial"/>
        </w:rPr>
      </w:pPr>
      <w:r w:rsidRPr="00E141F1">
        <w:rPr>
          <w:rFonts w:cs="Arial"/>
        </w:rPr>
        <w:t>Telstra—for calls made to the primary emergency service number (Triple Zero) and to the international emergency number 112 for mobile phones</w:t>
      </w:r>
    </w:p>
    <w:p w:rsidR="001E6FB8" w:rsidRPr="00E141F1" w:rsidRDefault="001E6FB8" w:rsidP="001E6FB8">
      <w:pPr>
        <w:pStyle w:val="ListBullet"/>
        <w:spacing w:after="240"/>
        <w:rPr>
          <w:rFonts w:cs="Arial"/>
        </w:rPr>
      </w:pPr>
      <w:r w:rsidRPr="00E141F1">
        <w:rPr>
          <w:rFonts w:cs="Arial"/>
        </w:rPr>
        <w:t>Australian Communication Exchange (ACE)—for calls made to the 106 text service for people who are deaf or have a hearing or speech impairment.</w:t>
      </w:r>
    </w:p>
    <w:p w:rsidR="001E6FB8" w:rsidRPr="00E141F1" w:rsidRDefault="001E6FB8" w:rsidP="001E6FB8">
      <w:pPr>
        <w:rPr>
          <w:rFonts w:cs="Arial"/>
        </w:rPr>
      </w:pPr>
      <w:r w:rsidRPr="00E141F1">
        <w:rPr>
          <w:rFonts w:cs="Arial"/>
        </w:rPr>
        <w:t>This section outlines the volume and type of calls to the emergency call service, along with the performance of the ECPs in answering emergency calls.</w:t>
      </w:r>
    </w:p>
    <w:p w:rsidR="001E6FB8" w:rsidRDefault="001E6FB8" w:rsidP="001E6FB8">
      <w:bookmarkStart w:id="233" w:name="_Toc341428337"/>
    </w:p>
    <w:p w:rsidR="001E6FB8" w:rsidRPr="00E141F1" w:rsidRDefault="001E6FB8" w:rsidP="001E6FB8">
      <w:pPr>
        <w:pStyle w:val="Heading3"/>
      </w:pPr>
      <w:bookmarkStart w:id="234" w:name="_Toc371589016"/>
      <w:bookmarkStart w:id="235" w:name="_Toc373149078"/>
      <w:r w:rsidRPr="00E141F1">
        <w:t>Emergency call service—Triple Zero and 112</w:t>
      </w:r>
      <w:bookmarkEnd w:id="233"/>
      <w:bookmarkEnd w:id="234"/>
      <w:bookmarkEnd w:id="235"/>
    </w:p>
    <w:p w:rsidR="001E6FB8" w:rsidRPr="00E141F1" w:rsidRDefault="001E6FB8" w:rsidP="001E6FB8">
      <w:pPr>
        <w:rPr>
          <w:rFonts w:cs="Arial"/>
        </w:rPr>
      </w:pPr>
      <w:r w:rsidRPr="00E141F1">
        <w:rPr>
          <w:rFonts w:cs="Arial"/>
        </w:rPr>
        <w:t>ECP data shows a decrease in the number of calls to the Triple Zero and 112 emergency service numbers in 2012–13 (see Table 2.1). During this period, there were 8,854,728 calls to Triple Zero and 112, a decrease of 574,867 (6.1 per cent) from 2011–12, which indicates a return to 2009–10 and 2010–11 call levels. This was an expected result given the high number of accidental calls to Triple Zero in 2011–12 attributed to a faulty mobile handset entering the Australian market in 2011–12. A program to replace the faulty handset</w:t>
      </w:r>
      <w:r>
        <w:rPr>
          <w:rFonts w:cs="Arial"/>
        </w:rPr>
        <w:t>s</w:t>
      </w:r>
      <w:r w:rsidRPr="00E141F1">
        <w:rPr>
          <w:rFonts w:cs="Arial"/>
        </w:rPr>
        <w:t xml:space="preserve"> was implemented in November 2011 </w:t>
      </w:r>
      <w:r>
        <w:rPr>
          <w:rFonts w:cs="Arial"/>
        </w:rPr>
        <w:t>and</w:t>
      </w:r>
      <w:r w:rsidRPr="00E141F1">
        <w:rPr>
          <w:rFonts w:cs="Arial"/>
        </w:rPr>
        <w:t xml:space="preserve"> effectively addressed the issue before 2012–13. </w:t>
      </w:r>
    </w:p>
    <w:p w:rsidR="001E6FB8" w:rsidRPr="00E141F1" w:rsidRDefault="001E6FB8" w:rsidP="001E6FB8">
      <w:pPr>
        <w:rPr>
          <w:rFonts w:cs="Arial"/>
          <w:highlight w:val="yellow"/>
        </w:rPr>
      </w:pPr>
    </w:p>
    <w:p w:rsidR="001E6FB8" w:rsidRDefault="001E6FB8" w:rsidP="001E6FB8">
      <w:pPr>
        <w:spacing w:line="240" w:lineRule="auto"/>
      </w:pPr>
      <w:r>
        <w:br w:type="page"/>
      </w:r>
    </w:p>
    <w:p w:rsidR="001E6FB8" w:rsidRPr="00E141F1" w:rsidRDefault="001E6FB8" w:rsidP="001E6FB8">
      <w:r w:rsidRPr="00E141F1">
        <w:t xml:space="preserve">In 2012–13, the proportion of emergency calls made from mobile phones declined slightly to 66.9 per cent (see Table 2.1). Calls from fixed-line telephones represented 30.7 per cent, with 2.4 per cent made from public payphones. </w:t>
      </w:r>
    </w:p>
    <w:p w:rsidR="001E6FB8" w:rsidRDefault="001E6FB8" w:rsidP="001E6FB8">
      <w:bookmarkStart w:id="236" w:name="_Toc341428338"/>
    </w:p>
    <w:p w:rsidR="001E6FB8" w:rsidRPr="00E141F1" w:rsidRDefault="001E6FB8" w:rsidP="001E6FB8">
      <w:pPr>
        <w:pStyle w:val="Heading3"/>
      </w:pPr>
      <w:bookmarkStart w:id="237" w:name="_Toc371589017"/>
      <w:bookmarkStart w:id="238" w:name="_Toc373149079"/>
      <w:r w:rsidRPr="00E141F1">
        <w:t>Telstra’s performance in answering emergency calls</w:t>
      </w:r>
      <w:bookmarkEnd w:id="236"/>
      <w:bookmarkEnd w:id="237"/>
      <w:bookmarkEnd w:id="238"/>
    </w:p>
    <w:p w:rsidR="001E6FB8" w:rsidRPr="00E141F1" w:rsidRDefault="001E6FB8" w:rsidP="001E6FB8">
      <w:pPr>
        <w:spacing w:after="80"/>
        <w:rPr>
          <w:rFonts w:cs="Arial"/>
        </w:rPr>
      </w:pPr>
      <w:r w:rsidRPr="00E141F1">
        <w:rPr>
          <w:rFonts w:cs="Arial"/>
        </w:rPr>
        <w:t>Section 32 of the Emergency Call Service Determination sets out performance criteria for the ECP’s answering of calls to Triple Zero and 112, as follows:</w:t>
      </w:r>
    </w:p>
    <w:p w:rsidR="001E6FB8" w:rsidRPr="00E141F1" w:rsidRDefault="001E6FB8" w:rsidP="001E6FB8">
      <w:pPr>
        <w:pStyle w:val="ListBullet"/>
        <w:rPr>
          <w:rFonts w:cs="Arial"/>
        </w:rPr>
      </w:pPr>
      <w:r w:rsidRPr="00E141F1">
        <w:rPr>
          <w:rFonts w:cs="Arial"/>
        </w:rPr>
        <w:t>85 per cent of emergency calls answered within five seconds</w:t>
      </w:r>
    </w:p>
    <w:p w:rsidR="001E6FB8" w:rsidRPr="00E141F1" w:rsidRDefault="001E6FB8" w:rsidP="001E6FB8">
      <w:pPr>
        <w:pStyle w:val="ListBullet"/>
        <w:spacing w:after="240"/>
        <w:rPr>
          <w:rFonts w:cs="Arial"/>
        </w:rPr>
      </w:pPr>
      <w:r w:rsidRPr="00E141F1">
        <w:rPr>
          <w:rFonts w:cs="Arial"/>
        </w:rPr>
        <w:t>95 per cent of emergency calls answered within 10 seconds.</w:t>
      </w:r>
    </w:p>
    <w:p w:rsidR="001E6FB8" w:rsidRPr="00E141F1" w:rsidRDefault="001E6FB8" w:rsidP="001E6FB8">
      <w:pPr>
        <w:rPr>
          <w:rFonts w:cs="Arial"/>
        </w:rPr>
      </w:pPr>
      <w:r w:rsidRPr="00E141F1">
        <w:rPr>
          <w:rFonts w:cs="Arial"/>
        </w:rPr>
        <w:t xml:space="preserve">As in previous years, Telstra performed above the regulatory requirement in the reporting period (Table 2.1). </w:t>
      </w:r>
    </w:p>
    <w:p w:rsidR="001E6FB8" w:rsidRPr="00E141F1" w:rsidRDefault="001E6FB8" w:rsidP="001E6FB8">
      <w:pPr>
        <w:rPr>
          <w:rFonts w:cs="Arial"/>
        </w:rPr>
      </w:pPr>
    </w:p>
    <w:p w:rsidR="001E6FB8" w:rsidRPr="00E141F1" w:rsidRDefault="001E6FB8" w:rsidP="001E6FB8">
      <w:pPr>
        <w:pStyle w:val="Heading3"/>
      </w:pPr>
      <w:bookmarkStart w:id="239" w:name="_Toc341428339"/>
      <w:bookmarkStart w:id="240" w:name="_Toc371589018"/>
      <w:bookmarkStart w:id="241" w:name="_Toc373149080"/>
      <w:r w:rsidRPr="00E141F1">
        <w:t>Calls connected to emergency service organisations</w:t>
      </w:r>
      <w:bookmarkEnd w:id="239"/>
      <w:bookmarkEnd w:id="240"/>
      <w:bookmarkEnd w:id="241"/>
    </w:p>
    <w:p w:rsidR="001E6FB8" w:rsidRPr="00E141F1" w:rsidRDefault="001E6FB8" w:rsidP="001E6FB8">
      <w:pPr>
        <w:rPr>
          <w:rFonts w:cs="Arial"/>
        </w:rPr>
      </w:pPr>
      <w:r w:rsidRPr="00E141F1">
        <w:rPr>
          <w:rFonts w:cs="Arial"/>
        </w:rPr>
        <w:t>The ECP transfers emergency calls to the relevant state or territory emergency service answering point, which is responsible for arranging for the dispatch of an emergency response. In 2012–13, 5,727,411 calls were transferred to an ESO, an increase of three per cent on the previous year (see Table 2.1).</w:t>
      </w:r>
    </w:p>
    <w:p w:rsidR="001E6FB8" w:rsidRPr="00E141F1" w:rsidRDefault="001E6FB8" w:rsidP="001E6FB8">
      <w:pPr>
        <w:rPr>
          <w:rFonts w:cs="Arial"/>
        </w:rPr>
      </w:pPr>
    </w:p>
    <w:p w:rsidR="001E6FB8" w:rsidRPr="00E141F1" w:rsidRDefault="001E6FB8" w:rsidP="001E6FB8">
      <w:pPr>
        <w:rPr>
          <w:rFonts w:cs="Arial"/>
        </w:rPr>
      </w:pPr>
      <w:r w:rsidRPr="00E141F1">
        <w:rPr>
          <w:rFonts w:cs="Arial"/>
        </w:rPr>
        <w:t>Calls identified by the ECP as being non-emergency calls are not connected to an ESO. Non-emergency calls include misdials, automatically generated calls from incorrectly programmed fax machines or modems, callers reporting matters that are not emergencies and hoax and malicious calls.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ACMA is continuing to monitor the results of an escalated warning process, which was introduced in July 2009, and is managed by Telstra (as the ECP for 000 and 112) and the three mobile </w:t>
      </w:r>
      <w:r>
        <w:rPr>
          <w:rFonts w:cs="Arial"/>
        </w:rPr>
        <w:t>network owners</w:t>
      </w:r>
      <w:r w:rsidRPr="00E141F1">
        <w:rPr>
          <w:rFonts w:cs="Arial"/>
        </w:rPr>
        <w:t xml:space="preserve">. These processes can lead to </w:t>
      </w:r>
      <w:r>
        <w:rPr>
          <w:rFonts w:cs="Arial"/>
        </w:rPr>
        <w:t>a mobile handset</w:t>
      </w:r>
      <w:r w:rsidRPr="00E141F1">
        <w:rPr>
          <w:rFonts w:cs="Arial"/>
        </w:rPr>
        <w:t xml:space="preserve"> being blocked from making most calls if </w:t>
      </w:r>
      <w:r>
        <w:rPr>
          <w:rFonts w:cs="Arial"/>
        </w:rPr>
        <w:t>it is</w:t>
      </w:r>
      <w:r w:rsidRPr="00E141F1">
        <w:rPr>
          <w:rFonts w:cs="Arial"/>
        </w:rPr>
        <w:t xml:space="preserve"> used to make repeated non-emergency calls to Triple Zero. On average, 95 per cent of callers making repeated non-emergency calls are deterred from further misuse after receiving a warning from the ECP. In 2012–13, 796 callers were formally warned for misusing the Triple Zero service, compared to 1,359 callers during 2011–12. No services were suspended. </w:t>
      </w:r>
    </w:p>
    <w:p w:rsidR="001E6FB8" w:rsidRPr="00E141F1" w:rsidRDefault="001E6FB8" w:rsidP="001E6FB8">
      <w:pPr>
        <w:rPr>
          <w:rFonts w:cs="Arial"/>
          <w:highlight w:val="yellow"/>
        </w:rPr>
      </w:pPr>
    </w:p>
    <w:tbl>
      <w:tblPr>
        <w:tblW w:w="9645" w:type="dxa"/>
        <w:tblLayout w:type="fixed"/>
        <w:tblCellMar>
          <w:left w:w="0" w:type="dxa"/>
          <w:right w:w="0" w:type="dxa"/>
        </w:tblCellMar>
        <w:tblLook w:val="01E0"/>
      </w:tblPr>
      <w:tblGrid>
        <w:gridCol w:w="9645"/>
      </w:tblGrid>
      <w:tr w:rsidR="001E6FB8" w:rsidRPr="00E141F1" w:rsidTr="001E6FB8">
        <w:trPr>
          <w:trHeight w:val="653"/>
        </w:trPr>
        <w:tc>
          <w:tcPr>
            <w:tcW w:w="9645"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Table 2.</w:t>
            </w:r>
            <w:r>
              <w:rPr>
                <w:rFonts w:cs="Arial"/>
              </w:rPr>
              <w:t>1</w:t>
            </w:r>
            <w:r w:rsidRPr="00E141F1">
              <w:rPr>
                <w:rFonts w:cs="Arial"/>
              </w:rPr>
              <w:t xml:space="preserve"> Call volumes to emergency call service numbers Triple Zero and 112, and call </w:t>
            </w:r>
            <w:r>
              <w:rPr>
                <w:rFonts w:cs="Arial"/>
              </w:rPr>
              <w:br/>
            </w:r>
            <w:r w:rsidRPr="00E141F1">
              <w:rPr>
                <w:rFonts w:cs="Arial"/>
              </w:rPr>
              <w:t>answering times</w:t>
            </w:r>
          </w:p>
        </w:tc>
      </w:tr>
      <w:tr w:rsidR="001E6FB8" w:rsidRPr="00E141F1" w:rsidTr="001E6FB8">
        <w:trPr>
          <w:trHeight w:val="2663"/>
        </w:trPr>
        <w:tc>
          <w:tcPr>
            <w:tcW w:w="9645" w:type="dxa"/>
            <w:shd w:val="clear" w:color="auto" w:fill="auto"/>
            <w:tcMar>
              <w:left w:w="28" w:type="dxa"/>
            </w:tcMar>
          </w:tcPr>
          <w:tbl>
            <w:tblPr>
              <w:tblW w:w="9283"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2944"/>
              <w:gridCol w:w="1267"/>
              <w:gridCol w:w="1268"/>
              <w:gridCol w:w="1268"/>
              <w:gridCol w:w="1268"/>
              <w:gridCol w:w="1268"/>
            </w:tblGrid>
            <w:tr w:rsidR="001E6FB8" w:rsidRPr="00E141F1" w:rsidTr="001E6FB8">
              <w:trPr>
                <w:trHeight w:val="361"/>
              </w:trPr>
              <w:tc>
                <w:tcPr>
                  <w:tcW w:w="2944" w:type="dxa"/>
                  <w:shd w:val="clear" w:color="auto" w:fill="00709E"/>
                  <w:tcMar>
                    <w:top w:w="34" w:type="dxa"/>
                    <w:left w:w="113" w:type="dxa"/>
                  </w:tcMar>
                </w:tcPr>
                <w:p w:rsidR="001E6FB8" w:rsidRPr="00E141F1" w:rsidRDefault="001E6FB8" w:rsidP="001E6FB8">
                  <w:pPr>
                    <w:pStyle w:val="TableHeading"/>
                    <w:keepNext/>
                    <w:ind w:right="129"/>
                    <w:jc w:val="right"/>
                    <w:rPr>
                      <w:rFonts w:cs="Arial"/>
                      <w:color w:val="FFFFFF" w:themeColor="background1"/>
                      <w:sz w:val="18"/>
                      <w:szCs w:val="18"/>
                    </w:rPr>
                  </w:pPr>
                </w:p>
              </w:tc>
              <w:tc>
                <w:tcPr>
                  <w:tcW w:w="1267" w:type="dxa"/>
                  <w:shd w:val="clear" w:color="auto" w:fill="00709E"/>
                </w:tcPr>
                <w:p w:rsidR="001E6FB8" w:rsidRPr="00E141F1" w:rsidRDefault="001E6FB8" w:rsidP="001E6FB8">
                  <w:pPr>
                    <w:pStyle w:val="TableHeading"/>
                    <w:keepNext/>
                    <w:ind w:right="129"/>
                    <w:jc w:val="right"/>
                    <w:rPr>
                      <w:rFonts w:cs="Arial"/>
                      <w:color w:val="FFFFFF" w:themeColor="background1"/>
                      <w:sz w:val="18"/>
                      <w:szCs w:val="18"/>
                    </w:rPr>
                  </w:pPr>
                  <w:r w:rsidRPr="00E141F1">
                    <w:rPr>
                      <w:rFonts w:cs="Arial"/>
                      <w:color w:val="FFFFFF" w:themeColor="background1"/>
                      <w:sz w:val="18"/>
                      <w:szCs w:val="18"/>
                    </w:rPr>
                    <w:t>2008–09</w:t>
                  </w:r>
                </w:p>
              </w:tc>
              <w:tc>
                <w:tcPr>
                  <w:tcW w:w="1268" w:type="dxa"/>
                  <w:shd w:val="clear" w:color="auto" w:fill="00709E"/>
                </w:tcPr>
                <w:p w:rsidR="001E6FB8" w:rsidRPr="00E141F1" w:rsidRDefault="001E6FB8" w:rsidP="001E6FB8">
                  <w:pPr>
                    <w:pStyle w:val="TableHeading"/>
                    <w:keepNext/>
                    <w:ind w:right="129"/>
                    <w:jc w:val="right"/>
                    <w:rPr>
                      <w:rFonts w:cs="Arial"/>
                      <w:color w:val="FFFFFF" w:themeColor="background1"/>
                      <w:sz w:val="18"/>
                      <w:szCs w:val="18"/>
                    </w:rPr>
                  </w:pPr>
                  <w:r w:rsidRPr="00E141F1">
                    <w:rPr>
                      <w:rFonts w:cs="Arial"/>
                      <w:color w:val="FFFFFF" w:themeColor="background1"/>
                      <w:sz w:val="18"/>
                      <w:szCs w:val="18"/>
                    </w:rPr>
                    <w:t>2009–10</w:t>
                  </w:r>
                </w:p>
              </w:tc>
              <w:tc>
                <w:tcPr>
                  <w:tcW w:w="1268" w:type="dxa"/>
                  <w:shd w:val="clear" w:color="auto" w:fill="00709E"/>
                  <w:tcMar>
                    <w:left w:w="113" w:type="dxa"/>
                  </w:tcMar>
                </w:tcPr>
                <w:p w:rsidR="001E6FB8" w:rsidRPr="00E141F1" w:rsidRDefault="001E6FB8" w:rsidP="001E6FB8">
                  <w:pPr>
                    <w:pStyle w:val="TableHeading"/>
                    <w:keepNext/>
                    <w:ind w:right="129"/>
                    <w:jc w:val="right"/>
                    <w:rPr>
                      <w:rFonts w:cs="Arial"/>
                      <w:color w:val="FFFFFF" w:themeColor="background1"/>
                      <w:sz w:val="18"/>
                      <w:szCs w:val="18"/>
                    </w:rPr>
                  </w:pPr>
                  <w:r w:rsidRPr="00E141F1">
                    <w:rPr>
                      <w:rFonts w:cs="Arial"/>
                      <w:color w:val="FFFFFF" w:themeColor="background1"/>
                      <w:sz w:val="18"/>
                      <w:szCs w:val="18"/>
                    </w:rPr>
                    <w:t>2010–11</w:t>
                  </w:r>
                </w:p>
              </w:tc>
              <w:tc>
                <w:tcPr>
                  <w:tcW w:w="1268" w:type="dxa"/>
                  <w:shd w:val="clear" w:color="auto" w:fill="00709E"/>
                </w:tcPr>
                <w:p w:rsidR="001E6FB8" w:rsidRPr="00E141F1" w:rsidRDefault="001E6FB8" w:rsidP="001E6FB8">
                  <w:pPr>
                    <w:pStyle w:val="TableHeading"/>
                    <w:keepNext/>
                    <w:ind w:right="129"/>
                    <w:jc w:val="right"/>
                    <w:rPr>
                      <w:rFonts w:cs="Arial"/>
                      <w:color w:val="FFFFFF" w:themeColor="background1"/>
                      <w:sz w:val="18"/>
                      <w:szCs w:val="18"/>
                    </w:rPr>
                  </w:pPr>
                  <w:r w:rsidRPr="00E141F1">
                    <w:rPr>
                      <w:rFonts w:cs="Arial"/>
                      <w:color w:val="FFFFFF" w:themeColor="background1"/>
                      <w:sz w:val="18"/>
                      <w:szCs w:val="18"/>
                    </w:rPr>
                    <w:t>2011–12</w:t>
                  </w:r>
                </w:p>
              </w:tc>
              <w:tc>
                <w:tcPr>
                  <w:tcW w:w="1268" w:type="dxa"/>
                  <w:shd w:val="clear" w:color="auto" w:fill="00709E"/>
                </w:tcPr>
                <w:p w:rsidR="001E6FB8" w:rsidRPr="00E141F1" w:rsidRDefault="001E6FB8" w:rsidP="001E6FB8">
                  <w:pPr>
                    <w:pStyle w:val="TableHeading"/>
                    <w:keepNext/>
                    <w:ind w:right="129"/>
                    <w:jc w:val="right"/>
                    <w:rPr>
                      <w:rFonts w:cs="Arial"/>
                      <w:color w:val="FFFFFF" w:themeColor="background1"/>
                      <w:sz w:val="18"/>
                      <w:szCs w:val="18"/>
                    </w:rPr>
                  </w:pPr>
                  <w:r w:rsidRPr="00E141F1">
                    <w:rPr>
                      <w:rFonts w:cs="Arial"/>
                      <w:color w:val="FFFFFF" w:themeColor="background1"/>
                      <w:sz w:val="18"/>
                      <w:szCs w:val="18"/>
                    </w:rPr>
                    <w:t>2012–13</w:t>
                  </w:r>
                </w:p>
              </w:tc>
            </w:tr>
            <w:tr w:rsidR="001E6FB8" w:rsidRPr="00E141F1" w:rsidTr="001E6FB8">
              <w:trPr>
                <w:trHeight w:val="346"/>
              </w:trPr>
              <w:tc>
                <w:tcPr>
                  <w:tcW w:w="2944" w:type="dxa"/>
                  <w:shd w:val="clear" w:color="auto" w:fill="auto"/>
                  <w:tcMar>
                    <w:left w:w="113" w:type="dxa"/>
                  </w:tcMar>
                </w:tcPr>
                <w:p w:rsidR="001E6FB8" w:rsidRPr="00E141F1" w:rsidRDefault="001E6FB8" w:rsidP="001E6FB8">
                  <w:pPr>
                    <w:pStyle w:val="ACMATableText"/>
                    <w:keepNext/>
                    <w:spacing w:line="240" w:lineRule="atLeast"/>
                    <w:rPr>
                      <w:rFonts w:cs="Arial"/>
                      <w:sz w:val="18"/>
                      <w:szCs w:val="18"/>
                      <w:lang w:eastAsia="en-AU"/>
                    </w:rPr>
                  </w:pPr>
                  <w:r w:rsidRPr="00E141F1">
                    <w:rPr>
                      <w:rFonts w:cs="Arial"/>
                      <w:sz w:val="18"/>
                      <w:szCs w:val="18"/>
                      <w:lang w:eastAsia="en-AU"/>
                    </w:rPr>
                    <w:t>Total number of calls offered</w:t>
                  </w:r>
                </w:p>
              </w:tc>
              <w:tc>
                <w:tcPr>
                  <w:tcW w:w="1267"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10,301,011</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8,833,683</w:t>
                  </w:r>
                </w:p>
              </w:tc>
              <w:tc>
                <w:tcPr>
                  <w:tcW w:w="1268" w:type="dxa"/>
                  <w:shd w:val="clear" w:color="auto" w:fill="auto"/>
                  <w:tcMar>
                    <w:left w:w="113" w:type="dxa"/>
                  </w:tcMar>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8,867,191</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9,429,595</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8,854,728</w:t>
                  </w:r>
                </w:p>
              </w:tc>
            </w:tr>
            <w:tr w:rsidR="001E6FB8" w:rsidRPr="00E141F1" w:rsidTr="001E6FB8">
              <w:trPr>
                <w:trHeight w:val="346"/>
              </w:trPr>
              <w:tc>
                <w:tcPr>
                  <w:tcW w:w="2944" w:type="dxa"/>
                  <w:shd w:val="clear" w:color="auto" w:fill="auto"/>
                  <w:tcMar>
                    <w:left w:w="113" w:type="dxa"/>
                  </w:tcMar>
                </w:tcPr>
                <w:p w:rsidR="001E6FB8" w:rsidRPr="00E141F1" w:rsidRDefault="001E6FB8" w:rsidP="001E6FB8">
                  <w:pPr>
                    <w:pStyle w:val="ACMATableText"/>
                    <w:keepNext/>
                    <w:spacing w:line="240" w:lineRule="atLeast"/>
                    <w:ind w:left="227"/>
                    <w:rPr>
                      <w:rFonts w:cs="Arial"/>
                      <w:color w:val="808285"/>
                      <w:spacing w:val="-28"/>
                      <w:sz w:val="18"/>
                      <w:szCs w:val="18"/>
                      <w:lang w:eastAsia="en-AU"/>
                    </w:rPr>
                  </w:pPr>
                  <w:r w:rsidRPr="00E141F1">
                    <w:rPr>
                      <w:rFonts w:cs="Arial"/>
                      <w:sz w:val="18"/>
                      <w:szCs w:val="18"/>
                      <w:lang w:eastAsia="en-AU"/>
                    </w:rPr>
                    <w:t>Calls answered</w:t>
                  </w:r>
                </w:p>
              </w:tc>
              <w:tc>
                <w:tcPr>
                  <w:tcW w:w="1267"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93.1%</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95.4%</w:t>
                  </w:r>
                </w:p>
              </w:tc>
              <w:tc>
                <w:tcPr>
                  <w:tcW w:w="1268" w:type="dxa"/>
                  <w:shd w:val="clear" w:color="auto" w:fill="auto"/>
                  <w:tcMar>
                    <w:left w:w="113" w:type="dxa"/>
                  </w:tcMar>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95.8%</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96.0%</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96.0%</w:t>
                  </w:r>
                </w:p>
              </w:tc>
            </w:tr>
            <w:tr w:rsidR="001E6FB8" w:rsidRPr="00E141F1" w:rsidTr="001E6FB8">
              <w:trPr>
                <w:trHeight w:val="346"/>
              </w:trPr>
              <w:tc>
                <w:tcPr>
                  <w:tcW w:w="2944" w:type="dxa"/>
                  <w:shd w:val="clear" w:color="auto" w:fill="auto"/>
                  <w:tcMar>
                    <w:left w:w="113" w:type="dxa"/>
                  </w:tcMar>
                </w:tcPr>
                <w:p w:rsidR="001E6FB8" w:rsidRPr="00E141F1" w:rsidRDefault="001E6FB8" w:rsidP="001E6FB8">
                  <w:pPr>
                    <w:pStyle w:val="ACMATableText"/>
                    <w:keepNext/>
                    <w:spacing w:line="240" w:lineRule="atLeast"/>
                    <w:ind w:left="227"/>
                    <w:rPr>
                      <w:rFonts w:cs="Arial"/>
                      <w:sz w:val="18"/>
                      <w:szCs w:val="18"/>
                      <w:lang w:eastAsia="en-AU"/>
                    </w:rPr>
                  </w:pPr>
                  <w:r w:rsidRPr="00E141F1">
                    <w:rPr>
                      <w:rFonts w:cs="Arial"/>
                      <w:sz w:val="18"/>
                      <w:szCs w:val="18"/>
                      <w:lang w:eastAsia="en-AU"/>
                    </w:rPr>
                    <w:t>Calls answered in five seconds or fewer</w:t>
                  </w:r>
                </w:p>
              </w:tc>
              <w:tc>
                <w:tcPr>
                  <w:tcW w:w="1267"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96.3%</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96.7%</w:t>
                  </w:r>
                </w:p>
              </w:tc>
              <w:tc>
                <w:tcPr>
                  <w:tcW w:w="1268" w:type="dxa"/>
                  <w:shd w:val="clear" w:color="auto" w:fill="auto"/>
                  <w:tcMar>
                    <w:left w:w="113" w:type="dxa"/>
                  </w:tcMar>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95.7%</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95.8%</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95.8%</w:t>
                  </w:r>
                </w:p>
              </w:tc>
            </w:tr>
            <w:tr w:rsidR="001E6FB8" w:rsidRPr="00E141F1" w:rsidTr="001E6FB8">
              <w:trPr>
                <w:trHeight w:val="346"/>
              </w:trPr>
              <w:tc>
                <w:tcPr>
                  <w:tcW w:w="2944" w:type="dxa"/>
                  <w:shd w:val="clear" w:color="auto" w:fill="auto"/>
                  <w:tcMar>
                    <w:left w:w="113" w:type="dxa"/>
                  </w:tcMar>
                </w:tcPr>
                <w:p w:rsidR="001E6FB8" w:rsidRPr="00E141F1" w:rsidRDefault="001E6FB8" w:rsidP="001E6FB8">
                  <w:pPr>
                    <w:pStyle w:val="ACMATableText"/>
                    <w:keepNext/>
                    <w:spacing w:line="240" w:lineRule="atLeast"/>
                    <w:ind w:left="227"/>
                    <w:rPr>
                      <w:rFonts w:cs="Arial"/>
                      <w:sz w:val="18"/>
                      <w:szCs w:val="18"/>
                      <w:lang w:eastAsia="en-AU"/>
                    </w:rPr>
                  </w:pPr>
                  <w:r w:rsidRPr="00E141F1">
                    <w:rPr>
                      <w:rFonts w:cs="Arial"/>
                      <w:sz w:val="18"/>
                      <w:szCs w:val="18"/>
                      <w:lang w:eastAsia="en-AU"/>
                    </w:rPr>
                    <w:t xml:space="preserve">Calls answered in 10 seconds </w:t>
                  </w:r>
                  <w:r>
                    <w:rPr>
                      <w:rFonts w:cs="Arial"/>
                      <w:sz w:val="18"/>
                      <w:szCs w:val="18"/>
                      <w:lang w:eastAsia="en-AU"/>
                    </w:rPr>
                    <w:br/>
                  </w:r>
                  <w:r w:rsidRPr="00E141F1">
                    <w:rPr>
                      <w:rFonts w:cs="Arial"/>
                      <w:sz w:val="18"/>
                      <w:szCs w:val="18"/>
                      <w:lang w:eastAsia="en-AU"/>
                    </w:rPr>
                    <w:t>or fewer</w:t>
                  </w:r>
                </w:p>
              </w:tc>
              <w:tc>
                <w:tcPr>
                  <w:tcW w:w="1267"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98.3%</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99.0%</w:t>
                  </w:r>
                </w:p>
              </w:tc>
              <w:tc>
                <w:tcPr>
                  <w:tcW w:w="1268" w:type="dxa"/>
                  <w:shd w:val="clear" w:color="auto" w:fill="auto"/>
                  <w:tcMar>
                    <w:left w:w="113" w:type="dxa"/>
                  </w:tcMar>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99.1%</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98.9%</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99.1%</w:t>
                  </w:r>
                </w:p>
              </w:tc>
            </w:tr>
            <w:tr w:rsidR="001E6FB8" w:rsidRPr="00E141F1" w:rsidTr="001E6FB8">
              <w:trPr>
                <w:trHeight w:val="346"/>
              </w:trPr>
              <w:tc>
                <w:tcPr>
                  <w:tcW w:w="2944" w:type="dxa"/>
                  <w:shd w:val="clear" w:color="auto" w:fill="auto"/>
                  <w:tcMar>
                    <w:left w:w="113" w:type="dxa"/>
                  </w:tcMar>
                </w:tcPr>
                <w:p w:rsidR="001E6FB8" w:rsidRPr="00E141F1" w:rsidRDefault="001E6FB8" w:rsidP="001E6FB8">
                  <w:pPr>
                    <w:pStyle w:val="ACMATableText"/>
                    <w:keepNext/>
                    <w:spacing w:line="240" w:lineRule="atLeast"/>
                    <w:ind w:left="227"/>
                    <w:rPr>
                      <w:rFonts w:cs="Arial"/>
                      <w:sz w:val="18"/>
                      <w:szCs w:val="18"/>
                      <w:lang w:eastAsia="en-AU"/>
                    </w:rPr>
                  </w:pPr>
                  <w:r w:rsidRPr="00E141F1">
                    <w:rPr>
                      <w:rFonts w:cs="Arial"/>
                      <w:sz w:val="18"/>
                      <w:szCs w:val="18"/>
                      <w:lang w:eastAsia="en-AU"/>
                    </w:rPr>
                    <w:t>Calls transferred to an ESO</w:t>
                  </w:r>
                </w:p>
              </w:tc>
              <w:tc>
                <w:tcPr>
                  <w:tcW w:w="1267"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5,352,425</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5,288,836</w:t>
                  </w:r>
                </w:p>
              </w:tc>
              <w:tc>
                <w:tcPr>
                  <w:tcW w:w="1268" w:type="dxa"/>
                  <w:shd w:val="clear" w:color="auto" w:fill="auto"/>
                  <w:tcMar>
                    <w:left w:w="113" w:type="dxa"/>
                  </w:tcMar>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5,354,680</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5,561,072</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5,727,411</w:t>
                  </w:r>
                </w:p>
              </w:tc>
            </w:tr>
            <w:tr w:rsidR="001E6FB8" w:rsidRPr="00E141F1" w:rsidTr="001E6FB8">
              <w:trPr>
                <w:trHeight w:val="346"/>
              </w:trPr>
              <w:tc>
                <w:tcPr>
                  <w:tcW w:w="2944" w:type="dxa"/>
                  <w:shd w:val="clear" w:color="auto" w:fill="auto"/>
                  <w:tcMar>
                    <w:left w:w="113" w:type="dxa"/>
                  </w:tcMar>
                </w:tcPr>
                <w:p w:rsidR="001E6FB8" w:rsidRPr="00E141F1" w:rsidRDefault="001E6FB8" w:rsidP="001E6FB8">
                  <w:pPr>
                    <w:pStyle w:val="ACMATableText"/>
                    <w:keepNext/>
                    <w:spacing w:line="240" w:lineRule="atLeast"/>
                    <w:ind w:left="227"/>
                    <w:rPr>
                      <w:rFonts w:cs="Arial"/>
                      <w:color w:val="808285"/>
                      <w:spacing w:val="-28"/>
                      <w:sz w:val="18"/>
                      <w:szCs w:val="18"/>
                      <w:lang w:eastAsia="en-AU"/>
                    </w:rPr>
                  </w:pPr>
                  <w:r w:rsidRPr="00E141F1">
                    <w:rPr>
                      <w:rFonts w:cs="Arial"/>
                      <w:sz w:val="18"/>
                      <w:szCs w:val="18"/>
                      <w:lang w:eastAsia="en-AU"/>
                    </w:rPr>
                    <w:t xml:space="preserve">Answered calls transferred to </w:t>
                  </w:r>
                  <w:r>
                    <w:rPr>
                      <w:rFonts w:cs="Arial"/>
                      <w:sz w:val="18"/>
                      <w:szCs w:val="18"/>
                      <w:lang w:eastAsia="en-AU"/>
                    </w:rPr>
                    <w:br/>
                  </w:r>
                  <w:r w:rsidRPr="00E141F1">
                    <w:rPr>
                      <w:rFonts w:cs="Arial"/>
                      <w:sz w:val="18"/>
                      <w:szCs w:val="18"/>
                      <w:lang w:eastAsia="en-AU"/>
                    </w:rPr>
                    <w:t>an ESO</w:t>
                  </w:r>
                </w:p>
              </w:tc>
              <w:tc>
                <w:tcPr>
                  <w:tcW w:w="1267"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55.8%</w:t>
                  </w:r>
                </w:p>
              </w:tc>
              <w:tc>
                <w:tcPr>
                  <w:tcW w:w="1268" w:type="dxa"/>
                </w:tcPr>
                <w:p w:rsidR="001E6FB8" w:rsidRPr="00E141F1" w:rsidRDefault="001E6FB8" w:rsidP="001E6FB8">
                  <w:pPr>
                    <w:pStyle w:val="ACMATableText"/>
                    <w:keepNext/>
                    <w:spacing w:line="240" w:lineRule="atLeast"/>
                    <w:ind w:right="129"/>
                    <w:jc w:val="right"/>
                    <w:rPr>
                      <w:rFonts w:cs="Arial"/>
                      <w:color w:val="808285"/>
                      <w:spacing w:val="-28"/>
                      <w:sz w:val="18"/>
                      <w:szCs w:val="18"/>
                      <w:lang w:eastAsia="en-AU"/>
                    </w:rPr>
                  </w:pPr>
                  <w:r w:rsidRPr="00E141F1">
                    <w:rPr>
                      <w:rFonts w:cs="Arial"/>
                      <w:sz w:val="18"/>
                      <w:szCs w:val="18"/>
                      <w:lang w:eastAsia="en-AU"/>
                    </w:rPr>
                    <w:t>62.8%</w:t>
                  </w:r>
                </w:p>
              </w:tc>
              <w:tc>
                <w:tcPr>
                  <w:tcW w:w="1268" w:type="dxa"/>
                  <w:shd w:val="clear" w:color="auto" w:fill="auto"/>
                  <w:tcMar>
                    <w:left w:w="113" w:type="dxa"/>
                  </w:tcMar>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63.1%</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61.5%</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64.7%</w:t>
                  </w:r>
                </w:p>
              </w:tc>
            </w:tr>
            <w:tr w:rsidR="001E6FB8" w:rsidRPr="00E141F1" w:rsidTr="001E6FB8">
              <w:trPr>
                <w:trHeight w:val="346"/>
              </w:trPr>
              <w:tc>
                <w:tcPr>
                  <w:tcW w:w="2944" w:type="dxa"/>
                  <w:shd w:val="clear" w:color="auto" w:fill="auto"/>
                  <w:tcMar>
                    <w:left w:w="113" w:type="dxa"/>
                  </w:tcMar>
                </w:tcPr>
                <w:p w:rsidR="001E6FB8" w:rsidRPr="00E141F1" w:rsidRDefault="001E6FB8" w:rsidP="001E6FB8">
                  <w:pPr>
                    <w:pStyle w:val="ACMATableText"/>
                    <w:keepNext/>
                    <w:spacing w:line="240" w:lineRule="atLeast"/>
                    <w:ind w:left="227"/>
                    <w:rPr>
                      <w:rFonts w:cs="Arial"/>
                      <w:color w:val="808285"/>
                      <w:spacing w:val="-28"/>
                      <w:sz w:val="18"/>
                      <w:szCs w:val="18"/>
                      <w:lang w:eastAsia="en-AU"/>
                    </w:rPr>
                  </w:pPr>
                  <w:r w:rsidRPr="00E141F1">
                    <w:rPr>
                      <w:rFonts w:cs="Arial"/>
                      <w:sz w:val="18"/>
                      <w:szCs w:val="18"/>
                      <w:lang w:eastAsia="en-AU"/>
                    </w:rPr>
                    <w:t>Calls offered from mobile phones</w:t>
                  </w:r>
                </w:p>
              </w:tc>
              <w:tc>
                <w:tcPr>
                  <w:tcW w:w="1267"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62.8%</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62.9%</w:t>
                  </w:r>
                </w:p>
              </w:tc>
              <w:tc>
                <w:tcPr>
                  <w:tcW w:w="1268" w:type="dxa"/>
                  <w:shd w:val="clear" w:color="auto" w:fill="auto"/>
                  <w:tcMar>
                    <w:left w:w="113" w:type="dxa"/>
                  </w:tcMar>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63.9%</w:t>
                  </w:r>
                </w:p>
              </w:tc>
              <w:tc>
                <w:tcPr>
                  <w:tcW w:w="1268" w:type="dxa"/>
                </w:tcPr>
                <w:p w:rsidR="001E6FB8" w:rsidRPr="00E141F1" w:rsidRDefault="001E6FB8" w:rsidP="001E6FB8">
                  <w:pPr>
                    <w:pStyle w:val="ACMATableText"/>
                    <w:keepNext/>
                    <w:spacing w:line="240" w:lineRule="atLeast"/>
                    <w:ind w:right="129"/>
                    <w:jc w:val="right"/>
                    <w:rPr>
                      <w:rFonts w:cs="Arial"/>
                      <w:b/>
                      <w:sz w:val="18"/>
                      <w:szCs w:val="18"/>
                      <w:lang w:eastAsia="en-AU"/>
                    </w:rPr>
                  </w:pPr>
                  <w:r w:rsidRPr="00E141F1">
                    <w:rPr>
                      <w:rFonts w:cs="Arial"/>
                      <w:sz w:val="18"/>
                      <w:szCs w:val="18"/>
                      <w:lang w:eastAsia="en-AU"/>
                    </w:rPr>
                    <w:t>67.3%</w:t>
                  </w:r>
                </w:p>
              </w:tc>
              <w:tc>
                <w:tcPr>
                  <w:tcW w:w="1268" w:type="dxa"/>
                </w:tcPr>
                <w:p w:rsidR="001E6FB8" w:rsidRPr="00E141F1" w:rsidRDefault="001E6FB8" w:rsidP="001E6FB8">
                  <w:pPr>
                    <w:pStyle w:val="ACMATableText"/>
                    <w:keepNext/>
                    <w:spacing w:line="240" w:lineRule="atLeast"/>
                    <w:ind w:right="129"/>
                    <w:jc w:val="right"/>
                    <w:rPr>
                      <w:rFonts w:cs="Arial"/>
                      <w:sz w:val="18"/>
                      <w:szCs w:val="18"/>
                      <w:lang w:eastAsia="en-AU"/>
                    </w:rPr>
                  </w:pPr>
                  <w:r w:rsidRPr="00E141F1">
                    <w:rPr>
                      <w:rFonts w:cs="Arial"/>
                      <w:sz w:val="18"/>
                      <w:szCs w:val="18"/>
                      <w:lang w:eastAsia="en-AU"/>
                    </w:rPr>
                    <w:t>66.9%</w:t>
                  </w:r>
                </w:p>
              </w:tc>
            </w:tr>
          </w:tbl>
          <w:p w:rsidR="001E6FB8" w:rsidRPr="00E141F1" w:rsidRDefault="001E6FB8" w:rsidP="001E6FB8">
            <w:pPr>
              <w:keepNext/>
              <w:rPr>
                <w:rFonts w:cs="Arial"/>
                <w:szCs w:val="20"/>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spacing w:before="120" w:line="240" w:lineRule="auto"/>
              <w:rPr>
                <w:rFonts w:cs="Arial"/>
                <w:i/>
                <w:sz w:val="16"/>
                <w:szCs w:val="16"/>
              </w:rPr>
            </w:pPr>
            <w:r w:rsidRPr="00E141F1">
              <w:rPr>
                <w:rFonts w:cs="Arial"/>
                <w:i/>
                <w:sz w:val="16"/>
                <w:szCs w:val="16"/>
              </w:rPr>
              <w:t xml:space="preserve">Note: The term ‘calls offered’ refers to the number of calls received by the ECP after the Recorded Voice Announcement (RVA). </w:t>
            </w:r>
            <w:r>
              <w:rPr>
                <w:rFonts w:cs="Arial"/>
                <w:i/>
                <w:sz w:val="16"/>
                <w:szCs w:val="16"/>
              </w:rPr>
              <w:br/>
            </w:r>
            <w:r w:rsidRPr="00E141F1">
              <w:rPr>
                <w:rFonts w:cs="Arial"/>
                <w:i/>
                <w:sz w:val="16"/>
                <w:szCs w:val="16"/>
              </w:rPr>
              <w:t xml:space="preserve">The RVA gives people who have inadvertently or otherwise dialled Triple Zero the opportunity to hang up before being connected </w:t>
            </w:r>
            <w:r>
              <w:rPr>
                <w:rFonts w:cs="Arial"/>
                <w:i/>
                <w:sz w:val="16"/>
                <w:szCs w:val="16"/>
              </w:rPr>
              <w:br/>
            </w:r>
            <w:r w:rsidRPr="00E141F1">
              <w:rPr>
                <w:rFonts w:cs="Arial"/>
                <w:i/>
                <w:sz w:val="16"/>
                <w:szCs w:val="16"/>
              </w:rPr>
              <w:t>to the ECP. Calls answered refer to the percentage of these calls that were answered.</w:t>
            </w:r>
          </w:p>
          <w:p w:rsidR="001E6FB8" w:rsidRPr="00E141F1" w:rsidRDefault="001E6FB8" w:rsidP="001E6FB8">
            <w:pPr>
              <w:keepNext/>
              <w:spacing w:after="60" w:line="240" w:lineRule="auto"/>
              <w:rPr>
                <w:rFonts w:cs="Arial"/>
                <w:sz w:val="16"/>
                <w:szCs w:val="16"/>
              </w:rPr>
            </w:pPr>
            <w:r w:rsidRPr="00E141F1">
              <w:rPr>
                <w:rFonts w:cs="Arial"/>
                <w:i/>
                <w:sz w:val="16"/>
                <w:szCs w:val="16"/>
              </w:rPr>
              <w:t>Source: Emergency call person (Telstra).</w:t>
            </w:r>
          </w:p>
        </w:tc>
      </w:tr>
    </w:tbl>
    <w:p w:rsidR="001E6FB8" w:rsidRPr="00E141F1" w:rsidRDefault="001E6FB8" w:rsidP="001E6FB8">
      <w:pPr>
        <w:pStyle w:val="Heading3"/>
        <w:pageBreakBefore/>
      </w:pPr>
      <w:bookmarkStart w:id="242" w:name="_Toc341428340"/>
      <w:bookmarkStart w:id="243" w:name="_Toc371589019"/>
      <w:bookmarkStart w:id="244" w:name="_Toc373149081"/>
      <w:r w:rsidRPr="00E141F1">
        <w:t>Precise mobile location for emergency service organisations</w:t>
      </w:r>
      <w:bookmarkEnd w:id="242"/>
      <w:bookmarkEnd w:id="243"/>
      <w:bookmarkEnd w:id="244"/>
    </w:p>
    <w:p w:rsidR="001E6FB8" w:rsidRPr="00E141F1" w:rsidRDefault="001E6FB8" w:rsidP="001E6FB8">
      <w:pPr>
        <w:rPr>
          <w:rFonts w:cs="Arial"/>
        </w:rPr>
      </w:pPr>
      <w:r w:rsidRPr="00E141F1">
        <w:rPr>
          <w:rFonts w:cs="Arial"/>
        </w:rPr>
        <w:t xml:space="preserve">The Emergency Call Service Determination requires a mobile carrier to provide the most precise information it has available about the location of a person using a mobile phone to make an emergency call. This information is provided by the mobile </w:t>
      </w:r>
      <w:r>
        <w:rPr>
          <w:rFonts w:cs="Arial"/>
        </w:rPr>
        <w:t>network owners</w:t>
      </w:r>
      <w:r w:rsidRPr="00E141F1">
        <w:rPr>
          <w:rFonts w:cs="Arial"/>
        </w:rPr>
        <w:t xml:space="preserve"> upon request of an ESO. During the reporting period, the mobile carriers responded to 3,179 requests from ESOs for precise mobile location. The ACMA has not received any complaints from ESOs about mobile carrier compliance with this requirement.</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ACMA is also continuing to work with industry and ESOs in implementing a longer term solution that would see the automatic delivery of precise location information with every emergency call.</w:t>
      </w:r>
      <w:r>
        <w:rPr>
          <w:rFonts w:cs="Arial"/>
        </w:rPr>
        <w:t xml:space="preserve"> </w:t>
      </w:r>
      <w:r w:rsidRPr="00E141F1">
        <w:rPr>
          <w:rFonts w:cs="Arial"/>
        </w:rPr>
        <w:t>This longer term solution is expected to be implemented by 31</w:t>
      </w:r>
      <w:r>
        <w:rPr>
          <w:rFonts w:cs="Arial"/>
        </w:rPr>
        <w:t> </w:t>
      </w:r>
      <w:r w:rsidRPr="00E141F1">
        <w:rPr>
          <w:rFonts w:cs="Arial"/>
        </w:rPr>
        <w:t>May 2014.</w:t>
      </w:r>
    </w:p>
    <w:p w:rsidR="001E6FB8" w:rsidRPr="00E141F1" w:rsidRDefault="001E6FB8" w:rsidP="001E6FB8">
      <w:pPr>
        <w:rPr>
          <w:rFonts w:cs="Arial"/>
          <w:highlight w:val="yellow"/>
        </w:rPr>
      </w:pPr>
    </w:p>
    <w:bookmarkEnd w:id="230"/>
    <w:bookmarkEnd w:id="231"/>
    <w:bookmarkEnd w:id="232"/>
    <w:p w:rsidR="001E6FB8" w:rsidRPr="00E141F1" w:rsidRDefault="001E6FB8" w:rsidP="001E6FB8">
      <w:pPr>
        <w:spacing w:after="60"/>
        <w:rPr>
          <w:rFonts w:cs="Arial"/>
          <w:b/>
        </w:rPr>
      </w:pPr>
      <w:r w:rsidRPr="00E141F1">
        <w:rPr>
          <w:rFonts w:cs="Arial"/>
          <w:b/>
        </w:rPr>
        <w:t>Requirement to provide access to Emergency Call Service from satellite services</w:t>
      </w:r>
    </w:p>
    <w:p w:rsidR="001E6FB8" w:rsidRPr="00E141F1" w:rsidRDefault="001E6FB8" w:rsidP="001E6FB8">
      <w:pPr>
        <w:rPr>
          <w:rFonts w:cs="Arial"/>
        </w:rPr>
      </w:pPr>
      <w:r w:rsidRPr="00E141F1">
        <w:rPr>
          <w:rFonts w:cs="Arial"/>
        </w:rPr>
        <w:t>Following a public consultation process, the ACMA amended the Emergency Call Service Determination in June 2013 to</w:t>
      </w:r>
      <w:r w:rsidRPr="00E141F1">
        <w:rPr>
          <w:rFonts w:cs="Arial"/>
          <w:color w:val="000000"/>
          <w:shd w:val="clear" w:color="auto" w:fill="FFFFFF"/>
        </w:rPr>
        <w:t xml:space="preserve"> </w:t>
      </w:r>
      <w:r w:rsidRPr="00E141F1">
        <w:rPr>
          <w:rFonts w:cs="Arial"/>
        </w:rPr>
        <w:t>impose emergency call service requirements in relation to a wider range of satellite phone services.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Under the revised regulatory arrangements, from 1 July 2013 all satellite phone services must be capable of accessing the emergency service numbers 000 and 112.</w:t>
      </w:r>
      <w:r>
        <w:rPr>
          <w:rFonts w:cs="Arial"/>
        </w:rPr>
        <w:t xml:space="preserve"> </w:t>
      </w:r>
      <w:r w:rsidRPr="00E141F1">
        <w:rPr>
          <w:rFonts w:cs="Arial"/>
        </w:rPr>
        <w:t>In addition, all satellite phone services technically capable of carrying a call to 1</w:t>
      </w:r>
      <w:r>
        <w:rPr>
          <w:rFonts w:cs="Arial"/>
        </w:rPr>
        <w:t>0</w:t>
      </w:r>
      <w:r w:rsidRPr="00E141F1">
        <w:rPr>
          <w:rFonts w:cs="Arial"/>
        </w:rPr>
        <w:t>6</w:t>
      </w:r>
      <w:r>
        <w:rPr>
          <w:rFonts w:cs="Arial"/>
        </w:rPr>
        <w:t xml:space="preserve"> TTY text service</w:t>
      </w:r>
      <w:r w:rsidRPr="00E141F1">
        <w:rPr>
          <w:rFonts w:cs="Arial"/>
        </w:rPr>
        <w:t xml:space="preserve"> must carry such calls. The amended Determination also provides for a limited exemption for services supplied to non-handheld satellite services by </w:t>
      </w:r>
      <w:proofErr w:type="spellStart"/>
      <w:r w:rsidRPr="00E141F1">
        <w:rPr>
          <w:rFonts w:cs="Arial"/>
        </w:rPr>
        <w:t>Inmarsat</w:t>
      </w:r>
      <w:proofErr w:type="spellEnd"/>
      <w:r w:rsidRPr="00E141F1">
        <w:rPr>
          <w:rFonts w:cs="Arial"/>
        </w:rPr>
        <w:t xml:space="preserve"> Global Limited that are not supplied </w:t>
      </w:r>
      <w:r>
        <w:rPr>
          <w:rFonts w:cs="Arial"/>
        </w:rPr>
        <w:t xml:space="preserve">for voice services </w:t>
      </w:r>
      <w:r w:rsidRPr="00E141F1">
        <w:rPr>
          <w:rFonts w:cs="Arial"/>
        </w:rPr>
        <w:t>in fulfilment of the universal service obligations. These exempt services are marketed to commercial users (for example, shipping and aeronautical industries) where there is little or no expectation that Triple Zero is accessible.</w:t>
      </w:r>
    </w:p>
    <w:p w:rsidR="001E6FB8" w:rsidRPr="00E141F1" w:rsidRDefault="001E6FB8" w:rsidP="001E6FB8">
      <w:pPr>
        <w:rPr>
          <w:rFonts w:cs="Arial"/>
        </w:rPr>
      </w:pPr>
    </w:p>
    <w:p w:rsidR="001E6FB8" w:rsidRPr="00E141F1" w:rsidRDefault="001E6FB8" w:rsidP="001E6FB8">
      <w:r w:rsidRPr="00E141F1">
        <w:t xml:space="preserve">The amendments were made in response to concerns raised in a report of the </w:t>
      </w:r>
      <w:hyperlink r:id="rId59" w:history="1">
        <w:r w:rsidRPr="00E141F1">
          <w:t xml:space="preserve">2011–12 </w:t>
        </w:r>
        <w:r>
          <w:t xml:space="preserve">Regional </w:t>
        </w:r>
        <w:r w:rsidRPr="00E141F1">
          <w:t>Telecommunications Review</w:t>
        </w:r>
      </w:hyperlink>
      <w:r w:rsidRPr="00E141F1">
        <w:t xml:space="preserve"> Committee about emergency call services access from satellite phones.</w:t>
      </w:r>
    </w:p>
    <w:p w:rsidR="001E6FB8" w:rsidRPr="00E141F1" w:rsidRDefault="001E6FB8" w:rsidP="001E6FB8"/>
    <w:p w:rsidR="001E6FB8" w:rsidRPr="00E141F1" w:rsidRDefault="001E6FB8" w:rsidP="001E6FB8">
      <w:pPr>
        <w:spacing w:after="60"/>
        <w:rPr>
          <w:rFonts w:cs="Arial"/>
          <w:b/>
        </w:rPr>
      </w:pPr>
      <w:r w:rsidRPr="00E141F1">
        <w:rPr>
          <w:rFonts w:cs="Arial"/>
          <w:b/>
        </w:rPr>
        <w:t>Complaints about the Triple Zero service</w:t>
      </w:r>
    </w:p>
    <w:p w:rsidR="001E6FB8" w:rsidRDefault="001E6FB8" w:rsidP="001E6FB8">
      <w:r w:rsidRPr="00E141F1">
        <w:t>During the reporting period, the ACMA received nine complaints about the Triple Zero service and commenced one investigation into a CSP’s compliance with the requirement to provide Triple Zero access. Most of the complaints related to the handling of calls by the ESOs (and not to Telstra as the ECP for 000 and 112) and were accordingly referred to the relevant ESO for a response.</w:t>
      </w:r>
      <w:r>
        <w:t xml:space="preserve"> </w:t>
      </w:r>
    </w:p>
    <w:p w:rsidR="001E6FB8" w:rsidRDefault="001E6FB8" w:rsidP="001E6FB8"/>
    <w:p w:rsidR="001E6FB8" w:rsidRPr="00E141F1" w:rsidRDefault="001E6FB8" w:rsidP="001E6FB8">
      <w:pPr>
        <w:spacing w:after="60"/>
        <w:rPr>
          <w:rFonts w:cs="Arial"/>
          <w:b/>
        </w:rPr>
      </w:pPr>
      <w:r w:rsidRPr="00E141F1">
        <w:rPr>
          <w:rFonts w:cs="Arial"/>
          <w:b/>
        </w:rPr>
        <w:t>Emergency call service—106 TTY (teletypewriter) text service</w:t>
      </w:r>
    </w:p>
    <w:p w:rsidR="001E6FB8" w:rsidRPr="00E141F1" w:rsidRDefault="001E6FB8" w:rsidP="001E6FB8">
      <w:pPr>
        <w:pStyle w:val="PlainText"/>
        <w:rPr>
          <w:rFonts w:ascii="Arial" w:hAnsi="Arial" w:cs="Arial"/>
          <w:sz w:val="20"/>
          <w:szCs w:val="20"/>
        </w:rPr>
      </w:pPr>
      <w:r w:rsidRPr="00E141F1">
        <w:rPr>
          <w:rFonts w:ascii="Arial" w:hAnsi="Arial" w:cs="Arial"/>
          <w:sz w:val="20"/>
          <w:szCs w:val="20"/>
        </w:rPr>
        <w:t>The relay service provider for the National Relay Service (NRS) is specified as an</w:t>
      </w:r>
      <w:r>
        <w:rPr>
          <w:rFonts w:ascii="Arial" w:hAnsi="Arial" w:cs="Arial"/>
          <w:sz w:val="20"/>
          <w:szCs w:val="20"/>
        </w:rPr>
        <w:t xml:space="preserve"> ECP in the Emergency Call Persons</w:t>
      </w:r>
      <w:r w:rsidRPr="00E141F1">
        <w:rPr>
          <w:rFonts w:ascii="Arial" w:hAnsi="Arial" w:cs="Arial"/>
          <w:sz w:val="20"/>
          <w:szCs w:val="20"/>
        </w:rPr>
        <w:t xml:space="preserve"> Determination. ACE is currently contracted by the Commonwealth as the NRS relay service provider and operates a text emergency service on the 106 number in this capacity. The 106 text emergency service is available for users with a teletypewriter (TTY). There were 199 genuine calls to ESOs via the 106 text emergency service in 2012–13, compared to 142 genuine calls in 2011–12 and 175 in 2010–11.</w:t>
      </w:r>
    </w:p>
    <w:p w:rsidR="001E6FB8" w:rsidRPr="00E141F1" w:rsidRDefault="001E6FB8" w:rsidP="001E6FB8">
      <w:pPr>
        <w:pStyle w:val="PlainText"/>
        <w:rPr>
          <w:rFonts w:ascii="Arial" w:hAnsi="Arial" w:cs="Arial"/>
          <w:sz w:val="20"/>
          <w:szCs w:val="20"/>
        </w:rPr>
      </w:pPr>
    </w:p>
    <w:p w:rsidR="001E6FB8" w:rsidRPr="00E141F1" w:rsidRDefault="001E6FB8" w:rsidP="001E6FB8">
      <w:pPr>
        <w:pStyle w:val="PlainText"/>
        <w:spacing w:after="240"/>
        <w:rPr>
          <w:rFonts w:ascii="Arial" w:hAnsi="Arial" w:cs="Arial"/>
          <w:sz w:val="20"/>
          <w:szCs w:val="20"/>
        </w:rPr>
      </w:pPr>
      <w:r w:rsidRPr="00E141F1">
        <w:rPr>
          <w:rFonts w:ascii="Arial" w:hAnsi="Arial" w:cs="Arial"/>
          <w:sz w:val="20"/>
          <w:szCs w:val="20"/>
        </w:rPr>
        <w:t xml:space="preserve">As shown in Figure 2.1, a significant number of genuine calls were </w:t>
      </w:r>
      <w:r>
        <w:rPr>
          <w:rFonts w:ascii="Arial" w:hAnsi="Arial" w:cs="Arial"/>
          <w:sz w:val="20"/>
          <w:szCs w:val="20"/>
        </w:rPr>
        <w:t xml:space="preserve">also </w:t>
      </w:r>
      <w:r w:rsidRPr="00E141F1">
        <w:rPr>
          <w:rFonts w:ascii="Arial" w:hAnsi="Arial" w:cs="Arial"/>
          <w:sz w:val="20"/>
          <w:szCs w:val="20"/>
        </w:rPr>
        <w:t xml:space="preserve">relayed by the NRS to ESOs via the Triple Zero emergency services number. In these circumstances, TTY users contacted the NRS via normal access numbers and requested the call be relayed to Triple Zero, rather than dialling the 106 text emergency service number from their TTY. Calls to Triple Zero can also be relayed through the NRS for Internet Relay and Speak and Listen (speech-to-speech relay) callers, as these users are unable to access the 106 service. </w:t>
      </w:r>
    </w:p>
    <w:p w:rsidR="001E6FB8" w:rsidRPr="00E141F1" w:rsidRDefault="001E6FB8" w:rsidP="001E6FB8">
      <w:pPr>
        <w:pStyle w:val="PlainText"/>
        <w:rPr>
          <w:rFonts w:ascii="Arial" w:hAnsi="Arial" w:cs="Arial"/>
          <w:sz w:val="20"/>
          <w:szCs w:val="20"/>
        </w:rPr>
      </w:pPr>
      <w:r w:rsidRPr="00E141F1">
        <w:rPr>
          <w:rFonts w:ascii="Arial" w:hAnsi="Arial" w:cs="Arial"/>
          <w:sz w:val="20"/>
          <w:szCs w:val="20"/>
        </w:rPr>
        <w:t>A total of 475 genuine emergency calls were made via the NRS across all of these modes in 2012–13 (Figure 2.1), compared with 465 calls made during 2011–12.</w:t>
      </w:r>
    </w:p>
    <w:p w:rsidR="001E6FB8" w:rsidRPr="00E141F1" w:rsidRDefault="001E6FB8" w:rsidP="001E6FB8">
      <w:pPr>
        <w:rPr>
          <w:rFonts w:cs="Arial"/>
          <w:highlight w:val="yellow"/>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Figure 2.</w:t>
            </w:r>
            <w:r>
              <w:rPr>
                <w:rFonts w:cs="Arial"/>
              </w:rPr>
              <w:t>1</w:t>
            </w:r>
            <w:r w:rsidRPr="00E141F1">
              <w:rPr>
                <w:rFonts w:cs="Arial"/>
              </w:rPr>
              <w:t xml:space="preserve"> </w:t>
            </w:r>
            <w:bookmarkStart w:id="245" w:name="_Ref303589086"/>
            <w:r w:rsidRPr="00E141F1">
              <w:rPr>
                <w:rFonts w:cs="Arial"/>
              </w:rPr>
              <w:t>Genuine emergency calls via the NRS, 2012–1</w:t>
            </w:r>
            <w:bookmarkEnd w:id="245"/>
            <w:r w:rsidRPr="00E141F1">
              <w:rPr>
                <w:rFonts w:cs="Arial"/>
              </w:rPr>
              <w:t>3</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rPr>
                <w:rFonts w:cs="Arial"/>
                <w:szCs w:val="20"/>
              </w:rPr>
            </w:pPr>
            <w:r w:rsidRPr="00305713">
              <w:rPr>
                <w:rFonts w:cs="Arial"/>
                <w:noProof/>
                <w:szCs w:val="20"/>
              </w:rPr>
              <w:drawing>
                <wp:inline distT="0" distB="0" distL="0" distR="0">
                  <wp:extent cx="5804452" cy="2395330"/>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after="60"/>
              <w:rPr>
                <w:rFonts w:cs="Arial"/>
                <w:sz w:val="16"/>
                <w:szCs w:val="16"/>
              </w:rPr>
            </w:pPr>
            <w:bookmarkStart w:id="246" w:name="_Toc308517182"/>
            <w:r w:rsidRPr="005B312C">
              <w:rPr>
                <w:rFonts w:cs="Arial"/>
                <w:i/>
                <w:sz w:val="16"/>
                <w:szCs w:val="16"/>
              </w:rPr>
              <w:t>Source: NRS service provider (ACE).</w:t>
            </w:r>
            <w:bookmarkEnd w:id="246"/>
          </w:p>
        </w:tc>
      </w:tr>
    </w:tbl>
    <w:p w:rsidR="001E6FB8" w:rsidRPr="00E141F1" w:rsidRDefault="001E6FB8" w:rsidP="001E6FB8"/>
    <w:p w:rsidR="001E6FB8" w:rsidRPr="00E141F1" w:rsidRDefault="001E6FB8" w:rsidP="001E6FB8">
      <w:pPr>
        <w:pStyle w:val="Heading2"/>
      </w:pPr>
      <w:bookmarkStart w:id="247" w:name="_Toc371589020"/>
      <w:bookmarkStart w:id="248" w:name="_Toc373149082"/>
      <w:r w:rsidRPr="00E141F1">
        <w:t>Supporting law enforcement and national security agencies</w:t>
      </w:r>
      <w:bookmarkEnd w:id="247"/>
      <w:bookmarkEnd w:id="248"/>
    </w:p>
    <w:p w:rsidR="001E6FB8" w:rsidRDefault="001E6FB8" w:rsidP="001E6FB8">
      <w:pPr>
        <w:spacing w:after="80"/>
        <w:rPr>
          <w:rFonts w:cs="Arial"/>
        </w:rPr>
      </w:pPr>
      <w:r w:rsidRPr="00E141F1">
        <w:rPr>
          <w:rFonts w:cs="Arial"/>
        </w:rPr>
        <w:t>The telecommunications industry, including internet service providers is obliged to provide reasonably necessary assistance to law enforcement and national security under section 313 of the Act. This assistance can take many forms, but most commonly involves providing of information about consumers of telecommunications services and their communications for the purposes of:</w:t>
      </w:r>
    </w:p>
    <w:p w:rsidR="001E6FB8" w:rsidRPr="00E141F1" w:rsidRDefault="001E6FB8" w:rsidP="001E6FB8">
      <w:pPr>
        <w:pStyle w:val="ListBullet"/>
        <w:rPr>
          <w:rFonts w:cs="Arial"/>
        </w:rPr>
      </w:pPr>
      <w:r w:rsidRPr="00E141F1">
        <w:rPr>
          <w:rFonts w:cs="Arial"/>
        </w:rPr>
        <w:t>enforcing the criminal law</w:t>
      </w:r>
    </w:p>
    <w:p w:rsidR="001E6FB8" w:rsidRPr="00E141F1" w:rsidRDefault="001E6FB8" w:rsidP="001E6FB8">
      <w:pPr>
        <w:pStyle w:val="ListBullet"/>
        <w:rPr>
          <w:rFonts w:cs="Arial"/>
        </w:rPr>
      </w:pPr>
      <w:r w:rsidRPr="00E141F1">
        <w:rPr>
          <w:rFonts w:cs="Arial"/>
        </w:rPr>
        <w:t>enforcing laws that impose a pecuniary penalty</w:t>
      </w:r>
    </w:p>
    <w:p w:rsidR="001E6FB8" w:rsidRPr="00E141F1" w:rsidRDefault="001E6FB8" w:rsidP="001E6FB8">
      <w:pPr>
        <w:pStyle w:val="ListBullet"/>
        <w:rPr>
          <w:rFonts w:cs="Arial"/>
        </w:rPr>
      </w:pPr>
      <w:r w:rsidRPr="00E141F1">
        <w:rPr>
          <w:rFonts w:cs="Arial"/>
        </w:rPr>
        <w:t>assisting the enforcement of the criminal laws in force in a foreign country</w:t>
      </w:r>
    </w:p>
    <w:p w:rsidR="001E6FB8" w:rsidRPr="00E141F1" w:rsidRDefault="001E6FB8" w:rsidP="001E6FB8">
      <w:pPr>
        <w:pStyle w:val="ListBullet"/>
        <w:rPr>
          <w:rFonts w:cs="Arial"/>
        </w:rPr>
      </w:pPr>
      <w:r w:rsidRPr="00E141F1">
        <w:rPr>
          <w:rFonts w:cs="Arial"/>
        </w:rPr>
        <w:t>protecting the public revenue</w:t>
      </w:r>
    </w:p>
    <w:p w:rsidR="001E6FB8" w:rsidRPr="00E141F1" w:rsidRDefault="001E6FB8" w:rsidP="001E6FB8">
      <w:pPr>
        <w:pStyle w:val="ListBullet"/>
        <w:spacing w:after="240"/>
        <w:rPr>
          <w:rFonts w:cs="Arial"/>
        </w:rPr>
      </w:pPr>
      <w:r w:rsidRPr="00E141F1">
        <w:rPr>
          <w:rFonts w:cs="Arial"/>
        </w:rPr>
        <w:t>safeguarding national security.</w:t>
      </w:r>
    </w:p>
    <w:p w:rsidR="001E6FB8" w:rsidRDefault="001E6FB8" w:rsidP="001E6FB8">
      <w:r w:rsidRPr="00E141F1">
        <w:t>During the reporting period, the Attorney-General’s Department (AGD) did not refer any carriers or CSPs to the ACMA for enforcement action for refusing to provide an agency with assistance.</w:t>
      </w:r>
      <w:r>
        <w:t xml:space="preserve"> </w:t>
      </w:r>
    </w:p>
    <w:p w:rsidR="001E6FB8" w:rsidRDefault="001E6FB8" w:rsidP="001E6FB8"/>
    <w:p w:rsidR="001E6FB8" w:rsidRDefault="001E6FB8" w:rsidP="001E6FB8">
      <w:r w:rsidRPr="00E141F1">
        <w:t xml:space="preserve">The Department of Communications is considering the use of this obligation by enforcement agencies to block websites, with the aim to improve the transparency and accountability around blocking of online content under section 313 of the Act. </w:t>
      </w:r>
    </w:p>
    <w:p w:rsidR="001E6FB8" w:rsidRPr="00E141F1" w:rsidRDefault="001E6FB8" w:rsidP="001E6FB8"/>
    <w:p w:rsidR="001E6FB8" w:rsidRPr="00E141F1" w:rsidRDefault="001E6FB8" w:rsidP="001E6FB8">
      <w:pPr>
        <w:pStyle w:val="Heading3"/>
      </w:pPr>
      <w:bookmarkStart w:id="249" w:name="_Toc371589021"/>
      <w:bookmarkStart w:id="250" w:name="_Toc373149083"/>
      <w:r w:rsidRPr="00E141F1">
        <w:t>Disclosure of customer information</w:t>
      </w:r>
      <w:bookmarkEnd w:id="249"/>
      <w:bookmarkEnd w:id="250"/>
    </w:p>
    <w:p w:rsidR="001E6FB8" w:rsidRDefault="001E6FB8" w:rsidP="001E6FB8">
      <w:pPr>
        <w:spacing w:after="80"/>
        <w:rPr>
          <w:rFonts w:cs="Arial"/>
        </w:rPr>
      </w:pPr>
      <w:r w:rsidRPr="00E141F1">
        <w:rPr>
          <w:rFonts w:cs="Arial"/>
        </w:rPr>
        <w:t>Customer information provided to telecommunications carriers, CSPs and telecommunications contractors is protected under Part 13 of the Act. Carriers, CSPs and telecommunications contractors are prohibited from disclosing information to other parties except in certain limited and restricted circumstances. Those circumstances include:</w:t>
      </w:r>
    </w:p>
    <w:p w:rsidR="001E6FB8" w:rsidRPr="00E141F1" w:rsidRDefault="001E6FB8" w:rsidP="001E6FB8">
      <w:pPr>
        <w:pStyle w:val="ListBullet"/>
        <w:rPr>
          <w:rFonts w:cs="Arial"/>
        </w:rPr>
      </w:pPr>
      <w:r w:rsidRPr="00E141F1">
        <w:rPr>
          <w:rFonts w:cs="Arial"/>
        </w:rPr>
        <w:t>where it is required or authorised by a warrant or under law</w:t>
      </w:r>
    </w:p>
    <w:p w:rsidR="001E6FB8" w:rsidRPr="00E141F1" w:rsidRDefault="001E6FB8" w:rsidP="001E6FB8">
      <w:pPr>
        <w:pStyle w:val="ListBullet"/>
        <w:rPr>
          <w:rFonts w:cs="Arial"/>
        </w:rPr>
      </w:pPr>
      <w:r w:rsidRPr="00E141F1">
        <w:rPr>
          <w:rFonts w:cs="Arial"/>
        </w:rPr>
        <w:t>disclosure to the ACMA, A</w:t>
      </w:r>
      <w:r>
        <w:rPr>
          <w:rFonts w:cs="Arial"/>
        </w:rPr>
        <w:t xml:space="preserve">ustralian </w:t>
      </w:r>
      <w:r w:rsidRPr="00E141F1">
        <w:rPr>
          <w:rFonts w:cs="Arial"/>
        </w:rPr>
        <w:t>C</w:t>
      </w:r>
      <w:r>
        <w:rPr>
          <w:rFonts w:cs="Arial"/>
        </w:rPr>
        <w:t xml:space="preserve">ompetition and </w:t>
      </w:r>
      <w:r w:rsidRPr="00E141F1">
        <w:rPr>
          <w:rFonts w:cs="Arial"/>
        </w:rPr>
        <w:t>C</w:t>
      </w:r>
      <w:r>
        <w:rPr>
          <w:rFonts w:cs="Arial"/>
        </w:rPr>
        <w:t xml:space="preserve">onsumer </w:t>
      </w:r>
      <w:r w:rsidRPr="00E141F1">
        <w:rPr>
          <w:rFonts w:cs="Arial"/>
        </w:rPr>
        <w:t>C</w:t>
      </w:r>
      <w:r>
        <w:rPr>
          <w:rFonts w:cs="Arial"/>
        </w:rPr>
        <w:t>ommission (ACCC)</w:t>
      </w:r>
      <w:r w:rsidRPr="00E141F1">
        <w:rPr>
          <w:rFonts w:cs="Arial"/>
        </w:rPr>
        <w:t xml:space="preserve">, </w:t>
      </w:r>
      <w:r>
        <w:rPr>
          <w:rFonts w:cs="Arial"/>
        </w:rPr>
        <w:t>TIO</w:t>
      </w:r>
      <w:r w:rsidRPr="00E141F1">
        <w:rPr>
          <w:rFonts w:cs="Arial"/>
        </w:rPr>
        <w:t xml:space="preserve"> or Telecommunications Universal Service Management Agency where the disclosure may assist those agencies to carry out their functions or powers, or in the case of the TIO, assist in the consideration of a complaint</w:t>
      </w:r>
    </w:p>
    <w:p w:rsidR="001E6FB8" w:rsidRPr="00E141F1" w:rsidRDefault="001E6FB8" w:rsidP="001E6FB8">
      <w:pPr>
        <w:pStyle w:val="ListBullet"/>
        <w:rPr>
          <w:rFonts w:cs="Arial"/>
        </w:rPr>
      </w:pPr>
      <w:r w:rsidRPr="00E141F1">
        <w:rPr>
          <w:rFonts w:cs="Arial"/>
        </w:rPr>
        <w:t>an imminent threat to a person’s life or health</w:t>
      </w:r>
    </w:p>
    <w:p w:rsidR="001E6FB8" w:rsidRPr="00E141F1" w:rsidRDefault="001E6FB8" w:rsidP="001E6FB8">
      <w:pPr>
        <w:pStyle w:val="ListBullet"/>
        <w:spacing w:after="240"/>
        <w:rPr>
          <w:rFonts w:cs="Arial"/>
        </w:rPr>
      </w:pPr>
      <w:r w:rsidRPr="00E141F1">
        <w:rPr>
          <w:rFonts w:cs="Arial"/>
        </w:rPr>
        <w:t>satisfying the business needs of other carriers and CSPs where the customer is or was a customer of a carrier or CSP.</w:t>
      </w:r>
    </w:p>
    <w:p w:rsidR="001E6FB8" w:rsidRDefault="001E6FB8" w:rsidP="001E6FB8">
      <w:pPr>
        <w:pStyle w:val="ListBullet"/>
        <w:numPr>
          <w:ilvl w:val="0"/>
          <w:numId w:val="0"/>
        </w:numPr>
        <w:spacing w:after="0"/>
        <w:rPr>
          <w:rFonts w:cs="Arial"/>
        </w:rPr>
      </w:pPr>
      <w:r w:rsidRPr="00E141F1">
        <w:rPr>
          <w:rFonts w:cs="Arial"/>
        </w:rPr>
        <w:t>Carriers and CSPs are required to report to the ACMA on any disclosures that are authorised under either Part 13 of the Act or Chapter 4 of the</w:t>
      </w:r>
      <w:r w:rsidRPr="00E141F1">
        <w:rPr>
          <w:rFonts w:cs="Arial"/>
          <w:i/>
        </w:rPr>
        <w:t xml:space="preserve"> Telecommunications (Interception and Access) Act 1979</w:t>
      </w:r>
      <w:r w:rsidRPr="00E141F1">
        <w:rPr>
          <w:rFonts w:cs="Arial"/>
        </w:rPr>
        <w:t xml:space="preserve"> (the TIA Act). During 2012–13, the number of disclosures made under Part 13 of the Act by CSPs and carriers declined by two per</w:t>
      </w:r>
      <w:r>
        <w:rPr>
          <w:rFonts w:cs="Arial"/>
        </w:rPr>
        <w:t> </w:t>
      </w:r>
      <w:r w:rsidRPr="00E141F1">
        <w:rPr>
          <w:rFonts w:cs="Arial"/>
        </w:rPr>
        <w:t>cent from 2011–12. The number and reason for disclosures made during 2012–13, as reported to the ACMA under section 308 of the Act, are provided in Table 2.2.</w:t>
      </w:r>
    </w:p>
    <w:p w:rsidR="001E6FB8" w:rsidRDefault="001E6FB8" w:rsidP="001E6FB8">
      <w:pPr>
        <w:spacing w:line="240" w:lineRule="auto"/>
        <w:rPr>
          <w:rFonts w:cs="Arial"/>
          <w:highlight w:val="yellow"/>
        </w:rPr>
      </w:pPr>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A74B5E" w:rsidRDefault="001E6FB8" w:rsidP="001E6FB8">
            <w:pPr>
              <w:pStyle w:val="Caption"/>
              <w:keepNext/>
            </w:pPr>
            <w:r w:rsidRPr="002758C2">
              <w:t>Table 2.2 Disclosures</w:t>
            </w:r>
          </w:p>
        </w:tc>
      </w:tr>
      <w:tr w:rsidR="001E6FB8" w:rsidTr="001E6FB8">
        <w:trPr>
          <w:trHeight w:val="3086"/>
        </w:trPr>
        <w:tc>
          <w:tcPr>
            <w:tcW w:w="9645" w:type="dxa"/>
            <w:shd w:val="clear" w:color="auto" w:fill="auto"/>
            <w:tcMar>
              <w:left w:w="28" w:type="dxa"/>
            </w:tcMar>
          </w:tcPr>
          <w:tbl>
            <w:tblPr>
              <w:tblW w:w="9497"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5070"/>
              <w:gridCol w:w="2125"/>
              <w:gridCol w:w="1141"/>
              <w:gridCol w:w="1161"/>
            </w:tblGrid>
            <w:tr w:rsidR="001E6FB8" w:rsidRPr="00E141F1" w:rsidTr="001E6FB8">
              <w:trPr>
                <w:trHeight w:val="284"/>
              </w:trPr>
              <w:tc>
                <w:tcPr>
                  <w:tcW w:w="5070" w:type="dxa"/>
                  <w:vMerge w:val="restart"/>
                  <w:tcBorders>
                    <w:top w:val="nil"/>
                    <w:left w:val="nil"/>
                    <w:bottom w:val="nil"/>
                    <w:right w:val="nil"/>
                  </w:tcBorders>
                  <w:shd w:val="clear" w:color="auto" w:fill="00709E"/>
                  <w:tcMar>
                    <w:top w:w="34" w:type="dxa"/>
                    <w:left w:w="113" w:type="dxa"/>
                  </w:tcMar>
                </w:tcPr>
                <w:p w:rsidR="001E6FB8" w:rsidRPr="00E141F1" w:rsidRDefault="001E6FB8" w:rsidP="001E6FB8">
                  <w:pPr>
                    <w:pStyle w:val="TableHeading"/>
                    <w:keepNext/>
                    <w:keepLines/>
                    <w:rPr>
                      <w:rFonts w:cs="Arial"/>
                      <w:color w:val="FFFFFF" w:themeColor="background1"/>
                      <w:sz w:val="18"/>
                      <w:szCs w:val="18"/>
                    </w:rPr>
                  </w:pPr>
                  <w:r w:rsidRPr="00E141F1">
                    <w:rPr>
                      <w:rFonts w:cs="Arial"/>
                      <w:color w:val="FFFFFF" w:themeColor="background1"/>
                      <w:sz w:val="18"/>
                      <w:szCs w:val="18"/>
                    </w:rPr>
                    <w:t>Reason for disclosure</w:t>
                  </w:r>
                </w:p>
              </w:tc>
              <w:tc>
                <w:tcPr>
                  <w:tcW w:w="2125" w:type="dxa"/>
                  <w:tcBorders>
                    <w:top w:val="nil"/>
                    <w:left w:val="nil"/>
                    <w:bottom w:val="nil"/>
                    <w:right w:val="nil"/>
                  </w:tcBorders>
                  <w:shd w:val="clear" w:color="auto" w:fill="00709E"/>
                </w:tcPr>
                <w:p w:rsidR="001E6FB8" w:rsidRPr="00E141F1" w:rsidRDefault="001E6FB8" w:rsidP="001E6FB8">
                  <w:pPr>
                    <w:pStyle w:val="TableHeading"/>
                    <w:keepNext/>
                    <w:keepLines/>
                    <w:ind w:right="148"/>
                    <w:jc w:val="right"/>
                    <w:rPr>
                      <w:rFonts w:cs="Arial"/>
                      <w:color w:val="FFFFFF" w:themeColor="background1"/>
                      <w:sz w:val="18"/>
                      <w:szCs w:val="18"/>
                    </w:rPr>
                  </w:pPr>
                  <w:r w:rsidRPr="00E141F1">
                    <w:rPr>
                      <w:rFonts w:cs="Arial"/>
                      <w:color w:val="FFFFFF" w:themeColor="background1"/>
                      <w:sz w:val="18"/>
                      <w:szCs w:val="18"/>
                    </w:rPr>
                    <w:t>(Sub)section</w:t>
                  </w:r>
                </w:p>
              </w:tc>
              <w:tc>
                <w:tcPr>
                  <w:tcW w:w="2302" w:type="dxa"/>
                  <w:gridSpan w:val="2"/>
                  <w:tcBorders>
                    <w:top w:val="nil"/>
                    <w:left w:val="nil"/>
                    <w:bottom w:val="nil"/>
                    <w:right w:val="nil"/>
                  </w:tcBorders>
                  <w:shd w:val="clear" w:color="auto" w:fill="00709E"/>
                </w:tcPr>
                <w:p w:rsidR="001E6FB8" w:rsidRPr="00E141F1" w:rsidRDefault="001E6FB8" w:rsidP="001E6FB8">
                  <w:pPr>
                    <w:pStyle w:val="TableHeading"/>
                    <w:keepNext/>
                    <w:keepLines/>
                    <w:ind w:right="120"/>
                    <w:jc w:val="center"/>
                    <w:rPr>
                      <w:rFonts w:cs="Arial"/>
                      <w:color w:val="FFFFFF" w:themeColor="background1"/>
                      <w:sz w:val="18"/>
                      <w:szCs w:val="18"/>
                    </w:rPr>
                  </w:pPr>
                  <w:r w:rsidRPr="00E141F1">
                    <w:rPr>
                      <w:rFonts w:cs="Arial"/>
                      <w:color w:val="FFFFFF" w:themeColor="background1"/>
                      <w:sz w:val="18"/>
                      <w:szCs w:val="18"/>
                    </w:rPr>
                    <w:t>Number of disclosures</w:t>
                  </w:r>
                </w:p>
              </w:tc>
            </w:tr>
            <w:tr w:rsidR="001E6FB8" w:rsidRPr="00E141F1" w:rsidTr="001E6FB8">
              <w:trPr>
                <w:trHeight w:val="284"/>
              </w:trPr>
              <w:tc>
                <w:tcPr>
                  <w:tcW w:w="5070" w:type="dxa"/>
                  <w:vMerge/>
                  <w:tcBorders>
                    <w:top w:val="nil"/>
                    <w:left w:val="nil"/>
                    <w:bottom w:val="nil"/>
                    <w:right w:val="nil"/>
                  </w:tcBorders>
                  <w:shd w:val="clear" w:color="auto" w:fill="00709E"/>
                  <w:tcMar>
                    <w:top w:w="34" w:type="dxa"/>
                    <w:left w:w="113" w:type="dxa"/>
                  </w:tcMar>
                </w:tcPr>
                <w:p w:rsidR="001E6FB8" w:rsidRPr="00E141F1" w:rsidRDefault="001E6FB8" w:rsidP="001E6FB8">
                  <w:pPr>
                    <w:pStyle w:val="TableHeading"/>
                    <w:keepNext/>
                    <w:keepLines/>
                    <w:rPr>
                      <w:rFonts w:cs="Arial"/>
                      <w:color w:val="FFFFFF" w:themeColor="background1"/>
                      <w:sz w:val="18"/>
                      <w:szCs w:val="18"/>
                    </w:rPr>
                  </w:pPr>
                </w:p>
              </w:tc>
              <w:tc>
                <w:tcPr>
                  <w:tcW w:w="2125" w:type="dxa"/>
                  <w:tcBorders>
                    <w:top w:val="nil"/>
                    <w:left w:val="nil"/>
                    <w:bottom w:val="nil"/>
                    <w:right w:val="nil"/>
                  </w:tcBorders>
                  <w:shd w:val="clear" w:color="auto" w:fill="00709E"/>
                </w:tcPr>
                <w:p w:rsidR="001E6FB8" w:rsidRPr="00E141F1" w:rsidRDefault="001E6FB8" w:rsidP="001E6FB8">
                  <w:pPr>
                    <w:pStyle w:val="TableHeading"/>
                    <w:keepNext/>
                    <w:keepLines/>
                    <w:ind w:right="148"/>
                    <w:jc w:val="right"/>
                    <w:rPr>
                      <w:rFonts w:cs="Arial"/>
                      <w:color w:val="FFFFFF" w:themeColor="background1"/>
                      <w:sz w:val="18"/>
                      <w:szCs w:val="18"/>
                    </w:rPr>
                  </w:pPr>
                </w:p>
              </w:tc>
              <w:tc>
                <w:tcPr>
                  <w:tcW w:w="1141" w:type="dxa"/>
                  <w:tcBorders>
                    <w:top w:val="nil"/>
                    <w:left w:val="nil"/>
                    <w:bottom w:val="nil"/>
                    <w:right w:val="nil"/>
                  </w:tcBorders>
                  <w:shd w:val="clear" w:color="auto" w:fill="00709E"/>
                </w:tcPr>
                <w:p w:rsidR="001E6FB8" w:rsidRPr="00E141F1" w:rsidRDefault="001E6FB8" w:rsidP="001E6FB8">
                  <w:pPr>
                    <w:pStyle w:val="TableHeading"/>
                    <w:keepNext/>
                    <w:keepLines/>
                    <w:ind w:right="120"/>
                    <w:jc w:val="right"/>
                    <w:rPr>
                      <w:rFonts w:cs="Arial"/>
                      <w:color w:val="FFFFFF" w:themeColor="background1"/>
                      <w:sz w:val="18"/>
                      <w:szCs w:val="18"/>
                    </w:rPr>
                  </w:pPr>
                  <w:r w:rsidRPr="00E141F1">
                    <w:rPr>
                      <w:rFonts w:cs="Arial"/>
                      <w:color w:val="FFFFFF" w:themeColor="background1"/>
                      <w:sz w:val="18"/>
                      <w:szCs w:val="18"/>
                    </w:rPr>
                    <w:t>2011–12</w:t>
                  </w:r>
                </w:p>
              </w:tc>
              <w:tc>
                <w:tcPr>
                  <w:tcW w:w="1161" w:type="dxa"/>
                  <w:tcBorders>
                    <w:top w:val="nil"/>
                    <w:left w:val="nil"/>
                    <w:bottom w:val="nil"/>
                    <w:right w:val="nil"/>
                  </w:tcBorders>
                  <w:shd w:val="clear" w:color="auto" w:fill="00709E"/>
                </w:tcPr>
                <w:p w:rsidR="001E6FB8" w:rsidRPr="00E141F1" w:rsidRDefault="001E6FB8" w:rsidP="001E6FB8">
                  <w:pPr>
                    <w:pStyle w:val="TableHeading"/>
                    <w:keepNext/>
                    <w:keepLines/>
                    <w:ind w:right="120"/>
                    <w:jc w:val="right"/>
                    <w:rPr>
                      <w:rFonts w:cs="Arial"/>
                      <w:color w:val="FFFFFF" w:themeColor="background1"/>
                      <w:sz w:val="18"/>
                      <w:szCs w:val="18"/>
                    </w:rPr>
                  </w:pPr>
                  <w:r w:rsidRPr="00E141F1">
                    <w:rPr>
                      <w:rFonts w:cs="Arial"/>
                      <w:color w:val="FFFFFF" w:themeColor="background1"/>
                      <w:sz w:val="18"/>
                      <w:szCs w:val="18"/>
                    </w:rPr>
                    <w:t>2012–13</w:t>
                  </w:r>
                </w:p>
              </w:tc>
            </w:tr>
            <w:tr w:rsidR="001E6FB8" w:rsidRPr="00E141F1" w:rsidTr="001E6FB8">
              <w:trPr>
                <w:trHeight w:val="343"/>
              </w:trPr>
              <w:tc>
                <w:tcPr>
                  <w:tcW w:w="5070" w:type="dxa"/>
                  <w:tcBorders>
                    <w:top w:val="nil"/>
                    <w:left w:val="nil"/>
                    <w:right w:val="nil"/>
                  </w:tcBorders>
                  <w:shd w:val="clear" w:color="auto" w:fill="auto"/>
                  <w:tcMar>
                    <w:left w:w="113" w:type="dxa"/>
                  </w:tcMar>
                  <w:vAlign w:val="center"/>
                </w:tcPr>
                <w:p w:rsidR="001E6FB8" w:rsidRPr="003E4870" w:rsidRDefault="001E6FB8" w:rsidP="001E6FB8">
                  <w:pPr>
                    <w:keepNext/>
                    <w:keepLines/>
                    <w:rPr>
                      <w:rFonts w:cs="Arial"/>
                      <w:b/>
                      <w:color w:val="00709E"/>
                      <w:sz w:val="18"/>
                      <w:szCs w:val="18"/>
                    </w:rPr>
                  </w:pPr>
                  <w:r w:rsidRPr="003E4870">
                    <w:rPr>
                      <w:rFonts w:cs="Arial"/>
                      <w:b/>
                      <w:color w:val="00709E"/>
                      <w:sz w:val="18"/>
                      <w:szCs w:val="18"/>
                    </w:rPr>
                    <w:t xml:space="preserve">Under the </w:t>
                  </w:r>
                  <w:r w:rsidRPr="003E4870">
                    <w:rPr>
                      <w:rFonts w:cs="Arial"/>
                      <w:b/>
                      <w:i/>
                      <w:color w:val="00709E"/>
                      <w:sz w:val="18"/>
                      <w:szCs w:val="18"/>
                    </w:rPr>
                    <w:t>Telecommunications Act 1997</w:t>
                  </w:r>
                </w:p>
              </w:tc>
              <w:tc>
                <w:tcPr>
                  <w:tcW w:w="2125" w:type="dxa"/>
                  <w:tcBorders>
                    <w:top w:val="nil"/>
                    <w:left w:val="nil"/>
                    <w:right w:val="nil"/>
                  </w:tcBorders>
                  <w:vAlign w:val="center"/>
                </w:tcPr>
                <w:p w:rsidR="001E6FB8" w:rsidRPr="00E141F1" w:rsidRDefault="001E6FB8" w:rsidP="001E6FB8">
                  <w:pPr>
                    <w:keepNext/>
                    <w:keepLines/>
                    <w:ind w:right="148"/>
                    <w:jc w:val="right"/>
                    <w:rPr>
                      <w:rFonts w:cs="Arial"/>
                      <w:sz w:val="18"/>
                      <w:szCs w:val="18"/>
                    </w:rPr>
                  </w:pPr>
                </w:p>
              </w:tc>
              <w:tc>
                <w:tcPr>
                  <w:tcW w:w="1141" w:type="dxa"/>
                  <w:tcBorders>
                    <w:top w:val="nil"/>
                    <w:left w:val="nil"/>
                    <w:right w:val="nil"/>
                  </w:tcBorders>
                </w:tcPr>
                <w:p w:rsidR="001E6FB8" w:rsidRPr="00E141F1" w:rsidRDefault="001E6FB8" w:rsidP="001E6FB8">
                  <w:pPr>
                    <w:keepNext/>
                    <w:keepLines/>
                    <w:ind w:right="120"/>
                    <w:jc w:val="right"/>
                    <w:rPr>
                      <w:rFonts w:cs="Arial"/>
                      <w:sz w:val="18"/>
                      <w:szCs w:val="18"/>
                    </w:rPr>
                  </w:pPr>
                </w:p>
              </w:tc>
              <w:tc>
                <w:tcPr>
                  <w:tcW w:w="1161" w:type="dxa"/>
                  <w:tcBorders>
                    <w:top w:val="nil"/>
                    <w:left w:val="nil"/>
                    <w:right w:val="nil"/>
                  </w:tcBorders>
                </w:tcPr>
                <w:p w:rsidR="001E6FB8" w:rsidRPr="00E141F1" w:rsidRDefault="001E6FB8" w:rsidP="001E6FB8">
                  <w:pPr>
                    <w:keepNext/>
                    <w:keepLines/>
                    <w:ind w:right="120"/>
                    <w:jc w:val="right"/>
                    <w:rPr>
                      <w:rFonts w:cs="Arial"/>
                      <w:sz w:val="18"/>
                      <w:szCs w:val="18"/>
                    </w:rPr>
                  </w:pP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Authorised by or under law</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280</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9,178</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13,693</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Made as a witness under summons</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281</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40</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542</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To assist the ACMA</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284(1)</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1,734</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1530</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To assist the ACCC</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284(2)</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6</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1</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To assist the TIO</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284(3)</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7,472</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34,560</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To assist the TUSMA</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284(4)</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n/a</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29</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Calls to emergency service number</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286</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2,605</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4,001</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To avert a threat to a person’s life or health</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287</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8,731</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12,000</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Communications for maritime purposes</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288</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0</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0</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With the knowledge or consent of the person concerned</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289</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90,489</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66,788</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In circumstances prescribed in the Telecommunications Regulations 2001</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292</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0</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0</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Connected with an exempt disclosure</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293</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0</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426</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b/>
                      <w:i/>
                      <w:sz w:val="18"/>
                      <w:szCs w:val="18"/>
                    </w:rPr>
                  </w:pPr>
                  <w:r w:rsidRPr="00E141F1">
                    <w:rPr>
                      <w:rFonts w:cs="Arial"/>
                      <w:b/>
                      <w:i/>
                      <w:sz w:val="18"/>
                      <w:szCs w:val="18"/>
                    </w:rPr>
                    <w:t>Subtotal</w:t>
                  </w:r>
                </w:p>
              </w:tc>
              <w:tc>
                <w:tcPr>
                  <w:tcW w:w="2125" w:type="dxa"/>
                  <w:tcBorders>
                    <w:left w:val="nil"/>
                    <w:right w:val="nil"/>
                  </w:tcBorders>
                  <w:vAlign w:val="center"/>
                </w:tcPr>
                <w:p w:rsidR="001E6FB8" w:rsidRPr="00E141F1" w:rsidRDefault="001E6FB8" w:rsidP="001E6FB8">
                  <w:pPr>
                    <w:keepNext/>
                    <w:keepLines/>
                    <w:ind w:right="148"/>
                    <w:jc w:val="right"/>
                    <w:rPr>
                      <w:rFonts w:cs="Arial"/>
                      <w:i/>
                      <w:sz w:val="18"/>
                      <w:szCs w:val="18"/>
                    </w:rPr>
                  </w:pPr>
                </w:p>
              </w:tc>
              <w:tc>
                <w:tcPr>
                  <w:tcW w:w="1141" w:type="dxa"/>
                  <w:tcBorders>
                    <w:left w:val="nil"/>
                    <w:right w:val="nil"/>
                  </w:tcBorders>
                  <w:vAlign w:val="center"/>
                </w:tcPr>
                <w:p w:rsidR="001E6FB8" w:rsidRPr="00E141F1" w:rsidRDefault="001E6FB8" w:rsidP="001E6FB8">
                  <w:pPr>
                    <w:keepNext/>
                    <w:keepLines/>
                    <w:ind w:right="120"/>
                    <w:jc w:val="right"/>
                    <w:rPr>
                      <w:rFonts w:cs="Arial"/>
                      <w:b/>
                      <w:i/>
                      <w:sz w:val="18"/>
                      <w:szCs w:val="18"/>
                    </w:rPr>
                  </w:pPr>
                  <w:r w:rsidRPr="00E141F1">
                    <w:rPr>
                      <w:rFonts w:cs="Arial"/>
                      <w:b/>
                      <w:i/>
                      <w:sz w:val="18"/>
                      <w:szCs w:val="18"/>
                    </w:rPr>
                    <w:t>120,255</w:t>
                  </w:r>
                </w:p>
              </w:tc>
              <w:tc>
                <w:tcPr>
                  <w:tcW w:w="1161" w:type="dxa"/>
                  <w:tcBorders>
                    <w:left w:val="nil"/>
                    <w:right w:val="nil"/>
                  </w:tcBorders>
                  <w:vAlign w:val="center"/>
                </w:tcPr>
                <w:p w:rsidR="001E6FB8" w:rsidRPr="00E141F1" w:rsidRDefault="001E6FB8" w:rsidP="001E6FB8">
                  <w:pPr>
                    <w:keepNext/>
                    <w:keepLines/>
                    <w:ind w:right="120"/>
                    <w:jc w:val="right"/>
                    <w:rPr>
                      <w:rFonts w:cs="Arial"/>
                      <w:b/>
                      <w:i/>
                      <w:sz w:val="18"/>
                      <w:szCs w:val="18"/>
                    </w:rPr>
                  </w:pPr>
                  <w:r w:rsidRPr="00E141F1">
                    <w:rPr>
                      <w:rFonts w:cs="Arial"/>
                      <w:b/>
                      <w:i/>
                      <w:sz w:val="18"/>
                      <w:szCs w:val="18"/>
                    </w:rPr>
                    <w:t>133,570</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3E4870" w:rsidRDefault="001E6FB8" w:rsidP="001E6FB8">
                  <w:pPr>
                    <w:keepNext/>
                    <w:keepLines/>
                    <w:rPr>
                      <w:rFonts w:cs="Arial"/>
                      <w:b/>
                      <w:i/>
                      <w:color w:val="00709E"/>
                      <w:sz w:val="18"/>
                      <w:szCs w:val="18"/>
                    </w:rPr>
                  </w:pPr>
                  <w:r w:rsidRPr="003E4870">
                    <w:rPr>
                      <w:rFonts w:cs="Arial"/>
                      <w:b/>
                      <w:color w:val="00709E"/>
                      <w:sz w:val="18"/>
                      <w:szCs w:val="18"/>
                    </w:rPr>
                    <w:t>Under the</w:t>
                  </w:r>
                  <w:r w:rsidRPr="003E4870">
                    <w:rPr>
                      <w:rFonts w:cs="Arial"/>
                      <w:b/>
                      <w:i/>
                      <w:color w:val="00709E"/>
                      <w:sz w:val="18"/>
                      <w:szCs w:val="18"/>
                    </w:rPr>
                    <w:t xml:space="preserve"> Telecommunications </w:t>
                  </w:r>
                  <w:r w:rsidRPr="003E4870">
                    <w:rPr>
                      <w:rFonts w:cs="Arial"/>
                      <w:b/>
                      <w:i/>
                      <w:color w:val="00709E"/>
                      <w:sz w:val="18"/>
                      <w:szCs w:val="18"/>
                    </w:rPr>
                    <w:br/>
                    <w:t>(Interception and Access Act 1979</w:t>
                  </w:r>
                  <w:r w:rsidRPr="003E4870">
                    <w:rPr>
                      <w:rFonts w:cs="Arial"/>
                      <w:b/>
                      <w:color w:val="00709E"/>
                      <w:sz w:val="18"/>
                      <w:szCs w:val="18"/>
                    </w:rPr>
                    <w:t>)</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Voluntary disclosure</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177</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267</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236</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Authorisations for access to existing information or documents—enforcement of the criminal law</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178</w:t>
                  </w:r>
                </w:p>
              </w:tc>
              <w:tc>
                <w:tcPr>
                  <w:tcW w:w="1141" w:type="dxa"/>
                  <w:tcBorders>
                    <w:left w:val="nil"/>
                    <w:right w:val="nil"/>
                  </w:tcBorders>
                  <w:vAlign w:val="center"/>
                </w:tcPr>
                <w:p w:rsidR="001E6FB8" w:rsidRPr="00E141F1" w:rsidRDefault="001E6FB8" w:rsidP="001E6FB8">
                  <w:pPr>
                    <w:keepNext/>
                    <w:keepLines/>
                    <w:tabs>
                      <w:tab w:val="right" w:pos="838"/>
                    </w:tabs>
                    <w:ind w:right="120"/>
                    <w:jc w:val="right"/>
                    <w:rPr>
                      <w:rFonts w:cs="Arial"/>
                      <w:sz w:val="18"/>
                      <w:szCs w:val="18"/>
                    </w:rPr>
                  </w:pPr>
                  <w:r w:rsidRPr="00E141F1">
                    <w:rPr>
                      <w:rFonts w:cs="Arial"/>
                      <w:sz w:val="18"/>
                      <w:szCs w:val="18"/>
                    </w:rPr>
                    <w:t>565,404</w:t>
                  </w:r>
                </w:p>
              </w:tc>
              <w:tc>
                <w:tcPr>
                  <w:tcW w:w="1161" w:type="dxa"/>
                  <w:tcBorders>
                    <w:left w:val="nil"/>
                    <w:right w:val="nil"/>
                  </w:tcBorders>
                  <w:vAlign w:val="center"/>
                </w:tcPr>
                <w:p w:rsidR="001E6FB8" w:rsidRPr="00E141F1" w:rsidRDefault="001E6FB8" w:rsidP="001E6FB8">
                  <w:pPr>
                    <w:keepNext/>
                    <w:keepLines/>
                    <w:tabs>
                      <w:tab w:val="right" w:pos="838"/>
                    </w:tabs>
                    <w:ind w:right="120"/>
                    <w:jc w:val="right"/>
                    <w:rPr>
                      <w:rFonts w:cs="Arial"/>
                      <w:sz w:val="18"/>
                      <w:szCs w:val="18"/>
                    </w:rPr>
                  </w:pPr>
                  <w:r w:rsidRPr="00E141F1">
                    <w:rPr>
                      <w:rFonts w:cs="Arial"/>
                      <w:sz w:val="18"/>
                      <w:szCs w:val="18"/>
                    </w:rPr>
                    <w:t>538,317</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Authorisations for access to existing information or documents—locating missing persons</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178A</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1,973</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1,233</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Authorisations for access to existing information or documents—enforcement of a law imposing pecuniary penalty or protection of the public revenue</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179</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7,992</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8,183</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 xml:space="preserve">Authorisations for access to prospective information or documents </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180</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1,540</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4,209</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Enforcement of the criminal law of a foreign country</w:t>
                  </w:r>
                  <w:r>
                    <w:rPr>
                      <w:rFonts w:cs="Arial"/>
                      <w:sz w:val="18"/>
                      <w:szCs w:val="18"/>
                    </w:rPr>
                    <w:br/>
                  </w:r>
                  <w:r w:rsidRPr="00E141F1">
                    <w:rPr>
                      <w:rFonts w:cs="Arial"/>
                      <w:sz w:val="18"/>
                      <w:szCs w:val="18"/>
                    </w:rPr>
                    <w:t>(existing information)</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180A</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n/a</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6</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Enforcement of the criminal law of a foreign country (prospective information)</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r w:rsidRPr="00E141F1">
                    <w:rPr>
                      <w:rFonts w:cs="Arial"/>
                      <w:sz w:val="18"/>
                      <w:szCs w:val="18"/>
                    </w:rPr>
                    <w:t>180B</w:t>
                  </w:r>
                </w:p>
              </w:tc>
              <w:tc>
                <w:tcPr>
                  <w:tcW w:w="114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n/a</w:t>
                  </w:r>
                </w:p>
              </w:tc>
              <w:tc>
                <w:tcPr>
                  <w:tcW w:w="1161" w:type="dxa"/>
                  <w:tcBorders>
                    <w:left w:val="nil"/>
                    <w:right w:val="nil"/>
                  </w:tcBorders>
                  <w:vAlign w:val="center"/>
                </w:tcPr>
                <w:p w:rsidR="001E6FB8" w:rsidRPr="00E141F1" w:rsidRDefault="001E6FB8" w:rsidP="001E6FB8">
                  <w:pPr>
                    <w:keepNext/>
                    <w:keepLines/>
                    <w:ind w:right="120"/>
                    <w:jc w:val="right"/>
                    <w:rPr>
                      <w:rFonts w:cs="Arial"/>
                      <w:sz w:val="18"/>
                      <w:szCs w:val="18"/>
                    </w:rPr>
                  </w:pPr>
                  <w:r w:rsidRPr="00E141F1">
                    <w:rPr>
                      <w:rFonts w:cs="Arial"/>
                      <w:sz w:val="18"/>
                      <w:szCs w:val="18"/>
                    </w:rPr>
                    <w:t>3</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b/>
                      <w:i/>
                      <w:sz w:val="18"/>
                      <w:szCs w:val="18"/>
                    </w:rPr>
                  </w:pPr>
                  <w:r w:rsidRPr="00E141F1">
                    <w:rPr>
                      <w:rFonts w:cs="Arial"/>
                      <w:b/>
                      <w:i/>
                      <w:sz w:val="18"/>
                      <w:szCs w:val="18"/>
                    </w:rPr>
                    <w:t>Subtotal</w:t>
                  </w:r>
                </w:p>
              </w:tc>
              <w:tc>
                <w:tcPr>
                  <w:tcW w:w="2125" w:type="dxa"/>
                  <w:tcBorders>
                    <w:left w:val="nil"/>
                    <w:right w:val="nil"/>
                  </w:tcBorders>
                  <w:vAlign w:val="center"/>
                </w:tcPr>
                <w:p w:rsidR="001E6FB8" w:rsidRPr="00E141F1" w:rsidRDefault="001E6FB8" w:rsidP="001E6FB8">
                  <w:pPr>
                    <w:keepNext/>
                    <w:keepLines/>
                    <w:ind w:right="148"/>
                    <w:jc w:val="right"/>
                    <w:rPr>
                      <w:rFonts w:cs="Arial"/>
                      <w:i/>
                      <w:sz w:val="18"/>
                      <w:szCs w:val="18"/>
                    </w:rPr>
                  </w:pPr>
                </w:p>
              </w:tc>
              <w:tc>
                <w:tcPr>
                  <w:tcW w:w="1141" w:type="dxa"/>
                  <w:tcBorders>
                    <w:left w:val="nil"/>
                    <w:right w:val="nil"/>
                  </w:tcBorders>
                  <w:vAlign w:val="center"/>
                </w:tcPr>
                <w:p w:rsidR="001E6FB8" w:rsidRPr="00E141F1" w:rsidRDefault="001E6FB8" w:rsidP="001E6FB8">
                  <w:pPr>
                    <w:keepNext/>
                    <w:keepLines/>
                    <w:ind w:right="120"/>
                    <w:jc w:val="right"/>
                    <w:rPr>
                      <w:rFonts w:cs="Arial"/>
                      <w:b/>
                      <w:i/>
                      <w:sz w:val="18"/>
                      <w:szCs w:val="18"/>
                    </w:rPr>
                  </w:pPr>
                  <w:r w:rsidRPr="00E141F1">
                    <w:rPr>
                      <w:rFonts w:cs="Arial"/>
                      <w:b/>
                      <w:i/>
                      <w:sz w:val="18"/>
                      <w:szCs w:val="18"/>
                    </w:rPr>
                    <w:t>577,176</w:t>
                  </w:r>
                </w:p>
              </w:tc>
              <w:tc>
                <w:tcPr>
                  <w:tcW w:w="1161" w:type="dxa"/>
                  <w:tcBorders>
                    <w:left w:val="nil"/>
                    <w:right w:val="nil"/>
                  </w:tcBorders>
                  <w:vAlign w:val="center"/>
                </w:tcPr>
                <w:p w:rsidR="001E6FB8" w:rsidRPr="00E141F1" w:rsidRDefault="001E6FB8" w:rsidP="001E6FB8">
                  <w:pPr>
                    <w:keepNext/>
                    <w:keepLines/>
                    <w:ind w:right="120"/>
                    <w:jc w:val="right"/>
                    <w:rPr>
                      <w:rFonts w:cs="Arial"/>
                      <w:b/>
                      <w:i/>
                      <w:sz w:val="18"/>
                      <w:szCs w:val="18"/>
                    </w:rPr>
                  </w:pPr>
                  <w:r w:rsidRPr="00E141F1">
                    <w:rPr>
                      <w:rFonts w:cs="Arial"/>
                      <w:b/>
                      <w:i/>
                      <w:sz w:val="18"/>
                      <w:szCs w:val="18"/>
                    </w:rPr>
                    <w:t>552,187</w:t>
                  </w:r>
                </w:p>
              </w:tc>
            </w:tr>
            <w:tr w:rsidR="001E6FB8" w:rsidRPr="00E141F1" w:rsidTr="001E6FB8">
              <w:trPr>
                <w:trHeight w:val="343"/>
              </w:trPr>
              <w:tc>
                <w:tcPr>
                  <w:tcW w:w="5070" w:type="dxa"/>
                  <w:tcBorders>
                    <w:left w:val="nil"/>
                    <w:right w:val="nil"/>
                  </w:tcBorders>
                  <w:shd w:val="clear" w:color="auto" w:fill="auto"/>
                  <w:tcMar>
                    <w:left w:w="113" w:type="dxa"/>
                  </w:tcMar>
                  <w:vAlign w:val="center"/>
                </w:tcPr>
                <w:p w:rsidR="001E6FB8" w:rsidRPr="00E141F1" w:rsidRDefault="001E6FB8" w:rsidP="001E6FB8">
                  <w:pPr>
                    <w:keepNext/>
                    <w:keepLines/>
                    <w:rPr>
                      <w:rFonts w:cs="Arial"/>
                      <w:b/>
                      <w:sz w:val="18"/>
                      <w:szCs w:val="18"/>
                    </w:rPr>
                  </w:pPr>
                  <w:r w:rsidRPr="00E141F1">
                    <w:rPr>
                      <w:rFonts w:cs="Arial"/>
                      <w:b/>
                      <w:sz w:val="18"/>
                      <w:szCs w:val="18"/>
                    </w:rPr>
                    <w:t>Total</w:t>
                  </w:r>
                </w:p>
              </w:tc>
              <w:tc>
                <w:tcPr>
                  <w:tcW w:w="2125" w:type="dxa"/>
                  <w:tcBorders>
                    <w:left w:val="nil"/>
                    <w:right w:val="nil"/>
                  </w:tcBorders>
                  <w:vAlign w:val="center"/>
                </w:tcPr>
                <w:p w:rsidR="001E6FB8" w:rsidRPr="00E141F1" w:rsidRDefault="001E6FB8" w:rsidP="001E6FB8">
                  <w:pPr>
                    <w:keepNext/>
                    <w:keepLines/>
                    <w:ind w:right="148"/>
                    <w:jc w:val="right"/>
                    <w:rPr>
                      <w:rFonts w:cs="Arial"/>
                      <w:sz w:val="18"/>
                      <w:szCs w:val="18"/>
                    </w:rPr>
                  </w:pPr>
                </w:p>
              </w:tc>
              <w:tc>
                <w:tcPr>
                  <w:tcW w:w="1141" w:type="dxa"/>
                  <w:tcBorders>
                    <w:left w:val="nil"/>
                    <w:right w:val="nil"/>
                  </w:tcBorders>
                  <w:vAlign w:val="center"/>
                </w:tcPr>
                <w:p w:rsidR="001E6FB8" w:rsidRPr="00E141F1" w:rsidRDefault="001E6FB8" w:rsidP="001E6FB8">
                  <w:pPr>
                    <w:keepNext/>
                    <w:keepLines/>
                    <w:ind w:right="120"/>
                    <w:jc w:val="right"/>
                    <w:rPr>
                      <w:rFonts w:cs="Arial"/>
                      <w:b/>
                      <w:sz w:val="18"/>
                      <w:szCs w:val="18"/>
                    </w:rPr>
                  </w:pPr>
                  <w:r w:rsidRPr="00E141F1">
                    <w:rPr>
                      <w:rFonts w:cs="Arial"/>
                      <w:b/>
                      <w:sz w:val="18"/>
                      <w:szCs w:val="18"/>
                    </w:rPr>
                    <w:t>697,431</w:t>
                  </w:r>
                </w:p>
              </w:tc>
              <w:tc>
                <w:tcPr>
                  <w:tcW w:w="1161" w:type="dxa"/>
                  <w:tcBorders>
                    <w:left w:val="nil"/>
                    <w:right w:val="nil"/>
                  </w:tcBorders>
                  <w:vAlign w:val="center"/>
                </w:tcPr>
                <w:p w:rsidR="001E6FB8" w:rsidRPr="00557163" w:rsidRDefault="001E6FB8" w:rsidP="001E6FB8">
                  <w:pPr>
                    <w:keepNext/>
                    <w:keepLines/>
                    <w:ind w:right="120"/>
                    <w:jc w:val="right"/>
                    <w:rPr>
                      <w:rFonts w:cs="Arial"/>
                      <w:b/>
                      <w:sz w:val="18"/>
                      <w:szCs w:val="18"/>
                    </w:rPr>
                  </w:pPr>
                  <w:r w:rsidRPr="00557163">
                    <w:rPr>
                      <w:rFonts w:cs="Arial"/>
                      <w:b/>
                      <w:sz w:val="18"/>
                      <w:szCs w:val="18"/>
                    </w:rPr>
                    <w:t>685,757</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 xml:space="preserve">Note: Legislative amendments introduced the section 284(4) of the Act disclosures in July 2012 and the sections 180A and 180B </w:t>
            </w:r>
            <w:r>
              <w:rPr>
                <w:rFonts w:cs="Arial"/>
                <w:i/>
                <w:sz w:val="16"/>
                <w:szCs w:val="16"/>
              </w:rPr>
              <w:br/>
            </w:r>
            <w:r w:rsidRPr="00E141F1">
              <w:rPr>
                <w:rFonts w:cs="Arial"/>
                <w:i/>
                <w:sz w:val="16"/>
                <w:szCs w:val="16"/>
              </w:rPr>
              <w:t xml:space="preserve">of the TIA </w:t>
            </w:r>
            <w:r>
              <w:rPr>
                <w:rFonts w:cs="Arial"/>
                <w:i/>
                <w:sz w:val="16"/>
                <w:szCs w:val="16"/>
              </w:rPr>
              <w:t>Act disclosures in October 2012.</w:t>
            </w:r>
          </w:p>
          <w:p w:rsidR="001E6FB8" w:rsidRDefault="001E6FB8" w:rsidP="001E6FB8">
            <w:pPr>
              <w:spacing w:after="60" w:line="240" w:lineRule="auto"/>
            </w:pPr>
            <w:r w:rsidRPr="00E141F1">
              <w:rPr>
                <w:rFonts w:cs="Arial"/>
                <w:i/>
                <w:sz w:val="16"/>
                <w:szCs w:val="16"/>
              </w:rPr>
              <w:t>Source: Carriers.</w:t>
            </w:r>
          </w:p>
        </w:tc>
      </w:tr>
    </w:tbl>
    <w:p w:rsidR="001E6FB8" w:rsidRDefault="001E6FB8" w:rsidP="001E6FB8"/>
    <w:p w:rsidR="001E6FB8" w:rsidRPr="00E141F1" w:rsidRDefault="001E6FB8" w:rsidP="001E6FB8">
      <w:pPr>
        <w:rPr>
          <w:rFonts w:cs="Arial"/>
        </w:rPr>
      </w:pPr>
      <w:r w:rsidRPr="00E141F1">
        <w:rPr>
          <w:rFonts w:cs="Arial"/>
        </w:rPr>
        <w:t>In relation to disclosures made under</w:t>
      </w:r>
      <w:r w:rsidRPr="00E141F1">
        <w:rPr>
          <w:rFonts w:cs="Arial"/>
          <w:bCs/>
        </w:rPr>
        <w:t xml:space="preserve"> sections 178, 178A, 179 and 180 of</w:t>
      </w:r>
      <w:r w:rsidRPr="00E141F1">
        <w:rPr>
          <w:rFonts w:cs="Arial"/>
        </w:rPr>
        <w:t xml:space="preserve"> the TIA Act, law enforcement agencies</w:t>
      </w:r>
      <w:r w:rsidRPr="00E141F1">
        <w:rPr>
          <w:rFonts w:cs="Arial"/>
          <w:bCs/>
        </w:rPr>
        <w:t xml:space="preserve"> (civil and criminal)</w:t>
      </w:r>
      <w:r w:rsidRPr="00E141F1">
        <w:rPr>
          <w:rFonts w:cs="Arial"/>
        </w:rPr>
        <w:t xml:space="preserve"> must be satisfied that the information they request is reasonably necessary to perform their law enforcement functions. An authorised officer must also consider </w:t>
      </w:r>
      <w:r w:rsidRPr="00E141F1">
        <w:rPr>
          <w:rFonts w:cs="Arial"/>
          <w:bCs/>
        </w:rPr>
        <w:t>whether</w:t>
      </w:r>
      <w:r w:rsidRPr="00E141F1">
        <w:rPr>
          <w:rFonts w:cs="Arial"/>
        </w:rPr>
        <w:t xml:space="preserve"> any interference with the privacy of any person or persons that may result from the disclosure is justifiable, having regard to the likely relevance and usefulness of the information or documents and the reason why the disclosure concerned was authorised.</w:t>
      </w:r>
    </w:p>
    <w:p w:rsidR="001E6FB8" w:rsidRPr="00E141F1" w:rsidRDefault="001E6FB8" w:rsidP="001E6FB8">
      <w:pPr>
        <w:rPr>
          <w:rFonts w:cs="Arial"/>
          <w:highlight w:val="yellow"/>
        </w:rPr>
      </w:pPr>
    </w:p>
    <w:p w:rsidR="001E6FB8" w:rsidRPr="00E141F1" w:rsidRDefault="001E6FB8" w:rsidP="001E6FB8">
      <w:pPr>
        <w:pStyle w:val="Heading3"/>
      </w:pPr>
      <w:bookmarkStart w:id="251" w:name="_Toc371589022"/>
      <w:bookmarkStart w:id="252" w:name="_Toc373149084"/>
      <w:r w:rsidRPr="00E141F1">
        <w:t>Emergency suspension of carriage services</w:t>
      </w:r>
      <w:bookmarkEnd w:id="251"/>
      <w:bookmarkEnd w:id="252"/>
    </w:p>
    <w:p w:rsidR="001E6FB8" w:rsidRPr="00E141F1" w:rsidRDefault="001E6FB8" w:rsidP="001E6FB8">
      <w:r w:rsidRPr="00E141F1">
        <w:t>Under section 315 of the Act, a senior police officer of a police force or service who holds a rank not lower than the rank of ‘Assistant Commissioner’ can request the suspension of a carriage service if there is an imminent threat to someone’s life or health. CSPs reported the suspension of 27 carriage services in 2012–13 under section 315 of the Act.</w:t>
      </w:r>
    </w:p>
    <w:p w:rsidR="001E6FB8" w:rsidRPr="00E141F1" w:rsidRDefault="001E6FB8" w:rsidP="001E6FB8">
      <w:pPr>
        <w:rPr>
          <w:highlight w:val="yellow"/>
        </w:rPr>
      </w:pPr>
    </w:p>
    <w:p w:rsidR="001E6FB8" w:rsidRDefault="001E6FB8" w:rsidP="001E6FB8">
      <w:pPr>
        <w:pStyle w:val="Heading3"/>
      </w:pPr>
      <w:bookmarkStart w:id="253" w:name="_Toc371589023"/>
      <w:bookmarkStart w:id="254" w:name="_Toc373149085"/>
      <w:r w:rsidRPr="00E141F1">
        <w:t>Interception</w:t>
      </w:r>
      <w:bookmarkStart w:id="255" w:name="_Toc341428346"/>
      <w:bookmarkEnd w:id="253"/>
      <w:bookmarkEnd w:id="254"/>
    </w:p>
    <w:p w:rsidR="001E6FB8" w:rsidRPr="00BB5F81" w:rsidRDefault="001E6FB8" w:rsidP="001E6FB8">
      <w:r w:rsidRPr="00BB5F81">
        <w:t>The content of communications between users of telecommunications services is strictly protected in Australia as one of the most crucial areas of privacy protection. Interception may only be authorised by law enforcement and national security agencies in accordance with a warrant under the TIA Act. Interception for other purposes is prohibited, with criminal penalties applicable for breaches of the TIA Act.</w:t>
      </w:r>
    </w:p>
    <w:bookmarkEnd w:id="255"/>
    <w:p w:rsidR="001E6FB8" w:rsidRDefault="001E6FB8" w:rsidP="001E6FB8"/>
    <w:p w:rsidR="001E6FB8" w:rsidRPr="00E141F1" w:rsidRDefault="001E6FB8" w:rsidP="001E6FB8">
      <w:pPr>
        <w:pStyle w:val="Heading3"/>
      </w:pPr>
      <w:bookmarkStart w:id="256" w:name="_Toc371589024"/>
      <w:bookmarkStart w:id="257" w:name="_Toc373149086"/>
      <w:r w:rsidRPr="00E141F1">
        <w:t>Cost of providing assistance</w:t>
      </w:r>
      <w:bookmarkEnd w:id="256"/>
      <w:bookmarkEnd w:id="257"/>
      <w:r w:rsidRPr="00E141F1">
        <w:t xml:space="preserve"> </w:t>
      </w:r>
    </w:p>
    <w:p w:rsidR="001E6FB8" w:rsidRPr="00E141F1" w:rsidRDefault="001E6FB8" w:rsidP="001E6FB8">
      <w:pPr>
        <w:rPr>
          <w:rFonts w:cs="Arial"/>
        </w:rPr>
      </w:pPr>
      <w:r w:rsidRPr="00E141F1">
        <w:rPr>
          <w:rFonts w:cs="Arial"/>
        </w:rPr>
        <w:t>Section 314 of the Act applies if a person is required to provide help to an agency. Such persons must comply with a requirement on the basis that the person neither profits from, nor bears the costs of, giving that help.</w:t>
      </w:r>
    </w:p>
    <w:p w:rsidR="001E6FB8" w:rsidRPr="00E141F1" w:rsidRDefault="001E6FB8" w:rsidP="001E6FB8">
      <w:pPr>
        <w:rPr>
          <w:rFonts w:cs="Arial"/>
        </w:rPr>
      </w:pPr>
    </w:p>
    <w:p w:rsidR="001E6FB8" w:rsidRPr="00E141F1" w:rsidRDefault="001E6FB8" w:rsidP="001E6FB8">
      <w:pPr>
        <w:rPr>
          <w:rFonts w:cs="Arial"/>
        </w:rPr>
      </w:pPr>
      <w:r w:rsidRPr="00E141F1">
        <w:rPr>
          <w:rFonts w:cs="Arial"/>
        </w:rPr>
        <w:t>Chapter 5 of the TIA Act obliges carriers and CSPs to ensure that their networks, facilities and carriage services are capable of enabling communications to be intercepted upon presentation of an interception warrant.</w:t>
      </w:r>
      <w:r w:rsidRPr="00E141F1">
        <w:rPr>
          <w:rStyle w:val="EndnoteReference"/>
          <w:rFonts w:cs="Arial"/>
        </w:rPr>
        <w:endnoteReference w:id="32"/>
      </w:r>
      <w:r w:rsidRPr="00E141F1">
        <w:rPr>
          <w:rFonts w:cs="Arial"/>
        </w:rPr>
        <w:t xml:space="preserve"> This obligation includes a requirement to develop, install and maintain an interception capability. Under section 207 of the TIA Act, carriers and CSPs are responsible for the costs associated with providing interception capability in their representative networks.</w:t>
      </w:r>
      <w:r>
        <w:rPr>
          <w:rFonts w:cs="Arial"/>
        </w:rPr>
        <w:t xml:space="preserv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In 2012–13, the cost to industry of providing interception capability was $18.4 million (Figure 2.2), an increase of nine per cent from 2011–12.</w:t>
      </w:r>
      <w:r>
        <w:rPr>
          <w:rFonts w:cs="Arial"/>
        </w:rPr>
        <w:t xml:space="preserve"> </w:t>
      </w:r>
    </w:p>
    <w:p w:rsidR="001E6FB8" w:rsidRPr="00E141F1" w:rsidRDefault="001E6FB8" w:rsidP="001E6FB8">
      <w:pPr>
        <w:rPr>
          <w:rFonts w:cs="Arial"/>
          <w:highlight w:val="yellow"/>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rPr>
                <w:rFonts w:cs="Arial"/>
              </w:rPr>
            </w:pPr>
            <w:bookmarkStart w:id="258" w:name="_Ref303591818"/>
            <w:r w:rsidRPr="00E141F1">
              <w:rPr>
                <w:rFonts w:cs="Arial"/>
              </w:rPr>
              <w:t>Figure 2.</w:t>
            </w:r>
            <w:bookmarkEnd w:id="258"/>
            <w:r>
              <w:rPr>
                <w:rFonts w:cs="Arial"/>
              </w:rPr>
              <w:t>2</w:t>
            </w:r>
            <w:r w:rsidRPr="00E141F1">
              <w:rPr>
                <w:rFonts w:cs="Arial"/>
              </w:rPr>
              <w:t xml:space="preserve"> Cost of providing interception capabilities</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rPr>
                <w:rFonts w:cs="Arial"/>
              </w:rPr>
            </w:pPr>
            <w:r w:rsidRPr="00305713">
              <w:rPr>
                <w:rFonts w:cs="Arial"/>
                <w:noProof/>
              </w:rPr>
              <w:drawing>
                <wp:inline distT="0" distB="0" distL="0" distR="0">
                  <wp:extent cx="5794513" cy="2236304"/>
                  <wp:effectExtent l="0" t="0" r="0" b="0"/>
                  <wp:docPr id="1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widowControl w:val="0"/>
              <w:outlineLvl w:val="0"/>
              <w:rPr>
                <w:rFonts w:cs="Arial"/>
                <w:sz w:val="16"/>
                <w:szCs w:val="16"/>
              </w:rPr>
            </w:pPr>
            <w:bookmarkStart w:id="259" w:name="_Toc308517189"/>
            <w:r w:rsidRPr="0023753D">
              <w:rPr>
                <w:rFonts w:cs="Arial"/>
                <w:i/>
                <w:sz w:val="16"/>
                <w:szCs w:val="16"/>
              </w:rPr>
              <w:t>Source: ACMA</w:t>
            </w:r>
            <w:r w:rsidRPr="00E141F1">
              <w:rPr>
                <w:rFonts w:cs="Arial"/>
                <w:i/>
                <w:sz w:val="16"/>
                <w:szCs w:val="16"/>
              </w:rPr>
              <w:t xml:space="preserve"> annual industry data request.</w:t>
            </w:r>
            <w:bookmarkEnd w:id="259"/>
          </w:p>
        </w:tc>
      </w:tr>
    </w:tbl>
    <w:p w:rsidR="001E6FB8" w:rsidRPr="00E141F1" w:rsidRDefault="001E6FB8" w:rsidP="001E6FB8">
      <w:pPr>
        <w:rPr>
          <w:rFonts w:cs="Arial"/>
          <w:highlight w:val="yellow"/>
        </w:rPr>
      </w:pPr>
    </w:p>
    <w:p w:rsidR="001E6FB8" w:rsidRPr="00E141F1" w:rsidRDefault="001E6FB8" w:rsidP="001E6FB8">
      <w:pPr>
        <w:pStyle w:val="Heading3"/>
      </w:pPr>
      <w:bookmarkStart w:id="260" w:name="_Toc371589025"/>
      <w:bookmarkStart w:id="261" w:name="_Toc373149087"/>
      <w:r w:rsidRPr="00E141F1">
        <w:t>Interception capability plan compliance</w:t>
      </w:r>
      <w:bookmarkEnd w:id="260"/>
      <w:bookmarkEnd w:id="261"/>
    </w:p>
    <w:p w:rsidR="001E6FB8" w:rsidRPr="00E141F1" w:rsidRDefault="001E6FB8" w:rsidP="001E6FB8">
      <w:r w:rsidRPr="00E141F1">
        <w:t>Under sections 196 and 197 of the TIA Act, carriers and nominated CSPs must lodge an interception capability plan by 1 July each year with the Communications Access Co-ordinator in the AGD.</w:t>
      </w:r>
      <w:r w:rsidRPr="00E141F1">
        <w:rPr>
          <w:rStyle w:val="EndnoteReference"/>
          <w:rFonts w:cs="Arial"/>
        </w:rPr>
        <w:endnoteReference w:id="33"/>
      </w:r>
      <w:r w:rsidRPr="00E141F1">
        <w:t xml:space="preserve"> The ACMA’s role is to enforce this obligation.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Compliance with this obligation was high during the reporting period. Of the active licensed carriers, seven failed to provide their interception capability plan by the due date or shortly after. AGD referred these seven carriers to the ACMA for enforcement action. All carriers subsequently complied with their obligations.</w:t>
      </w:r>
    </w:p>
    <w:p w:rsidR="001E6FB8" w:rsidRPr="00E141F1" w:rsidRDefault="001E6FB8" w:rsidP="001E6FB8">
      <w:pPr>
        <w:rPr>
          <w:rFonts w:cs="Arial"/>
        </w:rPr>
      </w:pPr>
    </w:p>
    <w:p w:rsidR="001E6FB8" w:rsidRPr="00E141F1" w:rsidRDefault="001E6FB8" w:rsidP="001E6FB8">
      <w:pPr>
        <w:pStyle w:val="Heading3"/>
      </w:pPr>
      <w:bookmarkStart w:id="262" w:name="_Toc359405984"/>
      <w:bookmarkStart w:id="263" w:name="_Toc371589026"/>
      <w:bookmarkStart w:id="264" w:name="_Toc373149088"/>
      <w:r w:rsidRPr="00E141F1">
        <w:t>Interception exemption for trial services</w:t>
      </w:r>
      <w:bookmarkEnd w:id="262"/>
      <w:bookmarkEnd w:id="263"/>
      <w:bookmarkEnd w:id="264"/>
    </w:p>
    <w:p w:rsidR="001E6FB8" w:rsidRPr="00E141F1" w:rsidRDefault="001E6FB8" w:rsidP="001E6FB8">
      <w:pPr>
        <w:rPr>
          <w:rFonts w:cs="Arial"/>
        </w:rPr>
      </w:pPr>
      <w:r w:rsidRPr="00E141F1">
        <w:rPr>
          <w:rFonts w:cs="Arial"/>
        </w:rPr>
        <w:t xml:space="preserve">Section 193 of the TIA Act facilitates the opportunity for service providers to trial new services prior to committing expenditure on interception capability. The ACMA can grant an exemption from the obligation to provide interception capability if, after consulting with appropriate interception agencies, it is satisfied that the exemption is unlikely to create a risk to national security or law enforcement.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During the reporting period, the ACMA granted two exemptions under section 193 of the TIA Act in relation to a single trial. Both exemptions were subject to conditions set out in the exemptions. The trial expired on 31 July 2013.</w:t>
      </w:r>
    </w:p>
    <w:p w:rsidR="001E6FB8" w:rsidRPr="00E141F1" w:rsidRDefault="001E6FB8" w:rsidP="001E6FB8">
      <w:pPr>
        <w:rPr>
          <w:rFonts w:cs="Arial"/>
          <w:highlight w:val="yellow"/>
        </w:rPr>
      </w:pPr>
    </w:p>
    <w:p w:rsidR="001E6FB8" w:rsidRPr="00E141F1" w:rsidRDefault="001E6FB8" w:rsidP="001E6FB8">
      <w:pPr>
        <w:pStyle w:val="Heading2"/>
      </w:pPr>
      <w:bookmarkStart w:id="265" w:name="_Toc371589027"/>
      <w:bookmarkStart w:id="266" w:name="_Toc373149089"/>
      <w:r w:rsidRPr="00E141F1">
        <w:t>Role of the Integrated Public Number Database</w:t>
      </w:r>
      <w:bookmarkEnd w:id="265"/>
      <w:bookmarkEnd w:id="266"/>
      <w:r w:rsidRPr="00E141F1">
        <w:t xml:space="preserve"> </w:t>
      </w:r>
    </w:p>
    <w:p w:rsidR="001E6FB8" w:rsidRPr="00E141F1" w:rsidRDefault="001E6FB8" w:rsidP="001E6FB8">
      <w:pPr>
        <w:rPr>
          <w:rFonts w:cs="Arial"/>
        </w:rPr>
      </w:pPr>
      <w:r w:rsidRPr="00E141F1">
        <w:rPr>
          <w:rFonts w:cs="Arial"/>
        </w:rPr>
        <w:t>The Integrated Public Number Database (IPND) is an industry-wide database of all listed and unlisted telephone numbers and associated customer information, including customer name and address and the name of each customer’s CSP. Under its carrier licence conditions, the IPND Manager is Telstra.</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Telstra reported that the IPND contained 64.12 million connected records at 30 June 2013, an increase of three per cent on the 62.05 million records held one year previously.</w:t>
      </w:r>
    </w:p>
    <w:p w:rsidR="001E6FB8" w:rsidRPr="00E141F1" w:rsidRDefault="001E6FB8" w:rsidP="001E6FB8">
      <w:pPr>
        <w:rPr>
          <w:rFonts w:cs="Arial"/>
        </w:rPr>
      </w:pPr>
    </w:p>
    <w:p w:rsidR="001E6FB8" w:rsidRPr="00E141F1" w:rsidRDefault="001E6FB8" w:rsidP="001E6FB8">
      <w:pPr>
        <w:rPr>
          <w:rFonts w:cs="Arial"/>
        </w:rPr>
      </w:pPr>
      <w:bookmarkStart w:id="267" w:name="_Toc341428348"/>
      <w:r w:rsidRPr="00E141F1">
        <w:rPr>
          <w:rFonts w:cs="Arial"/>
          <w:b/>
        </w:rPr>
        <w:t>Investigations into CSP compliance with IPND requirements</w:t>
      </w:r>
    </w:p>
    <w:p w:rsidR="001E6FB8" w:rsidRPr="00E141F1" w:rsidRDefault="001E6FB8" w:rsidP="001E6FB8">
      <w:pPr>
        <w:rPr>
          <w:rFonts w:cs="Arial"/>
        </w:rPr>
      </w:pPr>
      <w:r w:rsidRPr="00E141F1">
        <w:rPr>
          <w:rFonts w:cs="Arial"/>
        </w:rPr>
        <w:t xml:space="preserve">During the reporting period, the ACMA conducted five investigations into whether CSPs complied with their obligations to provide accurate customer data to the IPND. The ACMA requested a sample of records from the IPND Manager for the CSPs to ascertain whether the records contained in the IPND matched those held by the CSPs. While four of the CSPs investigated achieved a compliance level of 90 per cent or above for name and address data, the investigation on one CSP was not concluded during the reporting period. </w:t>
      </w:r>
    </w:p>
    <w:bookmarkEnd w:id="267"/>
    <w:p w:rsidR="001E6FB8" w:rsidRPr="00E141F1" w:rsidRDefault="001E6FB8" w:rsidP="001E6FB8">
      <w:pPr>
        <w:rPr>
          <w:rFonts w:cs="Arial"/>
        </w:rPr>
      </w:pPr>
    </w:p>
    <w:p w:rsidR="001E6FB8" w:rsidRPr="00E141F1" w:rsidRDefault="001E6FB8" w:rsidP="001E6FB8">
      <w:pPr>
        <w:pStyle w:val="Heading2"/>
      </w:pPr>
      <w:bookmarkStart w:id="268" w:name="_Toc371589028"/>
      <w:bookmarkStart w:id="269" w:name="_Toc373149090"/>
      <w:r w:rsidRPr="00E141F1">
        <w:t>Handling of life-threatening and unwelcome communications industry code</w:t>
      </w:r>
      <w:bookmarkEnd w:id="268"/>
      <w:bookmarkEnd w:id="269"/>
    </w:p>
    <w:p w:rsidR="001E6FB8" w:rsidRPr="00E141F1" w:rsidRDefault="001E6FB8" w:rsidP="001E6FB8">
      <w:r w:rsidRPr="00E141F1">
        <w:t>The C525:2010</w:t>
      </w:r>
      <w:r w:rsidRPr="00E141F1">
        <w:rPr>
          <w:i/>
        </w:rPr>
        <w:t xml:space="preserve"> </w:t>
      </w:r>
      <w:r w:rsidRPr="00E141F1">
        <w:t xml:space="preserve">Handling of Life Threatening and Unwelcome Communications industry code sets out obligations on carriers, CSPs and the NRS provider in responding to requests from customers and police to resolve life-threatening situations and unwelcome communications. </w:t>
      </w:r>
    </w:p>
    <w:p w:rsidR="001E6FB8" w:rsidRPr="00E141F1" w:rsidRDefault="001E6FB8" w:rsidP="001E6FB8"/>
    <w:p w:rsidR="001E6FB8" w:rsidRPr="00E141F1" w:rsidRDefault="001E6FB8" w:rsidP="001E6FB8">
      <w:r w:rsidRPr="00E141F1">
        <w:t xml:space="preserve">During the reporting period, the TIO confirmed that there were no code breaches and that new complaint issues under this code declined by 11 per cent to 534 in the reporting period. </w:t>
      </w:r>
    </w:p>
    <w:p w:rsidR="001E6FB8" w:rsidRPr="00E141F1" w:rsidRDefault="001E6FB8" w:rsidP="001E6FB8">
      <w:pPr>
        <w:rPr>
          <w:highlight w:val="yellow"/>
        </w:rPr>
      </w:pPr>
    </w:p>
    <w:p w:rsidR="001E6FB8" w:rsidRPr="00E141F1" w:rsidRDefault="001E6FB8" w:rsidP="001E6FB8">
      <w:pPr>
        <w:pStyle w:val="Heading2"/>
      </w:pPr>
      <w:bookmarkStart w:id="270" w:name="_Toc371589029"/>
      <w:bookmarkStart w:id="271" w:name="_Toc373149091"/>
      <w:r w:rsidRPr="00E141F1">
        <w:t>Submarine cable protection</w:t>
      </w:r>
      <w:bookmarkEnd w:id="270"/>
      <w:bookmarkEnd w:id="271"/>
    </w:p>
    <w:p w:rsidR="001E6FB8" w:rsidRPr="00E141F1" w:rsidRDefault="001E6FB8" w:rsidP="001E6FB8">
      <w:pPr>
        <w:rPr>
          <w:rFonts w:cs="Arial"/>
        </w:rPr>
      </w:pPr>
      <w:r w:rsidRPr="00E141F1">
        <w:rPr>
          <w:rFonts w:cs="Arial"/>
        </w:rPr>
        <w:t>Australia currently has three submarine cable protection zones—two off the Sydney coast and one off the Perth coast. At present there are nine submarine cables connecting Australia to seven countries—Fiji, Guam, Indonesia, New Caledonia, New Zealand, Papua New Guinea and the United States.</w:t>
      </w:r>
    </w:p>
    <w:p w:rsidR="001E6FB8" w:rsidRPr="00E141F1" w:rsidRDefault="001E6FB8" w:rsidP="001E6FB8">
      <w:pPr>
        <w:rPr>
          <w:rFonts w:cs="Arial"/>
        </w:rPr>
      </w:pPr>
    </w:p>
    <w:p w:rsidR="001E6FB8" w:rsidRDefault="001E6FB8" w:rsidP="001E6FB8">
      <w:pPr>
        <w:spacing w:after="240"/>
      </w:pPr>
      <w:r w:rsidRPr="00E141F1">
        <w:t xml:space="preserve">In 2012–13, no installation permits (protection zone or non-protection zone) were granted, while one submarine cable non-protection zone application was received </w:t>
      </w:r>
      <w:r>
        <w:br/>
      </w:r>
      <w:r w:rsidRPr="00E141F1">
        <w:t>and is under consideration. One extension to a protection zone permit was granted by the ACMA on 13 June 2013. In 2011–12, two submarine cable installation permits were granted</w:t>
      </w:r>
      <w:r>
        <w:t>.</w:t>
      </w:r>
      <w:r w:rsidRPr="00E141F1">
        <w:t xml:space="preserve"> </w:t>
      </w:r>
    </w:p>
    <w:p w:rsidR="001E6FB8" w:rsidRPr="00E141F1" w:rsidRDefault="001E6FB8" w:rsidP="001E6FB8">
      <w:r w:rsidRPr="00E141F1">
        <w:t xml:space="preserve">In the reporting period, the ACMA has not considered any changes to the present submarine cable protection zones or declaring any new zones. </w:t>
      </w:r>
    </w:p>
    <w:p w:rsidR="001E6FB8" w:rsidRPr="00E141F1" w:rsidRDefault="001E6FB8" w:rsidP="001E6FB8"/>
    <w:p w:rsidR="001E6FB8" w:rsidRPr="00E141F1" w:rsidRDefault="001E6FB8" w:rsidP="001E6FB8">
      <w:pPr>
        <w:rPr>
          <w:highlight w:val="yellow"/>
        </w:rPr>
      </w:pPr>
      <w:r w:rsidRPr="00E141F1">
        <w:t>A number of submarine cable projects were reported by the media in 2012–13 and this may give rise to permit applications in the next year.</w:t>
      </w:r>
    </w:p>
    <w:p w:rsidR="001E6FB8" w:rsidRPr="00E141F1" w:rsidRDefault="001E6FB8" w:rsidP="001E6FB8">
      <w:pPr>
        <w:rPr>
          <w:highlight w:val="yellow"/>
        </w:rPr>
      </w:pPr>
    </w:p>
    <w:p w:rsidR="001E6FB8" w:rsidRPr="00E141F1" w:rsidRDefault="001E6FB8" w:rsidP="001E6FB8">
      <w:pPr>
        <w:pStyle w:val="Heading2"/>
      </w:pPr>
      <w:bookmarkStart w:id="272" w:name="_Toc371589030"/>
      <w:bookmarkStart w:id="273" w:name="_Toc373149092"/>
      <w:r w:rsidRPr="00E141F1">
        <w:t>Radiofrequency interference complaints</w:t>
      </w:r>
      <w:bookmarkEnd w:id="272"/>
      <w:bookmarkEnd w:id="273"/>
      <w:r w:rsidRPr="00E141F1">
        <w:t xml:space="preserve"> </w:t>
      </w:r>
    </w:p>
    <w:p w:rsidR="001E6FB8" w:rsidRPr="00E141F1" w:rsidRDefault="001E6FB8" w:rsidP="001E6FB8">
      <w:pPr>
        <w:rPr>
          <w:rFonts w:cs="Arial"/>
        </w:rPr>
      </w:pPr>
      <w:r w:rsidRPr="00E141F1">
        <w:rPr>
          <w:rFonts w:cs="Arial"/>
        </w:rPr>
        <w:t xml:space="preserve">Under the </w:t>
      </w:r>
      <w:proofErr w:type="spellStart"/>
      <w:r w:rsidRPr="00E141F1">
        <w:rPr>
          <w:rFonts w:cs="Arial"/>
          <w:i/>
        </w:rPr>
        <w:t>Radiocommunications</w:t>
      </w:r>
      <w:proofErr w:type="spellEnd"/>
      <w:r w:rsidRPr="00E141F1">
        <w:rPr>
          <w:rFonts w:cs="Arial"/>
          <w:i/>
        </w:rPr>
        <w:t xml:space="preserve"> Act 1992</w:t>
      </w:r>
      <w:r w:rsidRPr="00E141F1">
        <w:rPr>
          <w:rFonts w:cs="Arial"/>
        </w:rPr>
        <w:t xml:space="preserve"> (the </w:t>
      </w:r>
      <w:proofErr w:type="spellStart"/>
      <w:r w:rsidRPr="00E141F1">
        <w:rPr>
          <w:rFonts w:cs="Arial"/>
        </w:rPr>
        <w:t>Radiocommunications</w:t>
      </w:r>
      <w:proofErr w:type="spellEnd"/>
      <w:r w:rsidRPr="00E141F1">
        <w:rPr>
          <w:rFonts w:cs="Arial"/>
        </w:rPr>
        <w:t xml:space="preserve"> Act), the ACMA investigates complaints about radiofrequency interference to licensed </w:t>
      </w:r>
      <w:proofErr w:type="spellStart"/>
      <w:r w:rsidRPr="00E141F1">
        <w:rPr>
          <w:rFonts w:cs="Arial"/>
        </w:rPr>
        <w:t>radiocommunications</w:t>
      </w:r>
      <w:proofErr w:type="spellEnd"/>
      <w:r w:rsidRPr="00E141F1">
        <w:rPr>
          <w:rFonts w:cs="Arial"/>
        </w:rPr>
        <w:t xml:space="preserve"> equipment and services. Interference can be classified as either domestic systems or </w:t>
      </w:r>
      <w:proofErr w:type="spellStart"/>
      <w:r w:rsidRPr="00E141F1">
        <w:rPr>
          <w:rFonts w:cs="Arial"/>
        </w:rPr>
        <w:t>radiocommunications</w:t>
      </w:r>
      <w:proofErr w:type="spellEnd"/>
      <w:r w:rsidRPr="00E141F1">
        <w:rPr>
          <w:rFonts w:cs="Arial"/>
        </w:rPr>
        <w:t xml:space="preserve"> interference.</w:t>
      </w:r>
    </w:p>
    <w:p w:rsidR="001E6FB8" w:rsidRPr="00E141F1" w:rsidRDefault="001E6FB8" w:rsidP="001E6FB8">
      <w:pPr>
        <w:rPr>
          <w:rFonts w:cs="Arial"/>
        </w:rPr>
      </w:pPr>
    </w:p>
    <w:p w:rsidR="001E6FB8" w:rsidRPr="00E141F1" w:rsidRDefault="001E6FB8" w:rsidP="001E6FB8">
      <w:pPr>
        <w:pStyle w:val="Heading3"/>
      </w:pPr>
      <w:bookmarkStart w:id="274" w:name="_Toc287540171"/>
      <w:bookmarkStart w:id="275" w:name="_Toc308517196"/>
      <w:bookmarkStart w:id="276" w:name="_Toc308523638"/>
      <w:bookmarkStart w:id="277" w:name="_Toc312157152"/>
      <w:bookmarkStart w:id="278" w:name="_Toc341428352"/>
      <w:bookmarkStart w:id="279" w:name="_Toc371589031"/>
      <w:bookmarkStart w:id="280" w:name="_Toc373149093"/>
      <w:r w:rsidRPr="00E141F1">
        <w:t>Domestic systems interference</w:t>
      </w:r>
      <w:bookmarkEnd w:id="274"/>
      <w:bookmarkEnd w:id="275"/>
      <w:bookmarkEnd w:id="276"/>
      <w:bookmarkEnd w:id="277"/>
      <w:bookmarkEnd w:id="278"/>
      <w:bookmarkEnd w:id="279"/>
      <w:bookmarkEnd w:id="280"/>
    </w:p>
    <w:p w:rsidR="001E6FB8" w:rsidRPr="00E141F1" w:rsidRDefault="001E6FB8" w:rsidP="001E6FB8">
      <w:pPr>
        <w:rPr>
          <w:rFonts w:cs="Arial"/>
        </w:rPr>
      </w:pPr>
      <w:r w:rsidRPr="00E141F1">
        <w:rPr>
          <w:rFonts w:cs="Arial"/>
        </w:rPr>
        <w:t xml:space="preserve">Domestic systems interference (DSI) refers to interference to the reception of radio or television broadcasting, usually in domestic premises. It also encompasses audio interference caused by nearby radio transmitters, such as those used by citizen band or amateur radio operators, or from other radio services with a transmitter located nearby.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During 2012–13, complaints of interference to terrestrial digital television services continued to outnumber other DSI complaints. Masthead and distribution amplifiers (associated with television antenna installations) and household equipment (excluding computers) continues to be the major contributing sources of DSI.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Fourteen per cent of DSI complaints required compliance action by the ACMA in 2012–13 (Figure 2.3)</w:t>
      </w:r>
      <w:r>
        <w:rPr>
          <w:rFonts w:cs="Arial"/>
        </w:rPr>
        <w:t>.</w:t>
      </w:r>
      <w:r w:rsidRPr="00E141F1">
        <w:rPr>
          <w:rFonts w:cs="Arial"/>
        </w:rPr>
        <w:t xml:space="preserve"> The remainder were resolved without requiring compliance action.</w:t>
      </w:r>
    </w:p>
    <w:p w:rsidR="001E6FB8" w:rsidRPr="00E141F1" w:rsidRDefault="001E6FB8" w:rsidP="001E6FB8">
      <w:pPr>
        <w:rPr>
          <w:rFonts w:cs="Arial"/>
          <w:highlight w:val="yellow"/>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bookmarkStart w:id="281" w:name="_Ref303591896"/>
            <w:r w:rsidRPr="00E141F1">
              <w:rPr>
                <w:rFonts w:cs="Arial"/>
              </w:rPr>
              <w:t>Figure 2.</w:t>
            </w:r>
            <w:bookmarkEnd w:id="281"/>
            <w:r>
              <w:rPr>
                <w:rFonts w:cs="Arial"/>
              </w:rPr>
              <w:t>3</w:t>
            </w:r>
            <w:r w:rsidRPr="00E141F1">
              <w:rPr>
                <w:rFonts w:cs="Arial"/>
              </w:rPr>
              <w:t xml:space="preserve"> Domestic systems interference complaints and compliance actions</w:t>
            </w:r>
          </w:p>
        </w:tc>
      </w:tr>
      <w:tr w:rsidR="001E6FB8" w:rsidRPr="00E141F1" w:rsidTr="001E6FB8">
        <w:trPr>
          <w:trHeight w:val="142"/>
        </w:trPr>
        <w:tc>
          <w:tcPr>
            <w:tcW w:w="9645" w:type="dxa"/>
            <w:shd w:val="clear" w:color="auto" w:fill="auto"/>
            <w:tcMar>
              <w:left w:w="28" w:type="dxa"/>
            </w:tcMar>
          </w:tcPr>
          <w:p w:rsidR="001E6FB8" w:rsidRPr="00E141F1" w:rsidRDefault="001E6FB8" w:rsidP="001E6FB8">
            <w:pPr>
              <w:rPr>
                <w:rFonts w:cs="Arial"/>
              </w:rPr>
            </w:pPr>
            <w:r w:rsidRPr="00305713">
              <w:rPr>
                <w:rFonts w:cs="Arial"/>
                <w:noProof/>
              </w:rPr>
              <w:drawing>
                <wp:inline distT="0" distB="0" distL="0" distR="0">
                  <wp:extent cx="5655365" cy="2335695"/>
                  <wp:effectExtent l="0" t="0" r="0" b="0"/>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1E6FB8" w:rsidRPr="00E141F1" w:rsidTr="001E6FB8">
        <w:trPr>
          <w:trHeight w:val="62"/>
        </w:trPr>
        <w:tc>
          <w:tcPr>
            <w:tcW w:w="9645" w:type="dxa"/>
            <w:tcBorders>
              <w:bottom w:val="single" w:sz="2" w:space="0" w:color="505050"/>
            </w:tcBorders>
            <w:shd w:val="clear" w:color="auto" w:fill="auto"/>
          </w:tcPr>
          <w:p w:rsidR="001E6FB8" w:rsidRPr="00E141F1" w:rsidRDefault="001E6FB8" w:rsidP="001E6FB8">
            <w:pPr>
              <w:keepNext/>
              <w:widowControl w:val="0"/>
              <w:spacing w:after="60"/>
              <w:outlineLvl w:val="0"/>
              <w:rPr>
                <w:rFonts w:cs="Arial"/>
                <w:sz w:val="16"/>
                <w:szCs w:val="16"/>
              </w:rPr>
            </w:pPr>
            <w:bookmarkStart w:id="282" w:name="_Toc308517197"/>
            <w:r w:rsidRPr="00E141F1">
              <w:rPr>
                <w:rFonts w:cs="Arial"/>
                <w:i/>
                <w:sz w:val="16"/>
                <w:szCs w:val="16"/>
              </w:rPr>
              <w:t>Source: Domestic system interference complaints to the ACMA.</w:t>
            </w:r>
            <w:bookmarkEnd w:id="282"/>
          </w:p>
        </w:tc>
      </w:tr>
    </w:tbl>
    <w:p w:rsidR="001E6FB8" w:rsidRPr="00E141F1" w:rsidRDefault="001E6FB8" w:rsidP="001E6FB8">
      <w:pPr>
        <w:rPr>
          <w:rFonts w:cs="Arial"/>
          <w:highlight w:val="yellow"/>
        </w:rPr>
      </w:pPr>
    </w:p>
    <w:p w:rsidR="001E6FB8" w:rsidRPr="00E141F1" w:rsidRDefault="001E6FB8" w:rsidP="001E6FB8">
      <w:pPr>
        <w:pStyle w:val="Heading3"/>
      </w:pPr>
      <w:bookmarkStart w:id="283" w:name="_Toc371589032"/>
      <w:bookmarkStart w:id="284" w:name="_Toc373149094"/>
      <w:proofErr w:type="spellStart"/>
      <w:r w:rsidRPr="00E141F1">
        <w:t>Radiocommunications</w:t>
      </w:r>
      <w:proofErr w:type="spellEnd"/>
      <w:r w:rsidRPr="00E141F1">
        <w:t xml:space="preserve"> interference</w:t>
      </w:r>
      <w:bookmarkEnd w:id="283"/>
      <w:bookmarkEnd w:id="284"/>
    </w:p>
    <w:p w:rsidR="001E6FB8" w:rsidRPr="00E141F1" w:rsidRDefault="001E6FB8" w:rsidP="001E6FB8">
      <w:pPr>
        <w:rPr>
          <w:rFonts w:cs="Arial"/>
        </w:rPr>
      </w:pPr>
      <w:proofErr w:type="spellStart"/>
      <w:r w:rsidRPr="00E141F1">
        <w:rPr>
          <w:rFonts w:cs="Arial"/>
        </w:rPr>
        <w:t>Radiocommunications</w:t>
      </w:r>
      <w:proofErr w:type="spellEnd"/>
      <w:r w:rsidRPr="00E141F1">
        <w:rPr>
          <w:rFonts w:cs="Arial"/>
        </w:rPr>
        <w:t xml:space="preserve"> interference (RCI) is interference affecting a </w:t>
      </w:r>
      <w:proofErr w:type="spellStart"/>
      <w:r w:rsidRPr="00E141F1">
        <w:rPr>
          <w:rFonts w:cs="Arial"/>
        </w:rPr>
        <w:t>radiocommunications</w:t>
      </w:r>
      <w:proofErr w:type="spellEnd"/>
      <w:r w:rsidRPr="00E141F1">
        <w:rPr>
          <w:rFonts w:cs="Arial"/>
        </w:rPr>
        <w:t xml:space="preserve"> receiver used for non-broadcasting purposes such as public safety, commercial and recreational services.</w:t>
      </w:r>
    </w:p>
    <w:p w:rsidR="001E6FB8" w:rsidRPr="00E141F1" w:rsidRDefault="001E6FB8" w:rsidP="001E6FB8">
      <w:pPr>
        <w:rPr>
          <w:rFonts w:cs="Arial"/>
        </w:rPr>
      </w:pPr>
    </w:p>
    <w:p w:rsidR="001E6FB8" w:rsidRDefault="001E6FB8" w:rsidP="001E6FB8">
      <w:pPr>
        <w:rPr>
          <w:rFonts w:cs="Arial"/>
        </w:rPr>
      </w:pPr>
      <w:r w:rsidRPr="00E141F1">
        <w:rPr>
          <w:rFonts w:cs="Arial"/>
        </w:rPr>
        <w:t xml:space="preserve">During 2012–13, mobile telephone services continued to be more affected by interference than any other type of service.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number of complaints received during 2012–13 was 17 per cent higher than complaints received in 2011–12 (Figure 2.4). </w:t>
      </w:r>
      <w:proofErr w:type="spellStart"/>
      <w:r w:rsidRPr="00E141F1">
        <w:rPr>
          <w:rFonts w:cs="Arial"/>
        </w:rPr>
        <w:t>Radiocommunications</w:t>
      </w:r>
      <w:proofErr w:type="spellEnd"/>
      <w:r w:rsidRPr="00E141F1">
        <w:rPr>
          <w:rFonts w:cs="Arial"/>
        </w:rPr>
        <w:t xml:space="preserve"> transmitters continue to be the significant source of interference. During the reporting period, there was an increase in compliance actions involving issuing advice and warning notices. In general, these compliance actions were effective and required no further action. One matter was referred to the Commonwealth Director of Public Prosecutions.</w:t>
      </w:r>
      <w:bookmarkStart w:id="285" w:name="_GoBack"/>
      <w:bookmarkEnd w:id="285"/>
    </w:p>
    <w:p w:rsidR="001E6FB8" w:rsidRPr="00E141F1" w:rsidRDefault="001E6FB8" w:rsidP="001E6FB8">
      <w:pPr>
        <w:rPr>
          <w:rFonts w:cs="Arial"/>
          <w:highlight w:val="yellow"/>
        </w:rPr>
      </w:pPr>
    </w:p>
    <w:tbl>
      <w:tblPr>
        <w:tblW w:w="9240" w:type="dxa"/>
        <w:tblLayout w:type="fixed"/>
        <w:tblCellMar>
          <w:left w:w="0" w:type="dxa"/>
          <w:right w:w="0" w:type="dxa"/>
        </w:tblCellMar>
        <w:tblLook w:val="01E0"/>
      </w:tblPr>
      <w:tblGrid>
        <w:gridCol w:w="9240"/>
      </w:tblGrid>
      <w:tr w:rsidR="001E6FB8" w:rsidRPr="00E141F1" w:rsidTr="001E6FB8">
        <w:trPr>
          <w:trHeight w:val="407"/>
        </w:trPr>
        <w:tc>
          <w:tcPr>
            <w:tcW w:w="9240" w:type="dxa"/>
            <w:tcBorders>
              <w:top w:val="single" w:sz="2" w:space="0" w:color="505050"/>
            </w:tcBorders>
            <w:shd w:val="clear" w:color="auto" w:fill="auto"/>
            <w:vAlign w:val="center"/>
          </w:tcPr>
          <w:p w:rsidR="001E6FB8" w:rsidRPr="00E141F1" w:rsidRDefault="001E6FB8" w:rsidP="001E6FB8">
            <w:pPr>
              <w:pStyle w:val="Caption"/>
              <w:keepNext/>
              <w:rPr>
                <w:rFonts w:cs="Arial"/>
              </w:rPr>
            </w:pPr>
            <w:bookmarkStart w:id="286" w:name="_Ref303592368"/>
            <w:r w:rsidRPr="00E141F1">
              <w:rPr>
                <w:rFonts w:cs="Arial"/>
              </w:rPr>
              <w:t>Figure 2.</w:t>
            </w:r>
            <w:bookmarkEnd w:id="286"/>
            <w:r>
              <w:rPr>
                <w:rFonts w:cs="Arial"/>
              </w:rPr>
              <w:t>4</w:t>
            </w:r>
            <w:r w:rsidRPr="00E141F1">
              <w:rPr>
                <w:rFonts w:cs="Arial"/>
              </w:rPr>
              <w:t xml:space="preserve"> </w:t>
            </w:r>
            <w:proofErr w:type="spellStart"/>
            <w:r w:rsidRPr="00E141F1">
              <w:rPr>
                <w:rFonts w:cs="Arial"/>
              </w:rPr>
              <w:t>Radiocommunications</w:t>
            </w:r>
            <w:proofErr w:type="spellEnd"/>
            <w:r w:rsidRPr="00E141F1">
              <w:rPr>
                <w:rFonts w:cs="Arial"/>
              </w:rPr>
              <w:t xml:space="preserve"> interference complaints and compliance actions</w:t>
            </w:r>
          </w:p>
        </w:tc>
      </w:tr>
      <w:tr w:rsidR="001E6FB8" w:rsidRPr="00E141F1" w:rsidTr="001E6FB8">
        <w:trPr>
          <w:trHeight w:val="2208"/>
        </w:trPr>
        <w:tc>
          <w:tcPr>
            <w:tcW w:w="9240" w:type="dxa"/>
            <w:shd w:val="clear" w:color="auto" w:fill="auto"/>
            <w:tcMar>
              <w:left w:w="28" w:type="dxa"/>
            </w:tcMar>
          </w:tcPr>
          <w:p w:rsidR="001E6FB8" w:rsidRPr="00E141F1" w:rsidRDefault="001E6FB8" w:rsidP="001E6FB8">
            <w:pPr>
              <w:rPr>
                <w:rFonts w:cs="Arial"/>
              </w:rPr>
            </w:pPr>
            <w:r w:rsidRPr="00E141F1" w:rsidDel="00556FB1">
              <w:rPr>
                <w:rFonts w:cs="Arial"/>
              </w:rPr>
              <w:t xml:space="preserve"> </w:t>
            </w:r>
            <w:r w:rsidRPr="005D1E63">
              <w:rPr>
                <w:rFonts w:cs="Arial"/>
                <w:noProof/>
              </w:rPr>
              <w:drawing>
                <wp:inline distT="0" distB="0" distL="0" distR="0">
                  <wp:extent cx="5575853" cy="2743200"/>
                  <wp:effectExtent l="0" t="0" r="0" b="0"/>
                  <wp:docPr id="16"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1E6FB8" w:rsidRPr="00E141F1" w:rsidTr="001E6FB8">
        <w:trPr>
          <w:trHeight w:val="209"/>
        </w:trPr>
        <w:tc>
          <w:tcPr>
            <w:tcW w:w="9240" w:type="dxa"/>
            <w:tcBorders>
              <w:bottom w:val="single" w:sz="2" w:space="0" w:color="505050"/>
            </w:tcBorders>
            <w:shd w:val="clear" w:color="auto" w:fill="auto"/>
          </w:tcPr>
          <w:p w:rsidR="001E6FB8" w:rsidRPr="00E141F1" w:rsidRDefault="001E6FB8" w:rsidP="001E6FB8">
            <w:pPr>
              <w:keepNext/>
              <w:widowControl w:val="0"/>
              <w:spacing w:line="240" w:lineRule="auto"/>
              <w:outlineLvl w:val="0"/>
              <w:rPr>
                <w:rFonts w:cs="Arial"/>
                <w:color w:val="000000" w:themeColor="text1"/>
                <w:sz w:val="16"/>
                <w:szCs w:val="16"/>
              </w:rPr>
            </w:pPr>
            <w:r w:rsidRPr="00E141F1">
              <w:rPr>
                <w:rFonts w:cs="Arial"/>
                <w:color w:val="000000" w:themeColor="text1"/>
                <w:sz w:val="16"/>
                <w:szCs w:val="16"/>
              </w:rPr>
              <w:t xml:space="preserve">Note: </w:t>
            </w:r>
            <w:r w:rsidRPr="00E141F1">
              <w:rPr>
                <w:rFonts w:cs="Arial"/>
                <w:i/>
                <w:color w:val="000000" w:themeColor="text1"/>
                <w:sz w:val="16"/>
                <w:szCs w:val="16"/>
              </w:rPr>
              <w:t xml:space="preserve">Not every complaint requires a compliance action as the complaint may not exist or is fixed immediately on the spot. </w:t>
            </w:r>
            <w:r>
              <w:rPr>
                <w:rFonts w:cs="Arial"/>
                <w:i/>
                <w:color w:val="000000" w:themeColor="text1"/>
                <w:sz w:val="16"/>
                <w:szCs w:val="16"/>
              </w:rPr>
              <w:br/>
            </w:r>
            <w:r w:rsidRPr="00E141F1">
              <w:rPr>
                <w:rFonts w:cs="Arial"/>
                <w:i/>
                <w:color w:val="000000" w:themeColor="text1"/>
                <w:sz w:val="16"/>
                <w:szCs w:val="16"/>
              </w:rPr>
              <w:t>Only the more serious complaints involve a compliance action.</w:t>
            </w:r>
          </w:p>
          <w:p w:rsidR="001E6FB8" w:rsidRPr="00E141F1" w:rsidRDefault="001E6FB8" w:rsidP="001E6FB8">
            <w:pPr>
              <w:keepNext/>
              <w:widowControl w:val="0"/>
              <w:spacing w:after="60" w:line="240" w:lineRule="auto"/>
              <w:outlineLvl w:val="0"/>
              <w:rPr>
                <w:rFonts w:cs="Arial"/>
                <w:i/>
                <w:sz w:val="16"/>
                <w:szCs w:val="16"/>
              </w:rPr>
            </w:pPr>
            <w:r w:rsidRPr="00E141F1">
              <w:rPr>
                <w:rFonts w:cs="Arial"/>
                <w:i/>
                <w:sz w:val="16"/>
                <w:szCs w:val="16"/>
              </w:rPr>
              <w:t>Source: The ACMA.</w:t>
            </w:r>
          </w:p>
        </w:tc>
      </w:tr>
      <w:bookmarkEnd w:id="224"/>
    </w:tbl>
    <w:p w:rsidR="001E6FB8" w:rsidRPr="00E141F1" w:rsidRDefault="001E6FB8" w:rsidP="001E6FB8">
      <w:pPr>
        <w:rPr>
          <w:rFonts w:cs="Arial"/>
          <w:highlight w:val="yellow"/>
        </w:rPr>
      </w:pPr>
    </w:p>
    <w:p w:rsidR="001E6FB8" w:rsidRDefault="001E6FB8" w:rsidP="001E6FB8">
      <w:pPr>
        <w:rPr>
          <w:rFonts w:cs="Arial"/>
        </w:rPr>
      </w:pPr>
      <w:r w:rsidRPr="00E141F1">
        <w:rPr>
          <w:rFonts w:cs="Arial"/>
        </w:rPr>
        <w:t xml:space="preserve">Further information, including the number and type of affected services, sources of interference, cause and remedies and ACMA enforcement actions is available on the ACMA’s website </w:t>
      </w:r>
      <w:hyperlink r:id="rId64" w:history="1">
        <w:r w:rsidR="00DC1ED0">
          <w:rPr>
            <w:rStyle w:val="Hyperlink"/>
            <w:rFonts w:cs="Arial"/>
          </w:rPr>
          <w:t>www.acma.gov.au</w:t>
        </w:r>
      </w:hyperlink>
      <w:r w:rsidRPr="00E141F1">
        <w:rPr>
          <w:rFonts w:cs="Arial"/>
        </w:rPr>
        <w:t>.</w:t>
      </w:r>
    </w:p>
    <w:p w:rsidR="001E6FB8" w:rsidRDefault="001E6FB8" w:rsidP="001E6FB8">
      <w:pPr>
        <w:rPr>
          <w:rFonts w:cs="Arial"/>
        </w:rPr>
      </w:pPr>
    </w:p>
    <w:p w:rsidR="001E6FB8" w:rsidRDefault="001E6FB8" w:rsidP="001E6FB8">
      <w:pPr>
        <w:rPr>
          <w:rFonts w:cs="Arial"/>
        </w:rPr>
      </w:pPr>
    </w:p>
    <w:p w:rsidR="001E6FB8" w:rsidRDefault="001E6FB8" w:rsidP="001E6FB8">
      <w:pPr>
        <w:rPr>
          <w:rFonts w:cs="Arial"/>
          <w:color w:val="1F497D"/>
        </w:rPr>
        <w:sectPr w:rsidR="001E6FB8" w:rsidSect="001E6FB8">
          <w:endnotePr>
            <w:numFmt w:val="decimal"/>
            <w:numRestart w:val="eachSect"/>
          </w:endnotePr>
          <w:pgSz w:w="11906" w:h="16838" w:code="9"/>
          <w:pgMar w:top="1945" w:right="3101" w:bottom="868" w:left="1134" w:header="709" w:footer="119" w:gutter="0"/>
          <w:cols w:space="708"/>
          <w:docGrid w:linePitch="360"/>
        </w:sectPr>
      </w:pPr>
    </w:p>
    <w:p w:rsidR="001E6FB8" w:rsidRPr="00E141F1" w:rsidRDefault="001E6FB8" w:rsidP="001E6FB8">
      <w:pPr>
        <w:pStyle w:val="Heading1"/>
      </w:pPr>
      <w:bookmarkStart w:id="287" w:name="_Toc312157154"/>
      <w:bookmarkStart w:id="288" w:name="_Toc371589033"/>
      <w:bookmarkStart w:id="289" w:name="_Toc373149095"/>
      <w:r w:rsidRPr="00E141F1">
        <w:t>Chapter 3</w:t>
      </w:r>
      <w:r w:rsidRPr="00E141F1">
        <w:br/>
        <w:t xml:space="preserve">Telecommunications </w:t>
      </w:r>
      <w:r>
        <w:br/>
      </w:r>
      <w:r w:rsidRPr="00E141F1">
        <w:t xml:space="preserve">consumer safeguards </w:t>
      </w:r>
      <w:r>
        <w:br/>
      </w:r>
      <w:r w:rsidRPr="00E141F1">
        <w:t>and quality of service</w:t>
      </w:r>
      <w:bookmarkEnd w:id="287"/>
      <w:bookmarkEnd w:id="288"/>
      <w:bookmarkEnd w:id="289"/>
      <w:r>
        <w:t xml:space="preserve"> </w:t>
      </w:r>
    </w:p>
    <w:p w:rsidR="001E6FB8" w:rsidRPr="00E141F1" w:rsidRDefault="001E6FB8" w:rsidP="001E6FB8">
      <w:pPr>
        <w:pStyle w:val="Heading2"/>
      </w:pPr>
      <w:bookmarkStart w:id="290" w:name="_Toc308517277"/>
      <w:bookmarkStart w:id="291" w:name="_Toc308523717"/>
      <w:bookmarkStart w:id="292" w:name="_Toc312157233"/>
      <w:bookmarkStart w:id="293" w:name="_Toc371589034"/>
      <w:bookmarkStart w:id="294" w:name="_Toc373149096"/>
      <w:r w:rsidRPr="00E141F1">
        <w:t>Overview</w:t>
      </w:r>
      <w:bookmarkEnd w:id="290"/>
      <w:bookmarkEnd w:id="291"/>
      <w:bookmarkEnd w:id="292"/>
      <w:bookmarkEnd w:id="293"/>
      <w:bookmarkEnd w:id="294"/>
    </w:p>
    <w:p w:rsidR="001E6FB8" w:rsidRPr="00E141F1" w:rsidRDefault="001E6FB8" w:rsidP="001E6FB8">
      <w:pPr>
        <w:spacing w:line="240" w:lineRule="auto"/>
        <w:rPr>
          <w:rFonts w:cs="Arial"/>
        </w:rPr>
      </w:pPr>
      <w:r w:rsidRPr="00E141F1">
        <w:rPr>
          <w:rFonts w:cs="Arial"/>
        </w:rPr>
        <w:t xml:space="preserve">Chapter 3 presents analysis and information about the telecommunications industry’s performance in meeting key regulatory obligations. Areas of compliance examined within this chapter relate to each of the following: the Telecommunications (Customer Service Guarantee) Standard 2011 (CSG Standard); the Network Reliability Framework (NRF); priority assistance; number portability and telemarketing and spam investigations. Industry compliance with telecommunications codes, trends in </w:t>
      </w:r>
      <w:r>
        <w:rPr>
          <w:rFonts w:cs="Arial"/>
        </w:rPr>
        <w:t xml:space="preserve">TIO </w:t>
      </w:r>
      <w:r w:rsidRPr="00E141F1">
        <w:rPr>
          <w:rFonts w:cs="Arial"/>
        </w:rPr>
        <w:t>complaints and the ACMA’s consumer satisfaction research are also examined.</w:t>
      </w:r>
    </w:p>
    <w:p w:rsidR="001E6FB8" w:rsidRDefault="001E6FB8" w:rsidP="001E6FB8"/>
    <w:p w:rsidR="001E6FB8" w:rsidRDefault="001E6FB8" w:rsidP="001E6FB8">
      <w:pPr>
        <w:spacing w:after="80"/>
        <w:rPr>
          <w:rFonts w:cs="Arial"/>
        </w:rPr>
      </w:pPr>
      <w:r w:rsidRPr="00E141F1">
        <w:rPr>
          <w:rFonts w:cs="Arial"/>
        </w:rPr>
        <w:t>Key developments in relation to these matters during 2012–13 included:</w:t>
      </w:r>
    </w:p>
    <w:p w:rsidR="001E6FB8" w:rsidRPr="00E141F1" w:rsidRDefault="001E6FB8" w:rsidP="001E6FB8">
      <w:pPr>
        <w:pStyle w:val="ListBullet"/>
        <w:rPr>
          <w:rFonts w:cs="Arial"/>
        </w:rPr>
      </w:pPr>
      <w:r w:rsidRPr="00E141F1">
        <w:rPr>
          <w:rFonts w:cs="Arial"/>
        </w:rPr>
        <w:t>declines in the total number of payphones and the number of fixed-line services</w:t>
      </w:r>
      <w:r>
        <w:rPr>
          <w:rFonts w:cs="Arial"/>
        </w:rPr>
        <w:t xml:space="preserve"> covered by the CSG Standard</w:t>
      </w:r>
      <w:r w:rsidRPr="00E141F1">
        <w:rPr>
          <w:rFonts w:cs="Arial"/>
        </w:rPr>
        <w:t xml:space="preserve"> </w:t>
      </w:r>
    </w:p>
    <w:p w:rsidR="001E6FB8" w:rsidRPr="00E141F1" w:rsidRDefault="001E6FB8" w:rsidP="001E6FB8">
      <w:pPr>
        <w:pStyle w:val="ListBullet"/>
        <w:rPr>
          <w:rFonts w:cs="Arial"/>
        </w:rPr>
      </w:pPr>
      <w:r w:rsidRPr="00E141F1">
        <w:rPr>
          <w:rFonts w:cs="Arial"/>
        </w:rPr>
        <w:t>increase in the number of occasions where customers waived their rights under the CSG Standard (</w:t>
      </w:r>
      <w:proofErr w:type="spellStart"/>
      <w:r w:rsidRPr="00E141F1">
        <w:rPr>
          <w:rFonts w:cs="Arial"/>
        </w:rPr>
        <w:t>iiNet</w:t>
      </w:r>
      <w:proofErr w:type="spellEnd"/>
      <w:r w:rsidRPr="00E141F1">
        <w:rPr>
          <w:rFonts w:cs="Arial"/>
        </w:rPr>
        <w:t xml:space="preserve"> received a majority of these waivers)</w:t>
      </w:r>
    </w:p>
    <w:p w:rsidR="001E6FB8" w:rsidRPr="00E141F1" w:rsidRDefault="001E6FB8" w:rsidP="001E6FB8">
      <w:pPr>
        <w:pStyle w:val="ListBullet"/>
        <w:rPr>
          <w:rFonts w:cs="Arial"/>
        </w:rPr>
      </w:pPr>
      <w:r w:rsidRPr="00E141F1">
        <w:rPr>
          <w:rFonts w:cs="Arial"/>
        </w:rPr>
        <w:t>increase in the amount of compensation payments to customers as a result of failing to meet CSG Standard time frames</w:t>
      </w:r>
    </w:p>
    <w:p w:rsidR="001E6FB8" w:rsidRPr="00E141F1" w:rsidRDefault="001E6FB8" w:rsidP="001E6FB8">
      <w:pPr>
        <w:pStyle w:val="ListBullet"/>
        <w:rPr>
          <w:rFonts w:cs="Arial"/>
        </w:rPr>
      </w:pPr>
      <w:r w:rsidRPr="00E141F1">
        <w:rPr>
          <w:rFonts w:cs="Arial"/>
        </w:rPr>
        <w:t xml:space="preserve">major carriers meeting </w:t>
      </w:r>
      <w:r>
        <w:rPr>
          <w:rFonts w:cs="Arial"/>
        </w:rPr>
        <w:t>CSG Standard</w:t>
      </w:r>
      <w:r w:rsidRPr="00E141F1">
        <w:rPr>
          <w:rFonts w:cs="Arial"/>
        </w:rPr>
        <w:t xml:space="preserve"> time frames for new service connections in </w:t>
      </w:r>
      <w:r>
        <w:rPr>
          <w:rFonts w:cs="Arial"/>
        </w:rPr>
        <w:t>most</w:t>
      </w:r>
      <w:r w:rsidRPr="00E141F1">
        <w:rPr>
          <w:rFonts w:cs="Arial"/>
        </w:rPr>
        <w:t xml:space="preserve"> cases</w:t>
      </w:r>
    </w:p>
    <w:p w:rsidR="001E6FB8" w:rsidRPr="00E141F1" w:rsidRDefault="001E6FB8" w:rsidP="001E6FB8">
      <w:pPr>
        <w:pStyle w:val="ListBullet"/>
        <w:rPr>
          <w:rFonts w:cs="Arial"/>
        </w:rPr>
      </w:pPr>
      <w:r w:rsidRPr="00E141F1">
        <w:rPr>
          <w:rFonts w:cs="Arial"/>
        </w:rPr>
        <w:t>an increase in the number of local numbers ported and a decline in the number of mobile numbers ported</w:t>
      </w:r>
    </w:p>
    <w:p w:rsidR="001E6FB8" w:rsidRPr="00E141F1" w:rsidRDefault="001E6FB8" w:rsidP="001E6FB8">
      <w:pPr>
        <w:pStyle w:val="ListBullet"/>
        <w:rPr>
          <w:rFonts w:cs="Arial"/>
        </w:rPr>
      </w:pPr>
      <w:r w:rsidRPr="00E141F1">
        <w:rPr>
          <w:rFonts w:cs="Arial"/>
        </w:rPr>
        <w:t xml:space="preserve">an increase in the number of participants on the </w:t>
      </w:r>
      <w:r>
        <w:rPr>
          <w:rFonts w:cs="Arial"/>
        </w:rPr>
        <w:t>DNCR</w:t>
      </w:r>
    </w:p>
    <w:p w:rsidR="001E6FB8" w:rsidRPr="00E141F1" w:rsidRDefault="001E6FB8" w:rsidP="001E6FB8">
      <w:pPr>
        <w:pStyle w:val="ListBullet"/>
        <w:rPr>
          <w:rFonts w:cs="Arial"/>
        </w:rPr>
      </w:pPr>
      <w:r w:rsidRPr="00E141F1">
        <w:rPr>
          <w:rFonts w:cs="Arial"/>
        </w:rPr>
        <w:t>a decline in the average number of automated daily reports provided to ISPs about infected computing devices residing on their networks</w:t>
      </w:r>
    </w:p>
    <w:p w:rsidR="001E6FB8" w:rsidRPr="00C20E10" w:rsidRDefault="001E6FB8" w:rsidP="001E6FB8">
      <w:pPr>
        <w:pStyle w:val="ListBullet"/>
        <w:rPr>
          <w:rFonts w:cs="Arial"/>
        </w:rPr>
      </w:pPr>
      <w:r w:rsidRPr="00C20E10">
        <w:rPr>
          <w:rFonts w:cs="Arial"/>
        </w:rPr>
        <w:t>a decline in complaints to the ACMA regarding potential breaches of the</w:t>
      </w:r>
      <w:r>
        <w:rPr>
          <w:rFonts w:cs="Arial"/>
        </w:rPr>
        <w:t xml:space="preserve"> DNCR Act and </w:t>
      </w:r>
      <w:r w:rsidRPr="00C20E10">
        <w:rPr>
          <w:rFonts w:cs="Arial"/>
        </w:rPr>
        <w:t>a decline in complaints to the TIO</w:t>
      </w:r>
    </w:p>
    <w:p w:rsidR="001E6FB8" w:rsidRPr="00E141F1" w:rsidRDefault="001E6FB8" w:rsidP="001E6FB8">
      <w:pPr>
        <w:pStyle w:val="ListBullet"/>
        <w:spacing w:after="240"/>
        <w:rPr>
          <w:rFonts w:cs="Arial"/>
        </w:rPr>
      </w:pPr>
      <w:r w:rsidRPr="00E141F1">
        <w:rPr>
          <w:rFonts w:cs="Arial"/>
        </w:rPr>
        <w:t xml:space="preserve">overall satisfaction levels </w:t>
      </w:r>
      <w:r>
        <w:rPr>
          <w:rFonts w:cs="Arial"/>
        </w:rPr>
        <w:t xml:space="preserve">were marginally </w:t>
      </w:r>
      <w:r w:rsidRPr="00E141F1">
        <w:rPr>
          <w:rFonts w:cs="Arial"/>
        </w:rPr>
        <w:t>higher for fixed-line telephone and internet users than mobile phone and VoIP users.</w:t>
      </w:r>
    </w:p>
    <w:p w:rsidR="001E6FB8" w:rsidRPr="00E141F1" w:rsidRDefault="001E6FB8" w:rsidP="001E6FB8">
      <w:pPr>
        <w:pStyle w:val="Heading2"/>
      </w:pPr>
      <w:bookmarkStart w:id="295" w:name="_Toc371589035"/>
      <w:bookmarkStart w:id="296" w:name="_Toc373149097"/>
      <w:r w:rsidRPr="00E141F1">
        <w:t>Fixed-line consumer safeguards</w:t>
      </w:r>
      <w:bookmarkEnd w:id="295"/>
      <w:bookmarkEnd w:id="296"/>
    </w:p>
    <w:p w:rsidR="001E6FB8" w:rsidRPr="00E141F1" w:rsidRDefault="001E6FB8" w:rsidP="001E6FB8">
      <w:pPr>
        <w:rPr>
          <w:rFonts w:cs="Arial"/>
        </w:rPr>
      </w:pPr>
      <w:r w:rsidRPr="00E141F1">
        <w:rPr>
          <w:rFonts w:cs="Arial"/>
        </w:rPr>
        <w:t>Amendments to telecommunications legislation during 2010 introduced new powers. They included strengthening the protections offered by the Universal Service Obligation (USO) and the customer service guarantee (CSG), to enable the ACMA to continue to protect consumers in the transition to the NBN, to maintain and improve service quality and to ensure continued access to basic voice services.</w:t>
      </w:r>
    </w:p>
    <w:p w:rsidR="001E6FB8" w:rsidRPr="00E141F1" w:rsidRDefault="001E6FB8" w:rsidP="001E6FB8">
      <w:pPr>
        <w:rPr>
          <w:rFonts w:cs="Arial"/>
        </w:rPr>
      </w:pPr>
    </w:p>
    <w:p w:rsidR="001E6FB8" w:rsidRPr="00E141F1" w:rsidRDefault="001E6FB8" w:rsidP="001E6FB8">
      <w:pPr>
        <w:spacing w:after="240"/>
        <w:rPr>
          <w:rFonts w:cs="Arial"/>
          <w:color w:val="000000" w:themeColor="text1"/>
        </w:rPr>
      </w:pPr>
      <w:r w:rsidRPr="00E141F1">
        <w:rPr>
          <w:rFonts w:cs="Arial"/>
          <w:color w:val="000000" w:themeColor="text1"/>
        </w:rPr>
        <w:t>In the previous reporting period, the CSG performance reporting was consistent with the approach applied previously, rather than fully reflecting the new benchmark obligations</w:t>
      </w:r>
      <w:r>
        <w:rPr>
          <w:rFonts w:cs="Arial"/>
          <w:color w:val="000000" w:themeColor="text1"/>
        </w:rPr>
        <w:t>—</w:t>
      </w:r>
      <w:r w:rsidRPr="00E141F1">
        <w:rPr>
          <w:rFonts w:cs="Arial"/>
          <w:color w:val="000000" w:themeColor="text1"/>
        </w:rPr>
        <w:t xml:space="preserve">for reasons outlined in the </w:t>
      </w:r>
      <w:r w:rsidRPr="00CE4219">
        <w:rPr>
          <w:rFonts w:cs="Arial"/>
          <w:color w:val="000000" w:themeColor="text1"/>
        </w:rPr>
        <w:t xml:space="preserve">ACMA </w:t>
      </w:r>
      <w:r w:rsidRPr="00E141F1">
        <w:rPr>
          <w:rFonts w:cs="Arial"/>
          <w:i/>
          <w:color w:val="000000" w:themeColor="text1"/>
        </w:rPr>
        <w:t xml:space="preserve">Communications report 2011–12. </w:t>
      </w:r>
      <w:r w:rsidRPr="00E141F1">
        <w:rPr>
          <w:rFonts w:cs="Arial"/>
          <w:color w:val="000000" w:themeColor="text1"/>
        </w:rPr>
        <w:t xml:space="preserve">In 2011–12, an assessment of compliance was undertaken by the ACMA, with no breaches being found. While no enforcement action was considered appropriate, Telstra was advised that the ACMA would continue to monitor compliance with CSG benchmarks closely under the new arrangements. </w:t>
      </w:r>
    </w:p>
    <w:p w:rsidR="001E6FB8" w:rsidRPr="00E141F1" w:rsidRDefault="001E6FB8" w:rsidP="001E6FB8">
      <w:pPr>
        <w:rPr>
          <w:rFonts w:cs="Arial"/>
        </w:rPr>
      </w:pPr>
      <w:r w:rsidRPr="00E141F1">
        <w:rPr>
          <w:rFonts w:cs="Arial"/>
        </w:rPr>
        <w:t xml:space="preserve">For the period 2012–13, the ACMA assessed the compliance of four qualifying carriage service providers (QCSPs) (Telstra, Optus, Primus and </w:t>
      </w:r>
      <w:proofErr w:type="spellStart"/>
      <w:r w:rsidRPr="00E141F1">
        <w:rPr>
          <w:rFonts w:cs="Arial"/>
        </w:rPr>
        <w:t>iiNet</w:t>
      </w:r>
      <w:proofErr w:type="spellEnd"/>
      <w:r w:rsidRPr="00E141F1">
        <w:rPr>
          <w:rFonts w:cs="Arial"/>
        </w:rPr>
        <w:t>) against the CSG benchmarks.</w:t>
      </w:r>
      <w:r w:rsidRPr="00E141F1">
        <w:rPr>
          <w:rStyle w:val="EndnoteReference"/>
          <w:rFonts w:cs="Arial"/>
        </w:rPr>
        <w:endnoteReference w:id="34"/>
      </w:r>
      <w:r w:rsidRPr="00E141F1">
        <w:rPr>
          <w:rFonts w:cs="Arial"/>
        </w:rPr>
        <w:t xml:space="preserve"> Telstra’s compliance against the payphone benchmarks was also assessed. Based on the CSG and payphone record-keeping rule compliance data provided to the ACMA, Optus, </w:t>
      </w:r>
      <w:proofErr w:type="spellStart"/>
      <w:r w:rsidRPr="00E141F1">
        <w:rPr>
          <w:rFonts w:cs="Arial"/>
        </w:rPr>
        <w:t>iiNet</w:t>
      </w:r>
      <w:proofErr w:type="spellEnd"/>
      <w:r w:rsidRPr="00E141F1">
        <w:rPr>
          <w:rFonts w:cs="Arial"/>
        </w:rPr>
        <w:t xml:space="preserve"> and Primus met all of the CSG benchmark requirements and Telstra met all payphone benchmark requirements. However, Telstra did not meet two </w:t>
      </w:r>
      <w:r>
        <w:rPr>
          <w:rFonts w:cs="Arial"/>
        </w:rPr>
        <w:t xml:space="preserve">of the nine </w:t>
      </w:r>
      <w:r w:rsidRPr="00E141F1">
        <w:rPr>
          <w:rFonts w:cs="Arial"/>
        </w:rPr>
        <w:t>annual CSG benchmarks—new connection of services in urban areas and remote areas nationally.</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To ensure the delivery of universal service outcomes and public interest telecommunications services during and after the transition to the NBN, the Telecommunications Universal Service Management </w:t>
      </w:r>
      <w:r>
        <w:rPr>
          <w:rFonts w:cs="Arial"/>
        </w:rPr>
        <w:t>Agency</w:t>
      </w:r>
      <w:r w:rsidRPr="00E141F1">
        <w:rPr>
          <w:rFonts w:cs="Arial"/>
        </w:rPr>
        <w:t xml:space="preserve"> (TUSMA) was established in 2012 under the </w:t>
      </w:r>
      <w:r w:rsidRPr="00E141F1">
        <w:rPr>
          <w:rFonts w:cs="Arial"/>
          <w:i/>
        </w:rPr>
        <w:t>Telecommunications Universal Service Management Agency Act 2012</w:t>
      </w:r>
      <w:r w:rsidRPr="00E141F1">
        <w:rPr>
          <w:rFonts w:cs="Arial"/>
        </w:rPr>
        <w:t xml:space="preserve"> (TUSMA Act). TUSMA commenced operations from 1 July 2012. TUSMA manages contracts and grants to support the delivery of USO services, </w:t>
      </w:r>
      <w:r>
        <w:rPr>
          <w:rFonts w:cs="Arial"/>
        </w:rPr>
        <w:t>being</w:t>
      </w:r>
      <w:r w:rsidRPr="00E141F1">
        <w:rPr>
          <w:rFonts w:cs="Arial"/>
        </w:rPr>
        <w:t xml:space="preserve"> the standard telephone service and payphones, as well as other public interest telecommunications services such </w:t>
      </w:r>
      <w:r w:rsidRPr="007E712C">
        <w:rPr>
          <w:rFonts w:cs="Arial"/>
        </w:rPr>
        <w:t xml:space="preserve">as emergency call </w:t>
      </w:r>
      <w:r>
        <w:rPr>
          <w:rFonts w:cs="Arial"/>
        </w:rPr>
        <w:t xml:space="preserve">person </w:t>
      </w:r>
      <w:r w:rsidRPr="007E712C">
        <w:rPr>
          <w:rFonts w:cs="Arial"/>
        </w:rPr>
        <w:t>services and the NRS.</w:t>
      </w:r>
      <w:r w:rsidRPr="00E141F1">
        <w:rPr>
          <w:rFonts w:cs="Arial"/>
        </w:rPr>
        <w:t xml:space="preserv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During 2012–13, the ACMA provided advice and assistance</w:t>
      </w:r>
      <w:r>
        <w:rPr>
          <w:rFonts w:cs="Arial"/>
        </w:rPr>
        <w:t xml:space="preserve"> to the Department of Broadband, </w:t>
      </w:r>
      <w:r w:rsidRPr="00E141F1">
        <w:rPr>
          <w:rFonts w:cs="Arial"/>
        </w:rPr>
        <w:t>Communications and the Digital Economy (now the Department of Communications) and TUSMA in setting up the legislative, policy and procedural arrangements to deliver public policy outcomes. These services and TUSMA’s costs to deliver them are part funded by the government, with the remainder shared by telecommunications carriers that earn above $25 million</w:t>
      </w:r>
      <w:r>
        <w:rPr>
          <w:rFonts w:cs="Arial"/>
        </w:rPr>
        <w:t>,</w:t>
      </w:r>
      <w:r w:rsidRPr="00E141F1">
        <w:rPr>
          <w:rFonts w:cs="Arial"/>
        </w:rPr>
        <w:t xml:space="preserve"> through applying the telecommunications industry levy (TIL). The TIL replaces the USO and NRS levies, which were charged to carriers for the last time during the 2012–13 financial year for the purposes of the 2011–12 eligible revenue period. Under the TUSMA Act, the ACMA has an ongoing statutory role to undertake the assessment, collection and recovery of the levy imposed by the </w:t>
      </w:r>
      <w:r w:rsidRPr="00E141F1">
        <w:rPr>
          <w:rFonts w:cs="Arial"/>
          <w:i/>
        </w:rPr>
        <w:t>Telecommunications (Industry Levy) Act 2012</w:t>
      </w:r>
      <w:r w:rsidRPr="00E141F1">
        <w:rPr>
          <w:rFonts w:cs="Arial"/>
        </w:rPr>
        <w:t xml:space="preserve"> from the 2012–13 eligible revenue period (to be paid in the 2013–14 financial year) onwards.</w:t>
      </w:r>
    </w:p>
    <w:p w:rsidR="001E6FB8" w:rsidRPr="00E141F1" w:rsidRDefault="001E6FB8" w:rsidP="001E6FB8">
      <w:pPr>
        <w:rPr>
          <w:rFonts w:cs="Arial"/>
        </w:rPr>
      </w:pPr>
    </w:p>
    <w:p w:rsidR="001E6FB8" w:rsidRPr="00E141F1" w:rsidRDefault="001E6FB8" w:rsidP="001E6FB8">
      <w:pPr>
        <w:pStyle w:val="Heading2"/>
      </w:pPr>
      <w:bookmarkStart w:id="297" w:name="_Toc341428357"/>
      <w:bookmarkStart w:id="298" w:name="_Toc371589036"/>
      <w:bookmarkStart w:id="299" w:name="_Toc373149098"/>
      <w:r w:rsidRPr="00E141F1">
        <w:t xml:space="preserve">The TIL </w:t>
      </w:r>
      <w:bookmarkEnd w:id="297"/>
      <w:r w:rsidRPr="00E141F1">
        <w:t>and other public policy outcomes</w:t>
      </w:r>
      <w:bookmarkEnd w:id="298"/>
      <w:bookmarkEnd w:id="299"/>
    </w:p>
    <w:p w:rsidR="001E6FB8" w:rsidRDefault="001E6FB8" w:rsidP="001E6FB8">
      <w:pPr>
        <w:spacing w:after="80"/>
        <w:rPr>
          <w:rFonts w:cs="Arial"/>
          <w:color w:val="000000" w:themeColor="text1"/>
          <w:szCs w:val="20"/>
        </w:rPr>
      </w:pPr>
      <w:r w:rsidRPr="00E141F1">
        <w:rPr>
          <w:rFonts w:cs="Arial"/>
          <w:color w:val="000000" w:themeColor="text1"/>
          <w:szCs w:val="20"/>
        </w:rPr>
        <w:t>The TIL funds the residual costs (after government funding) of activities undertaken by TUSMA.</w:t>
      </w:r>
      <w:r>
        <w:rPr>
          <w:rFonts w:cs="Arial"/>
          <w:color w:val="000000" w:themeColor="text1"/>
          <w:szCs w:val="20"/>
        </w:rPr>
        <w:t xml:space="preserve"> </w:t>
      </w:r>
      <w:r w:rsidRPr="00E141F1">
        <w:rPr>
          <w:rFonts w:cs="Arial"/>
          <w:color w:val="000000" w:themeColor="text1"/>
          <w:szCs w:val="20"/>
        </w:rPr>
        <w:t>In particular, this levy provides for:</w:t>
      </w:r>
    </w:p>
    <w:p w:rsidR="001E6FB8" w:rsidRPr="00E141F1" w:rsidRDefault="001E6FB8" w:rsidP="001E6FB8">
      <w:pPr>
        <w:pStyle w:val="ListBullet"/>
        <w:rPr>
          <w:rFonts w:cs="Arial"/>
        </w:rPr>
      </w:pPr>
      <w:r w:rsidRPr="00E141F1">
        <w:rPr>
          <w:rFonts w:cs="Arial"/>
        </w:rPr>
        <w:t>reasonably accessible standard telephone services and payphone services to all Australians on an equitable basis, regardless of where they live or carry on business (the USO for voice telephony services and the USO for payphones)</w:t>
      </w:r>
    </w:p>
    <w:p w:rsidR="001E6FB8" w:rsidRPr="00E141F1" w:rsidRDefault="001E6FB8" w:rsidP="001E6FB8">
      <w:pPr>
        <w:pStyle w:val="ListBullet"/>
        <w:rPr>
          <w:rFonts w:cs="Arial"/>
        </w:rPr>
      </w:pPr>
      <w:r w:rsidRPr="00E141F1">
        <w:rPr>
          <w:rFonts w:cs="Arial"/>
        </w:rPr>
        <w:t>a national telephone service to enable people who are deaf or have a hearing and/or speech impediment to make and receive telephone calls (the NRS)</w:t>
      </w:r>
    </w:p>
    <w:p w:rsidR="001E6FB8" w:rsidRPr="00E141F1" w:rsidRDefault="001E6FB8" w:rsidP="001E6FB8">
      <w:pPr>
        <w:pStyle w:val="ListBullet"/>
        <w:rPr>
          <w:rFonts w:cs="Arial"/>
        </w:rPr>
      </w:pPr>
      <w:r w:rsidRPr="00E141F1">
        <w:rPr>
          <w:rFonts w:cs="Arial"/>
        </w:rPr>
        <w:t xml:space="preserve">delivery of emergency call </w:t>
      </w:r>
      <w:r>
        <w:rPr>
          <w:rFonts w:cs="Arial"/>
        </w:rPr>
        <w:t xml:space="preserve">person </w:t>
      </w:r>
      <w:r w:rsidRPr="00E141F1">
        <w:rPr>
          <w:rFonts w:cs="Arial"/>
        </w:rPr>
        <w:t xml:space="preserve">services </w:t>
      </w:r>
    </w:p>
    <w:p w:rsidR="001E6FB8" w:rsidRPr="00E141F1" w:rsidRDefault="001E6FB8" w:rsidP="001E6FB8">
      <w:pPr>
        <w:pStyle w:val="ListBullet"/>
        <w:spacing w:after="240"/>
        <w:rPr>
          <w:rFonts w:cs="Arial"/>
        </w:rPr>
      </w:pPr>
      <w:r w:rsidRPr="00E141F1">
        <w:rPr>
          <w:rFonts w:cs="Arial"/>
        </w:rPr>
        <w:t>delivery of other public policy telecommunications outcomes.</w:t>
      </w:r>
    </w:p>
    <w:p w:rsidR="001E6FB8" w:rsidRDefault="001E6FB8" w:rsidP="001E6FB8">
      <w:bookmarkStart w:id="300" w:name="_Toc287540178"/>
      <w:bookmarkStart w:id="301" w:name="_Toc308517202"/>
      <w:bookmarkStart w:id="302" w:name="_Toc308523642"/>
      <w:bookmarkStart w:id="303" w:name="_Toc312157157"/>
      <w:r w:rsidRPr="00E141F1">
        <w:t>The ACMA is responsible for the billing and collection of the TIL, whil</w:t>
      </w:r>
      <w:r>
        <w:t>e</w:t>
      </w:r>
      <w:r w:rsidRPr="00E141F1">
        <w:t xml:space="preserve"> TUSMA manag</w:t>
      </w:r>
      <w:r>
        <w:t>es the contractual arrangements</w:t>
      </w:r>
      <w:r w:rsidRPr="00E141F1">
        <w:t xml:space="preserve"> and </w:t>
      </w:r>
      <w:r>
        <w:t xml:space="preserve">service provider </w:t>
      </w:r>
      <w:r w:rsidRPr="00E141F1">
        <w:t>payments. This provides greater transparency in this process.</w:t>
      </w:r>
    </w:p>
    <w:p w:rsidR="001E6FB8" w:rsidRPr="00E141F1" w:rsidRDefault="001E6FB8" w:rsidP="001E6FB8">
      <w:pPr>
        <w:pStyle w:val="Heading3"/>
        <w:pageBreakBefore/>
      </w:pPr>
      <w:bookmarkStart w:id="304" w:name="_Toc371589037"/>
      <w:bookmarkStart w:id="305" w:name="_Toc373149099"/>
      <w:r w:rsidRPr="00E141F1">
        <w:t>Industry levies and payments</w:t>
      </w:r>
      <w:bookmarkEnd w:id="300"/>
      <w:bookmarkEnd w:id="301"/>
      <w:bookmarkEnd w:id="302"/>
      <w:bookmarkEnd w:id="303"/>
      <w:bookmarkEnd w:id="304"/>
      <w:bookmarkEnd w:id="305"/>
    </w:p>
    <w:p w:rsidR="001E6FB8" w:rsidRPr="00E141F1" w:rsidRDefault="001E6FB8" w:rsidP="001E6FB8">
      <w:pPr>
        <w:rPr>
          <w:rFonts w:cs="Arial"/>
          <w:szCs w:val="20"/>
        </w:rPr>
      </w:pPr>
      <w:r w:rsidRPr="00E141F1">
        <w:rPr>
          <w:rFonts w:cs="Arial"/>
          <w:szCs w:val="20"/>
        </w:rPr>
        <w:t>The ACMA manages the assessment and collection of levies over a three-year cycle.</w:t>
      </w:r>
      <w:r w:rsidRPr="00E141F1" w:rsidDel="00D25ADA">
        <w:rPr>
          <w:rFonts w:cs="Arial"/>
          <w:szCs w:val="20"/>
        </w:rPr>
        <w:t xml:space="preserve"> </w:t>
      </w:r>
    </w:p>
    <w:p w:rsidR="001E6FB8" w:rsidRPr="00E141F1" w:rsidRDefault="001E6FB8" w:rsidP="001E6FB8">
      <w:pPr>
        <w:rPr>
          <w:rFonts w:cs="Arial"/>
          <w:szCs w:val="20"/>
        </w:rPr>
      </w:pPr>
    </w:p>
    <w:p w:rsidR="001E6FB8" w:rsidRPr="00E141F1" w:rsidRDefault="001E6FB8" w:rsidP="001E6FB8">
      <w:pPr>
        <w:rPr>
          <w:rFonts w:cs="Arial"/>
          <w:b/>
          <w:sz w:val="18"/>
          <w:szCs w:val="18"/>
        </w:rPr>
      </w:pPr>
      <w:r w:rsidRPr="00E141F1">
        <w:rPr>
          <w:rFonts w:cs="Arial"/>
          <w:b/>
          <w:sz w:val="18"/>
          <w:szCs w:val="18"/>
        </w:rPr>
        <w:t xml:space="preserve">  Eligible Revenue Period                         Eligible Levy Period         </w:t>
      </w:r>
      <w:r>
        <w:rPr>
          <w:rFonts w:cs="Arial"/>
          <w:b/>
          <w:sz w:val="18"/>
          <w:szCs w:val="18"/>
        </w:rPr>
        <w:t xml:space="preserve">       </w:t>
      </w:r>
      <w:r w:rsidRPr="00E141F1">
        <w:rPr>
          <w:rFonts w:cs="Arial"/>
          <w:b/>
          <w:sz w:val="18"/>
          <w:szCs w:val="18"/>
        </w:rPr>
        <w:t xml:space="preserve">           Financial </w:t>
      </w:r>
      <w:r>
        <w:rPr>
          <w:rFonts w:cs="Arial"/>
          <w:b/>
          <w:sz w:val="18"/>
          <w:szCs w:val="18"/>
        </w:rPr>
        <w:t>y</w:t>
      </w:r>
      <w:r w:rsidRPr="00E141F1">
        <w:rPr>
          <w:rFonts w:cs="Arial"/>
          <w:b/>
          <w:sz w:val="18"/>
          <w:szCs w:val="18"/>
        </w:rPr>
        <w:t>ear</w:t>
      </w:r>
    </w:p>
    <w:p w:rsidR="001E6FB8" w:rsidRPr="00E141F1" w:rsidRDefault="001E6FB8" w:rsidP="001E6FB8">
      <w:pPr>
        <w:ind w:firstLine="720"/>
        <w:rPr>
          <w:rFonts w:cs="Arial"/>
          <w:b/>
          <w:sz w:val="18"/>
          <w:szCs w:val="18"/>
        </w:rPr>
      </w:pPr>
      <w:r w:rsidRPr="00E141F1">
        <w:rPr>
          <w:rFonts w:cs="Arial"/>
          <w:b/>
          <w:sz w:val="18"/>
          <w:szCs w:val="18"/>
        </w:rPr>
        <w:t xml:space="preserve">    (ERP)   </w:t>
      </w:r>
      <w:r w:rsidRPr="00E141F1">
        <w:rPr>
          <w:rFonts w:cs="Arial"/>
          <w:b/>
          <w:sz w:val="18"/>
          <w:szCs w:val="18"/>
        </w:rPr>
        <w:tab/>
      </w:r>
      <w:r w:rsidRPr="00E141F1">
        <w:rPr>
          <w:rFonts w:cs="Arial"/>
          <w:b/>
          <w:sz w:val="18"/>
          <w:szCs w:val="18"/>
        </w:rPr>
        <w:tab/>
        <w:t xml:space="preserve">                      (ELP)      </w:t>
      </w:r>
    </w:p>
    <w:p w:rsidR="001E6FB8" w:rsidRPr="00E141F1" w:rsidRDefault="00421002" w:rsidP="001E6FB8">
      <w:pPr>
        <w:ind w:firstLine="720"/>
        <w:rPr>
          <w:rFonts w:cs="Arial"/>
          <w:b/>
          <w:szCs w:val="20"/>
        </w:rPr>
      </w:pPr>
      <w:r w:rsidRPr="00421002">
        <w:rPr>
          <w:rFonts w:cs="Arial"/>
          <w:b/>
          <w:noProof/>
          <w:sz w:val="18"/>
          <w:szCs w:val="18"/>
        </w:rPr>
        <w:pict>
          <v:group id="_x0000_s1026" style="position:absolute;left:0;text-align:left;margin-left:-1.95pt;margin-top:20.4pt;width:421.9pt;height:60.3pt;z-index:251666432" coordorigin="1095,14248" coordsize="8438,1206">
            <v:shapetype id="_x0000_t202" coordsize="21600,21600" o:spt="202" path="m,l,21600r21600,l21600,xe">
              <v:stroke joinstyle="miter"/>
              <v:path gradientshapeok="t" o:connecttype="rect"/>
            </v:shapetype>
            <v:shape id="_x0000_s1027" type="#_x0000_t202" style="position:absolute;left:1095;top:14248;width:2591;height:1206;mso-width-relative:margin;mso-height-relative:margin;v-text-anchor:middle" strokeweight="1.5pt">
              <v:textbox style="mso-next-textbox:#_x0000_s1027" inset="2.5mm">
                <w:txbxContent>
                  <w:p w:rsidR="00E41F33" w:rsidRPr="00A67DD2" w:rsidRDefault="00E41F33" w:rsidP="001E6FB8">
                    <w:pPr>
                      <w:jc w:val="center"/>
                      <w:rPr>
                        <w:rFonts w:cs="Arial"/>
                        <w:sz w:val="18"/>
                        <w:szCs w:val="18"/>
                      </w:rPr>
                    </w:pPr>
                    <w:r w:rsidRPr="00A67DD2">
                      <w:rPr>
                        <w:rFonts w:cs="Arial"/>
                        <w:sz w:val="18"/>
                        <w:szCs w:val="18"/>
                      </w:rPr>
                      <w:t>Period in which eligible revenue is earned</w:t>
                    </w:r>
                  </w:p>
                </w:txbxContent>
              </v:textbox>
            </v:shape>
            <v:shape id="_x0000_s1028" type="#_x0000_t202" style="position:absolute;left:4024;top:14248;width:2572;height:1206;mso-width-relative:margin;mso-height-relative:margin;v-text-anchor:middle" strokeweight="1.5pt">
              <v:textbox style="mso-next-textbox:#_x0000_s1028">
                <w:txbxContent>
                  <w:p w:rsidR="00E41F33" w:rsidRPr="00A67DD2" w:rsidRDefault="00E41F33" w:rsidP="001E6FB8">
                    <w:pPr>
                      <w:jc w:val="center"/>
                      <w:rPr>
                        <w:rFonts w:cs="Arial"/>
                        <w:sz w:val="18"/>
                        <w:szCs w:val="18"/>
                      </w:rPr>
                    </w:pPr>
                    <w:r w:rsidRPr="00A67DD2">
                      <w:rPr>
                        <w:rFonts w:cs="Arial"/>
                        <w:sz w:val="18"/>
                        <w:szCs w:val="18"/>
                      </w:rPr>
                      <w:t>Period in which eligible revenue return is lodged and assessed</w:t>
                    </w:r>
                  </w:p>
                </w:txbxContent>
              </v:textbox>
            </v:shape>
            <v:shape id="_x0000_s1029" type="#_x0000_t202" style="position:absolute;left:6949;top:14248;width:2584;height:1206;mso-width-relative:margin;mso-height-relative:margin;v-text-anchor:middle" strokeweight="1.5pt">
              <v:textbox style="mso-next-textbox:#_x0000_s1029">
                <w:txbxContent>
                  <w:p w:rsidR="00E41F33" w:rsidRPr="00A67DD2" w:rsidRDefault="00E41F33" w:rsidP="001E6FB8">
                    <w:pPr>
                      <w:jc w:val="center"/>
                      <w:rPr>
                        <w:rFonts w:cs="Arial"/>
                        <w:sz w:val="18"/>
                        <w:szCs w:val="18"/>
                      </w:rPr>
                    </w:pPr>
                    <w:r w:rsidRPr="00A67DD2">
                      <w:rPr>
                        <w:rFonts w:cs="Arial"/>
                        <w:sz w:val="18"/>
                        <w:szCs w:val="18"/>
                      </w:rPr>
                      <w:t>Period in which payment is made by Participating Persons for eligible revenue earned in ERP</w:t>
                    </w:r>
                  </w:p>
                </w:txbxContent>
              </v:textbox>
            </v:shape>
          </v:group>
        </w:pict>
      </w:r>
      <w:r w:rsidR="001E6FB8" w:rsidRPr="00E141F1">
        <w:rPr>
          <w:rFonts w:cs="Arial"/>
          <w:b/>
          <w:sz w:val="18"/>
          <w:szCs w:val="18"/>
        </w:rPr>
        <w:t xml:space="preserve">  2011</w:t>
      </w:r>
      <w:r w:rsidR="001E6FB8">
        <w:rPr>
          <w:rFonts w:cs="Arial"/>
          <w:b/>
          <w:sz w:val="18"/>
          <w:szCs w:val="18"/>
        </w:rPr>
        <w:t>–</w:t>
      </w:r>
      <w:r w:rsidR="001E6FB8" w:rsidRPr="00E141F1">
        <w:rPr>
          <w:rFonts w:cs="Arial"/>
          <w:b/>
          <w:sz w:val="18"/>
          <w:szCs w:val="18"/>
        </w:rPr>
        <w:t>12</w:t>
      </w:r>
      <w:r w:rsidR="001E6FB8" w:rsidRPr="00E141F1">
        <w:rPr>
          <w:rFonts w:cs="Arial"/>
          <w:b/>
          <w:sz w:val="18"/>
          <w:szCs w:val="18"/>
        </w:rPr>
        <w:tab/>
      </w:r>
      <w:r w:rsidR="001E6FB8" w:rsidRPr="00E141F1">
        <w:rPr>
          <w:rFonts w:cs="Arial"/>
          <w:b/>
          <w:sz w:val="18"/>
          <w:szCs w:val="18"/>
        </w:rPr>
        <w:tab/>
      </w:r>
      <w:r w:rsidR="001E6FB8" w:rsidRPr="00E141F1">
        <w:rPr>
          <w:rFonts w:cs="Arial"/>
          <w:b/>
          <w:sz w:val="18"/>
          <w:szCs w:val="18"/>
        </w:rPr>
        <w:tab/>
        <w:t xml:space="preserve">      2012</w:t>
      </w:r>
      <w:r w:rsidR="001E6FB8">
        <w:rPr>
          <w:rFonts w:cs="Arial"/>
          <w:b/>
          <w:sz w:val="18"/>
          <w:szCs w:val="18"/>
        </w:rPr>
        <w:t>–</w:t>
      </w:r>
      <w:r w:rsidR="001E6FB8" w:rsidRPr="00E141F1">
        <w:rPr>
          <w:rFonts w:cs="Arial"/>
          <w:b/>
          <w:sz w:val="18"/>
          <w:szCs w:val="18"/>
        </w:rPr>
        <w:t>13</w:t>
      </w:r>
      <w:r w:rsidR="001E6FB8" w:rsidRPr="00E141F1">
        <w:rPr>
          <w:rFonts w:cs="Arial"/>
          <w:b/>
          <w:sz w:val="18"/>
          <w:szCs w:val="18"/>
        </w:rPr>
        <w:tab/>
      </w:r>
      <w:r w:rsidR="001E6FB8" w:rsidRPr="00E141F1">
        <w:rPr>
          <w:rFonts w:cs="Arial"/>
          <w:b/>
          <w:sz w:val="18"/>
          <w:szCs w:val="18"/>
        </w:rPr>
        <w:tab/>
      </w:r>
      <w:r w:rsidR="001E6FB8" w:rsidRPr="00E141F1">
        <w:rPr>
          <w:rFonts w:cs="Arial"/>
          <w:b/>
          <w:sz w:val="18"/>
          <w:szCs w:val="18"/>
        </w:rPr>
        <w:tab/>
        <w:t xml:space="preserve">    2013</w:t>
      </w:r>
      <w:r w:rsidR="001E6FB8">
        <w:rPr>
          <w:rFonts w:cs="Arial"/>
          <w:b/>
          <w:sz w:val="18"/>
          <w:szCs w:val="18"/>
        </w:rPr>
        <w:t>–</w:t>
      </w:r>
      <w:r w:rsidR="001E6FB8" w:rsidRPr="00E141F1">
        <w:rPr>
          <w:rFonts w:cs="Arial"/>
          <w:b/>
          <w:sz w:val="18"/>
          <w:szCs w:val="18"/>
        </w:rPr>
        <w:t>14</w:t>
      </w:r>
      <w:r w:rsidR="001E6FB8" w:rsidRPr="00E141F1">
        <w:rPr>
          <w:rFonts w:cs="Arial"/>
          <w:b/>
          <w:szCs w:val="20"/>
        </w:rPr>
        <w:tab/>
      </w:r>
    </w:p>
    <w:p w:rsidR="001E6FB8" w:rsidRPr="00E141F1" w:rsidRDefault="001E6FB8" w:rsidP="001E6FB8">
      <w:pPr>
        <w:ind w:firstLine="720"/>
        <w:rPr>
          <w:rFonts w:cs="Arial"/>
          <w:b/>
          <w:szCs w:val="20"/>
        </w:rPr>
      </w:pPr>
    </w:p>
    <w:p w:rsidR="001E6FB8" w:rsidRPr="00E141F1" w:rsidRDefault="001E6FB8" w:rsidP="001E6FB8">
      <w:pPr>
        <w:ind w:firstLine="720"/>
        <w:rPr>
          <w:rFonts w:cs="Arial"/>
          <w:b/>
          <w:szCs w:val="20"/>
        </w:rPr>
      </w:pPr>
    </w:p>
    <w:p w:rsidR="001E6FB8" w:rsidRPr="00E141F1" w:rsidRDefault="001E6FB8" w:rsidP="001E6FB8">
      <w:pPr>
        <w:ind w:firstLine="720"/>
        <w:rPr>
          <w:rFonts w:cs="Arial"/>
          <w:b/>
          <w:szCs w:val="20"/>
        </w:rPr>
      </w:pPr>
    </w:p>
    <w:p w:rsidR="001E6FB8" w:rsidRPr="00E141F1" w:rsidRDefault="001E6FB8" w:rsidP="001E6FB8">
      <w:pPr>
        <w:ind w:firstLine="720"/>
        <w:rPr>
          <w:rFonts w:cs="Arial"/>
          <w:szCs w:val="20"/>
        </w:rPr>
      </w:pPr>
    </w:p>
    <w:p w:rsidR="001E6FB8" w:rsidRPr="00E141F1" w:rsidRDefault="001E6FB8" w:rsidP="001E6FB8">
      <w:pPr>
        <w:rPr>
          <w:rFonts w:cs="Arial"/>
          <w:b/>
          <w:szCs w:val="20"/>
        </w:rPr>
      </w:pPr>
    </w:p>
    <w:p w:rsidR="001E6FB8" w:rsidRPr="00E141F1" w:rsidRDefault="001E6FB8" w:rsidP="001E6FB8">
      <w:pPr>
        <w:rPr>
          <w:rFonts w:cs="Arial"/>
          <w:b/>
          <w:szCs w:val="20"/>
        </w:rPr>
      </w:pPr>
    </w:p>
    <w:p w:rsidR="001E6FB8" w:rsidRDefault="001E6FB8" w:rsidP="001E6FB8">
      <w:pPr>
        <w:rPr>
          <w:rFonts w:cs="Arial"/>
          <w:szCs w:val="20"/>
        </w:rPr>
      </w:pPr>
      <w:r w:rsidRPr="00E141F1">
        <w:rPr>
          <w:rFonts w:cs="Arial"/>
          <w:szCs w:val="20"/>
        </w:rPr>
        <w:t xml:space="preserve">The TIL amount of a carrier licence holder, who was a participating person under the TUSMA Act, is the amount which that person must contribute to the cost of funding TUSMA. Contributions are, in general, proportional to that participating person’s share of the industry’s total eligible revenue for the relevant eligible revenue period. </w:t>
      </w:r>
    </w:p>
    <w:p w:rsidR="001E6FB8" w:rsidRPr="00E141F1" w:rsidRDefault="001E6FB8" w:rsidP="001E6FB8">
      <w:pPr>
        <w:rPr>
          <w:rFonts w:cs="Arial"/>
          <w:szCs w:val="20"/>
        </w:rPr>
      </w:pPr>
    </w:p>
    <w:p w:rsidR="001E6FB8" w:rsidRPr="00E141F1" w:rsidRDefault="001E6FB8" w:rsidP="001E6FB8">
      <w:pPr>
        <w:rPr>
          <w:rFonts w:cs="Arial"/>
        </w:rPr>
      </w:pPr>
      <w:r w:rsidRPr="00E141F1">
        <w:rPr>
          <w:rFonts w:cs="Arial"/>
        </w:rPr>
        <w:t>For the delivery of TIL and other public policy telecommunications outcomes during the 2012–13 eligible levy period (ELP), the assessed eligible revenue of participating persons, will be used to calculate the amount of TIL and annual carrier licence charges (ACLC). The TIL will be invoiced to participating persons in the 2013–14 financial year.</w:t>
      </w:r>
    </w:p>
    <w:p w:rsidR="001E6FB8" w:rsidRPr="00E141F1" w:rsidRDefault="001E6FB8" w:rsidP="001E6FB8">
      <w:pPr>
        <w:rPr>
          <w:rFonts w:cs="Arial"/>
        </w:rPr>
      </w:pPr>
    </w:p>
    <w:p w:rsidR="001E6FB8" w:rsidRPr="00E141F1" w:rsidRDefault="001E6FB8" w:rsidP="001E6FB8">
      <w:pPr>
        <w:rPr>
          <w:rFonts w:cs="Arial"/>
        </w:rPr>
      </w:pPr>
      <w:r w:rsidRPr="00E141F1">
        <w:rPr>
          <w:rFonts w:cs="Arial"/>
          <w:szCs w:val="20"/>
        </w:rPr>
        <w:t xml:space="preserve">ACLC are imposed under the </w:t>
      </w:r>
      <w:r w:rsidRPr="00E141F1">
        <w:rPr>
          <w:rFonts w:cs="Arial"/>
          <w:i/>
          <w:szCs w:val="20"/>
        </w:rPr>
        <w:t>Telecommunications (Carrier Licence Charges) Act 1997</w:t>
      </w:r>
      <w:r w:rsidRPr="00E141F1">
        <w:rPr>
          <w:rFonts w:cs="Arial"/>
          <w:szCs w:val="20"/>
        </w:rPr>
        <w:t xml:space="preserve"> and payable by </w:t>
      </w:r>
      <w:r w:rsidRPr="00E141F1">
        <w:rPr>
          <w:rFonts w:cs="Arial"/>
        </w:rPr>
        <w:t>participating persons</w:t>
      </w:r>
      <w:r w:rsidRPr="00E141F1">
        <w:rPr>
          <w:rFonts w:cs="Arial"/>
          <w:szCs w:val="20"/>
        </w:rPr>
        <w:t xml:space="preserve">. </w:t>
      </w:r>
      <w:r w:rsidRPr="00E141F1">
        <w:rPr>
          <w:rFonts w:cs="Arial"/>
        </w:rPr>
        <w:t>The ACLC was invoiced to participating persons in the 2012–13 financial year.</w:t>
      </w:r>
    </w:p>
    <w:p w:rsidR="001E6FB8" w:rsidRPr="00E141F1" w:rsidRDefault="001E6FB8" w:rsidP="001E6FB8">
      <w:pPr>
        <w:rPr>
          <w:rFonts w:cs="Arial"/>
        </w:rPr>
      </w:pPr>
    </w:p>
    <w:p w:rsidR="001E6FB8" w:rsidRPr="00E141F1" w:rsidRDefault="001E6FB8" w:rsidP="001E6FB8">
      <w:pPr>
        <w:pStyle w:val="Heading3"/>
      </w:pPr>
      <w:bookmarkStart w:id="306" w:name="_Toc371589038"/>
      <w:bookmarkStart w:id="307" w:name="_Toc373149100"/>
      <w:r w:rsidRPr="00E141F1">
        <w:t>Final TIL assessment</w:t>
      </w:r>
      <w:bookmarkEnd w:id="306"/>
      <w:bookmarkEnd w:id="307"/>
    </w:p>
    <w:p w:rsidR="001E6FB8" w:rsidRPr="00E141F1" w:rsidRDefault="001E6FB8" w:rsidP="001E6FB8">
      <w:pPr>
        <w:rPr>
          <w:rFonts w:cs="Arial"/>
        </w:rPr>
      </w:pPr>
      <w:r w:rsidRPr="00E141F1">
        <w:rPr>
          <w:rFonts w:cs="Arial"/>
        </w:rPr>
        <w:t>Follo</w:t>
      </w:r>
      <w:r>
        <w:rPr>
          <w:rFonts w:cs="Arial"/>
        </w:rPr>
        <w:t>wing advice from the ACMA, the m</w:t>
      </w:r>
      <w:r w:rsidRPr="00E141F1">
        <w:rPr>
          <w:rFonts w:cs="Arial"/>
        </w:rPr>
        <w:t>inister determined the amount of the 2012–13 TIL as $254.9 million. This amount differs significantly to previous years as the scope of the levy has changed.</w:t>
      </w:r>
      <w:r>
        <w:rPr>
          <w:rFonts w:cs="Arial"/>
        </w:rPr>
        <w:t xml:space="preserve"> </w:t>
      </w:r>
      <w:r w:rsidRPr="00E141F1">
        <w:rPr>
          <w:rFonts w:cs="Arial"/>
        </w:rPr>
        <w:t>The final TIL for the 2012–13 ELP is $254,927,064.42</w:t>
      </w:r>
      <w:r>
        <w:rPr>
          <w:rFonts w:cs="Arial"/>
        </w:rPr>
        <w:t>,</w:t>
      </w:r>
      <w:r w:rsidRPr="00E141F1">
        <w:rPr>
          <w:rFonts w:cs="Arial"/>
        </w:rPr>
        <w:t xml:space="preserve"> which will be invoiced and collected during the 2013–14 financial year.</w:t>
      </w:r>
    </w:p>
    <w:p w:rsidR="001E6FB8" w:rsidRPr="00E141F1" w:rsidRDefault="001E6FB8" w:rsidP="001E6FB8">
      <w:pPr>
        <w:rPr>
          <w:rFonts w:cs="Arial"/>
        </w:rPr>
      </w:pPr>
    </w:p>
    <w:p w:rsidR="001E6FB8" w:rsidRPr="00E141F1" w:rsidRDefault="001E6FB8" w:rsidP="001E6FB8">
      <w:pPr>
        <w:rPr>
          <w:rFonts w:cs="Arial"/>
        </w:rPr>
      </w:pPr>
      <w:r>
        <w:rPr>
          <w:rFonts w:cs="Arial"/>
        </w:rPr>
        <w:t>There were 206 carriers</w:t>
      </w:r>
      <w:r w:rsidRPr="00E141F1">
        <w:rPr>
          <w:rFonts w:cs="Arial"/>
        </w:rPr>
        <w:t xml:space="preserve"> and 52 participating persons assessed for the 2012–13 ELP.</w:t>
      </w:r>
      <w:r>
        <w:rPr>
          <w:rFonts w:cs="Arial"/>
        </w:rPr>
        <w:t xml:space="preserve"> </w:t>
      </w:r>
      <w:r w:rsidRPr="00E141F1">
        <w:rPr>
          <w:rFonts w:cs="Arial"/>
        </w:rPr>
        <w:t>Fourteen were assessed as having nil eligible revenue and were not re</w:t>
      </w:r>
      <w:r>
        <w:rPr>
          <w:rFonts w:cs="Arial"/>
        </w:rPr>
        <w:t>quired to contribute to the TIL. T</w:t>
      </w:r>
      <w:r w:rsidRPr="00E141F1">
        <w:rPr>
          <w:rFonts w:cs="Arial"/>
        </w:rPr>
        <w:t>he levy payable by the remaining participating persons ranged from $52 to $155.6m.</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Table 3.1 below sets out the TIL liabilities of participating persons (in excess of $1m) and now includes Telstra, as </w:t>
      </w:r>
      <w:r>
        <w:rPr>
          <w:rFonts w:cs="Arial"/>
        </w:rPr>
        <w:t>it is</w:t>
      </w:r>
      <w:r w:rsidRPr="00E141F1">
        <w:rPr>
          <w:rFonts w:cs="Arial"/>
        </w:rPr>
        <w:t xml:space="preserve"> required to pay </w:t>
      </w:r>
      <w:r>
        <w:rPr>
          <w:rFonts w:cs="Arial"/>
        </w:rPr>
        <w:t>its</w:t>
      </w:r>
      <w:r w:rsidRPr="00E141F1">
        <w:rPr>
          <w:rFonts w:cs="Arial"/>
        </w:rPr>
        <w:t xml:space="preserve"> levy to the ACMA, </w:t>
      </w:r>
      <w:r>
        <w:rPr>
          <w:rFonts w:cs="Arial"/>
        </w:rPr>
        <w:t>rather than</w:t>
      </w:r>
      <w:r w:rsidRPr="00E141F1">
        <w:rPr>
          <w:rFonts w:cs="Arial"/>
        </w:rPr>
        <w:t xml:space="preserve"> the offset arrangements of previous years.</w:t>
      </w:r>
      <w:r>
        <w:rPr>
          <w:rFonts w:cs="Arial"/>
        </w:rPr>
        <w:t xml:space="preserv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As a transitional arrangement, the Commonwealth has contributed $34,108,165.93 to </w:t>
      </w:r>
      <w:r>
        <w:rPr>
          <w:rFonts w:cs="Arial"/>
        </w:rPr>
        <w:t>‘</w:t>
      </w:r>
      <w:r w:rsidRPr="00E141F1">
        <w:rPr>
          <w:rFonts w:cs="Arial"/>
        </w:rPr>
        <w:t>cap</w:t>
      </w:r>
      <w:r>
        <w:rPr>
          <w:rFonts w:cs="Arial"/>
        </w:rPr>
        <w:t>’</w:t>
      </w:r>
      <w:r w:rsidRPr="00E141F1">
        <w:rPr>
          <w:rFonts w:cs="Arial"/>
        </w:rPr>
        <w:t xml:space="preserve"> the total non-Telstra contribution to 2012–13 TIL at the same total amount paid by them for the previous year’s USO and NRS levies.</w:t>
      </w:r>
    </w:p>
    <w:p w:rsidR="001E6FB8" w:rsidRPr="00E141F1" w:rsidRDefault="001E6FB8" w:rsidP="001E6FB8">
      <w:pPr>
        <w:spacing w:after="200" w:line="276"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702"/>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Table 3.1 Levies payable (in excess of $1m, and net of government contribution) for participating persons, 2012–13 levy period (payable in the 2013–14 financial year)</w:t>
            </w:r>
          </w:p>
        </w:tc>
      </w:tr>
      <w:tr w:rsidR="001E6FB8" w:rsidRPr="00E141F1" w:rsidTr="001E6FB8">
        <w:trPr>
          <w:trHeight w:val="864"/>
        </w:trPr>
        <w:tc>
          <w:tcPr>
            <w:tcW w:w="9645" w:type="dxa"/>
            <w:shd w:val="clear" w:color="auto" w:fill="auto"/>
            <w:tcMar>
              <w:left w:w="28" w:type="dxa"/>
            </w:tcMar>
          </w:tcPr>
          <w:tbl>
            <w:tblPr>
              <w:tblW w:w="9482" w:type="dxa"/>
              <w:tblBorders>
                <w:top w:val="single" w:sz="4" w:space="0" w:color="C8C8C8"/>
                <w:bottom w:val="single" w:sz="4" w:space="0" w:color="C8C8C8"/>
                <w:insideH w:val="single" w:sz="4" w:space="0" w:color="C8C8C8"/>
              </w:tblBorders>
              <w:tblLayout w:type="fixed"/>
              <w:tblCellMar>
                <w:top w:w="28" w:type="dxa"/>
                <w:left w:w="85" w:type="dxa"/>
                <w:bottom w:w="28" w:type="dxa"/>
                <w:right w:w="0" w:type="dxa"/>
              </w:tblCellMar>
              <w:tblLook w:val="01E0"/>
            </w:tblPr>
            <w:tblGrid>
              <w:gridCol w:w="5564"/>
              <w:gridCol w:w="1819"/>
              <w:gridCol w:w="2099"/>
            </w:tblGrid>
            <w:tr w:rsidR="001E6FB8" w:rsidRPr="00E141F1" w:rsidTr="001E6FB8">
              <w:trPr>
                <w:trHeight w:val="374"/>
              </w:trPr>
              <w:tc>
                <w:tcPr>
                  <w:tcW w:w="5564" w:type="dxa"/>
                  <w:shd w:val="clear" w:color="auto" w:fill="00709E"/>
                  <w:tcMar>
                    <w:top w:w="34" w:type="dxa"/>
                    <w:left w:w="113" w:type="dxa"/>
                  </w:tcMar>
                </w:tcPr>
                <w:p w:rsidR="001E6FB8" w:rsidRPr="00E141F1" w:rsidRDefault="001E6FB8" w:rsidP="001E6FB8">
                  <w:pPr>
                    <w:pStyle w:val="TableHeading"/>
                    <w:keepNext/>
                    <w:keepLines/>
                    <w:spacing w:line="240" w:lineRule="auto"/>
                    <w:rPr>
                      <w:rFonts w:cs="Arial"/>
                      <w:b w:val="0"/>
                      <w:bCs/>
                      <w:color w:val="FFFFFF" w:themeColor="background1"/>
                      <w:kern w:val="32"/>
                      <w:sz w:val="18"/>
                      <w:szCs w:val="18"/>
                    </w:rPr>
                  </w:pPr>
                </w:p>
              </w:tc>
              <w:tc>
                <w:tcPr>
                  <w:tcW w:w="1819" w:type="dxa"/>
                  <w:shd w:val="clear" w:color="auto" w:fill="00709E"/>
                  <w:tcMar>
                    <w:left w:w="113" w:type="dxa"/>
                  </w:tcMar>
                </w:tcPr>
                <w:p w:rsidR="001E6FB8" w:rsidRPr="00E141F1" w:rsidRDefault="001E6FB8" w:rsidP="001E6FB8">
                  <w:pPr>
                    <w:pStyle w:val="TableHeading"/>
                    <w:keepNext/>
                    <w:keepLines/>
                    <w:spacing w:line="240" w:lineRule="auto"/>
                    <w:jc w:val="right"/>
                    <w:rPr>
                      <w:rFonts w:cs="Arial"/>
                      <w:color w:val="FFFFFF" w:themeColor="background1"/>
                      <w:sz w:val="18"/>
                      <w:szCs w:val="18"/>
                    </w:rPr>
                  </w:pPr>
                  <w:r w:rsidRPr="00E141F1">
                    <w:rPr>
                      <w:rFonts w:cs="Arial"/>
                      <w:color w:val="FFFFFF" w:themeColor="background1"/>
                      <w:sz w:val="18"/>
                      <w:szCs w:val="18"/>
                    </w:rPr>
                    <w:t>Su</w:t>
                  </w:r>
                  <w:r>
                    <w:rPr>
                      <w:rFonts w:cs="Arial"/>
                      <w:color w:val="FFFFFF" w:themeColor="background1"/>
                      <w:sz w:val="18"/>
                      <w:szCs w:val="18"/>
                    </w:rPr>
                    <w:t>b-</w:t>
                  </w:r>
                  <w:r w:rsidRPr="00E141F1">
                    <w:rPr>
                      <w:rFonts w:cs="Arial"/>
                      <w:color w:val="FFFFFF" w:themeColor="background1"/>
                      <w:sz w:val="18"/>
                      <w:szCs w:val="18"/>
                    </w:rPr>
                    <w:t>total</w:t>
                  </w:r>
                </w:p>
              </w:tc>
              <w:tc>
                <w:tcPr>
                  <w:tcW w:w="2099" w:type="dxa"/>
                  <w:shd w:val="clear" w:color="auto" w:fill="00709E"/>
                </w:tcPr>
                <w:p w:rsidR="001E6FB8" w:rsidRPr="00E141F1" w:rsidRDefault="001E6FB8" w:rsidP="001E6FB8">
                  <w:pPr>
                    <w:pStyle w:val="TableHeading"/>
                    <w:keepNext/>
                    <w:keepLines/>
                    <w:spacing w:line="240" w:lineRule="auto"/>
                    <w:jc w:val="right"/>
                    <w:rPr>
                      <w:rFonts w:cs="Arial"/>
                      <w:color w:val="FFFFFF" w:themeColor="background1"/>
                      <w:sz w:val="18"/>
                      <w:szCs w:val="18"/>
                    </w:rPr>
                  </w:pPr>
                  <w:r w:rsidRPr="00E141F1">
                    <w:rPr>
                      <w:rFonts w:cs="Arial"/>
                      <w:color w:val="FFFFFF" w:themeColor="background1"/>
                      <w:sz w:val="18"/>
                      <w:szCs w:val="18"/>
                    </w:rPr>
                    <w:t>Levy ($)</w:t>
                  </w:r>
                </w:p>
              </w:tc>
            </w:tr>
            <w:tr w:rsidR="001E6FB8" w:rsidRPr="00E141F1" w:rsidTr="001E6FB8">
              <w:trPr>
                <w:trHeight w:val="135"/>
              </w:trPr>
              <w:tc>
                <w:tcPr>
                  <w:tcW w:w="5564" w:type="dxa"/>
                  <w:shd w:val="clear" w:color="auto" w:fill="auto"/>
                  <w:tcMar>
                    <w:left w:w="113" w:type="dxa"/>
                  </w:tcMar>
                  <w:vAlign w:val="center"/>
                </w:tcPr>
                <w:p w:rsidR="001E6FB8" w:rsidRPr="003E4870" w:rsidRDefault="001E6FB8" w:rsidP="001E6FB8">
                  <w:pPr>
                    <w:pStyle w:val="Caption"/>
                    <w:rPr>
                      <w:rFonts w:cs="Arial"/>
                      <w:b w:val="0"/>
                      <w:color w:val="00709E"/>
                      <w:sz w:val="18"/>
                      <w:szCs w:val="18"/>
                    </w:rPr>
                  </w:pPr>
                  <w:r w:rsidRPr="003E4870">
                    <w:rPr>
                      <w:rFonts w:cs="Arial"/>
                      <w:color w:val="00709E"/>
                      <w:sz w:val="18"/>
                      <w:szCs w:val="18"/>
                    </w:rPr>
                    <w:t>Telstra</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p>
              </w:tc>
              <w:tc>
                <w:tcPr>
                  <w:tcW w:w="2099" w:type="dxa"/>
                  <w:vAlign w:val="center"/>
                </w:tcPr>
                <w:p w:rsidR="001E6FB8" w:rsidRPr="00E141F1" w:rsidRDefault="001E6FB8" w:rsidP="001E6FB8">
                  <w:pPr>
                    <w:keepNext/>
                    <w:keepLines/>
                    <w:jc w:val="right"/>
                    <w:rPr>
                      <w:rFonts w:cs="Arial"/>
                      <w:sz w:val="18"/>
                      <w:szCs w:val="18"/>
                    </w:rPr>
                  </w:pP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Telstra Corporation Limited</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155,620,463.33</w:t>
                  </w:r>
                </w:p>
              </w:tc>
              <w:tc>
                <w:tcPr>
                  <w:tcW w:w="2099" w:type="dxa"/>
                  <w:vAlign w:val="center"/>
                </w:tcPr>
                <w:p w:rsidR="001E6FB8" w:rsidRPr="00E141F1" w:rsidRDefault="001E6FB8" w:rsidP="001E6FB8">
                  <w:pPr>
                    <w:keepNext/>
                    <w:keepLines/>
                    <w:jc w:val="right"/>
                    <w:rPr>
                      <w:rFonts w:cs="Arial"/>
                      <w:sz w:val="18"/>
                      <w:szCs w:val="18"/>
                    </w:rPr>
                  </w:pP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Telstra Multimedia Pty Limited</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1,829,416,73</w:t>
                  </w:r>
                </w:p>
              </w:tc>
              <w:tc>
                <w:tcPr>
                  <w:tcW w:w="2099" w:type="dxa"/>
                  <w:vAlign w:val="center"/>
                </w:tcPr>
                <w:p w:rsidR="001E6FB8" w:rsidRPr="00E141F1" w:rsidRDefault="001E6FB8" w:rsidP="001E6FB8">
                  <w:pPr>
                    <w:keepNext/>
                    <w:keepLines/>
                    <w:jc w:val="right"/>
                    <w:rPr>
                      <w:rFonts w:cs="Arial"/>
                      <w:sz w:val="18"/>
                      <w:szCs w:val="18"/>
                    </w:rPr>
                  </w:pPr>
                  <w:r w:rsidRPr="00E141F1">
                    <w:rPr>
                      <w:rFonts w:cs="Arial"/>
                      <w:sz w:val="18"/>
                      <w:szCs w:val="18"/>
                    </w:rPr>
                    <w:t>157,449,880.06</w:t>
                  </w:r>
                </w:p>
              </w:tc>
            </w:tr>
            <w:tr w:rsidR="001E6FB8" w:rsidRPr="00E141F1" w:rsidTr="001E6FB8">
              <w:trPr>
                <w:trHeight w:val="135"/>
              </w:trPr>
              <w:tc>
                <w:tcPr>
                  <w:tcW w:w="5564" w:type="dxa"/>
                  <w:shd w:val="clear" w:color="auto" w:fill="auto"/>
                  <w:tcMar>
                    <w:left w:w="113" w:type="dxa"/>
                  </w:tcMar>
                  <w:vAlign w:val="center"/>
                </w:tcPr>
                <w:p w:rsidR="001E6FB8" w:rsidRPr="003E4870" w:rsidRDefault="001E6FB8" w:rsidP="001E6FB8">
                  <w:pPr>
                    <w:pStyle w:val="Caption"/>
                    <w:rPr>
                      <w:rFonts w:cs="Arial"/>
                      <w:b w:val="0"/>
                      <w:color w:val="00709E"/>
                      <w:sz w:val="18"/>
                      <w:szCs w:val="18"/>
                    </w:rPr>
                  </w:pPr>
                  <w:r w:rsidRPr="003E4870">
                    <w:rPr>
                      <w:rFonts w:cs="Arial"/>
                      <w:color w:val="00709E"/>
                      <w:sz w:val="18"/>
                      <w:szCs w:val="18"/>
                    </w:rPr>
                    <w:t>Optus</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p>
              </w:tc>
              <w:tc>
                <w:tcPr>
                  <w:tcW w:w="2099" w:type="dxa"/>
                  <w:vAlign w:val="center"/>
                </w:tcPr>
                <w:p w:rsidR="001E6FB8" w:rsidRPr="00E141F1" w:rsidRDefault="001E6FB8" w:rsidP="001E6FB8">
                  <w:pPr>
                    <w:keepNext/>
                    <w:keepLines/>
                    <w:rPr>
                      <w:rFonts w:cs="Arial"/>
                      <w:sz w:val="18"/>
                      <w:szCs w:val="18"/>
                    </w:rPr>
                  </w:pP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Optus Mobile Pty Limited</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26,928,222.73</w:t>
                  </w:r>
                </w:p>
              </w:tc>
              <w:tc>
                <w:tcPr>
                  <w:tcW w:w="2099" w:type="dxa"/>
                  <w:vAlign w:val="center"/>
                </w:tcPr>
                <w:p w:rsidR="001E6FB8" w:rsidRPr="00E141F1" w:rsidRDefault="001E6FB8" w:rsidP="001E6FB8">
                  <w:pPr>
                    <w:keepNext/>
                    <w:keepLines/>
                    <w:jc w:val="right"/>
                    <w:rPr>
                      <w:rFonts w:cs="Arial"/>
                      <w:sz w:val="18"/>
                      <w:szCs w:val="18"/>
                    </w:rPr>
                  </w:pP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Optus Networks Pty Limited</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8,578,503.35</w:t>
                  </w:r>
                </w:p>
              </w:tc>
              <w:tc>
                <w:tcPr>
                  <w:tcW w:w="2099" w:type="dxa"/>
                  <w:vAlign w:val="center"/>
                </w:tcPr>
                <w:p w:rsidR="001E6FB8" w:rsidRPr="00E141F1" w:rsidRDefault="001E6FB8" w:rsidP="001E6FB8">
                  <w:pPr>
                    <w:keepNext/>
                    <w:keepLines/>
                    <w:jc w:val="right"/>
                    <w:rPr>
                      <w:rFonts w:cs="Arial"/>
                      <w:sz w:val="18"/>
                      <w:szCs w:val="18"/>
                    </w:rPr>
                  </w:pPr>
                  <w:r w:rsidRPr="00E141F1">
                    <w:rPr>
                      <w:rFonts w:cs="Arial"/>
                      <w:sz w:val="18"/>
                      <w:szCs w:val="18"/>
                    </w:rPr>
                    <w:t>35,506,726.08</w:t>
                  </w:r>
                </w:p>
              </w:tc>
            </w:tr>
            <w:tr w:rsidR="001E6FB8" w:rsidRPr="00E141F1" w:rsidTr="001E6FB8">
              <w:trPr>
                <w:trHeight w:val="135"/>
              </w:trPr>
              <w:tc>
                <w:tcPr>
                  <w:tcW w:w="5564" w:type="dxa"/>
                  <w:shd w:val="clear" w:color="auto" w:fill="auto"/>
                  <w:tcMar>
                    <w:left w:w="113" w:type="dxa"/>
                  </w:tcMar>
                  <w:vAlign w:val="center"/>
                </w:tcPr>
                <w:p w:rsidR="001E6FB8" w:rsidRPr="003E4870" w:rsidRDefault="001E6FB8" w:rsidP="001E6FB8">
                  <w:pPr>
                    <w:keepNext/>
                    <w:keepLines/>
                    <w:rPr>
                      <w:rFonts w:cs="Arial"/>
                      <w:color w:val="00709E"/>
                      <w:sz w:val="18"/>
                      <w:szCs w:val="18"/>
                    </w:rPr>
                  </w:pPr>
                  <w:r w:rsidRPr="003E4870">
                    <w:rPr>
                      <w:rFonts w:cs="Arial"/>
                      <w:b/>
                      <w:bCs/>
                      <w:color w:val="00709E"/>
                      <w:sz w:val="18"/>
                      <w:szCs w:val="18"/>
                    </w:rPr>
                    <w:t>Vodafone</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p>
              </w:tc>
              <w:tc>
                <w:tcPr>
                  <w:tcW w:w="2099" w:type="dxa"/>
                  <w:vAlign w:val="center"/>
                </w:tcPr>
                <w:p w:rsidR="001E6FB8" w:rsidRPr="00E141F1" w:rsidRDefault="001E6FB8" w:rsidP="001E6FB8">
                  <w:pPr>
                    <w:keepNext/>
                    <w:keepLines/>
                    <w:jc w:val="right"/>
                    <w:rPr>
                      <w:rFonts w:cs="Arial"/>
                      <w:sz w:val="18"/>
                      <w:szCs w:val="18"/>
                    </w:rPr>
                  </w:pP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Vodafone Australia Pty Limited</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10,988,277.22</w:t>
                  </w:r>
                </w:p>
              </w:tc>
              <w:tc>
                <w:tcPr>
                  <w:tcW w:w="2099" w:type="dxa"/>
                  <w:vAlign w:val="center"/>
                </w:tcPr>
                <w:p w:rsidR="001E6FB8" w:rsidRPr="00E141F1" w:rsidRDefault="001E6FB8" w:rsidP="001E6FB8">
                  <w:pPr>
                    <w:keepNext/>
                    <w:keepLines/>
                    <w:jc w:val="right"/>
                    <w:rPr>
                      <w:rFonts w:cs="Arial"/>
                      <w:sz w:val="18"/>
                      <w:szCs w:val="18"/>
                    </w:rPr>
                  </w:pPr>
                </w:p>
              </w:tc>
            </w:tr>
            <w:tr w:rsidR="001E6FB8" w:rsidRPr="00E141F1" w:rsidTr="001E6FB8">
              <w:trPr>
                <w:trHeight w:val="135"/>
              </w:trPr>
              <w:tc>
                <w:tcPr>
                  <w:tcW w:w="5564" w:type="dxa"/>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Vodafone Hutchison Australia Pty Limited</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r w:rsidRPr="00E141F1">
                    <w:rPr>
                      <w:rFonts w:cs="Arial"/>
                      <w:sz w:val="18"/>
                      <w:szCs w:val="18"/>
                    </w:rPr>
                    <w:t>6,057,728.02</w:t>
                  </w:r>
                </w:p>
              </w:tc>
              <w:tc>
                <w:tcPr>
                  <w:tcW w:w="2099" w:type="dxa"/>
                  <w:vAlign w:val="center"/>
                </w:tcPr>
                <w:p w:rsidR="001E6FB8" w:rsidRPr="00E141F1" w:rsidRDefault="001E6FB8" w:rsidP="001E6FB8">
                  <w:pPr>
                    <w:keepNext/>
                    <w:keepLines/>
                    <w:jc w:val="right"/>
                    <w:rPr>
                      <w:rFonts w:cs="Arial"/>
                      <w:sz w:val="18"/>
                      <w:szCs w:val="18"/>
                    </w:rPr>
                  </w:pPr>
                  <w:r w:rsidRPr="00E141F1">
                    <w:rPr>
                      <w:rFonts w:cs="Arial"/>
                      <w:sz w:val="18"/>
                      <w:szCs w:val="18"/>
                    </w:rPr>
                    <w:t>17,046,005.24</w:t>
                  </w:r>
                </w:p>
              </w:tc>
            </w:tr>
            <w:tr w:rsidR="001E6FB8" w:rsidRPr="00E141F1" w:rsidTr="001E6FB8">
              <w:trPr>
                <w:trHeight w:val="135"/>
              </w:trPr>
              <w:tc>
                <w:tcPr>
                  <w:tcW w:w="5564" w:type="dxa"/>
                  <w:shd w:val="clear" w:color="auto" w:fill="auto"/>
                  <w:tcMar>
                    <w:left w:w="113" w:type="dxa"/>
                  </w:tcMar>
                  <w:vAlign w:val="center"/>
                </w:tcPr>
                <w:p w:rsidR="001E6FB8" w:rsidRPr="003E4870" w:rsidRDefault="001E6FB8" w:rsidP="001E6FB8">
                  <w:pPr>
                    <w:pStyle w:val="Caption"/>
                    <w:rPr>
                      <w:rFonts w:cs="Arial"/>
                      <w:color w:val="00709E"/>
                      <w:sz w:val="18"/>
                      <w:szCs w:val="18"/>
                    </w:rPr>
                  </w:pPr>
                  <w:r w:rsidRPr="003E4870">
                    <w:rPr>
                      <w:rFonts w:cs="Arial"/>
                      <w:color w:val="00709E"/>
                      <w:sz w:val="18"/>
                      <w:szCs w:val="18"/>
                    </w:rPr>
                    <w:t>AAPT</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p>
              </w:tc>
              <w:tc>
                <w:tcPr>
                  <w:tcW w:w="2099" w:type="dxa"/>
                  <w:vAlign w:val="center"/>
                </w:tcPr>
                <w:p w:rsidR="001E6FB8" w:rsidRPr="00E141F1" w:rsidRDefault="001E6FB8" w:rsidP="001E6FB8">
                  <w:pPr>
                    <w:keepNext/>
                    <w:keepLines/>
                    <w:jc w:val="right"/>
                    <w:rPr>
                      <w:rFonts w:cs="Arial"/>
                      <w:sz w:val="18"/>
                      <w:szCs w:val="18"/>
                    </w:rPr>
                  </w:pPr>
                  <w:r w:rsidRPr="00E141F1">
                    <w:rPr>
                      <w:rFonts w:cs="Arial"/>
                      <w:sz w:val="18"/>
                      <w:szCs w:val="18"/>
                    </w:rPr>
                    <w:t>1,375,103.37</w:t>
                  </w:r>
                </w:p>
              </w:tc>
            </w:tr>
            <w:tr w:rsidR="001E6FB8" w:rsidRPr="00E141F1" w:rsidTr="001E6FB8">
              <w:trPr>
                <w:trHeight w:val="135"/>
              </w:trPr>
              <w:tc>
                <w:tcPr>
                  <w:tcW w:w="5564" w:type="dxa"/>
                  <w:shd w:val="clear" w:color="auto" w:fill="auto"/>
                  <w:tcMar>
                    <w:left w:w="113" w:type="dxa"/>
                  </w:tcMar>
                  <w:vAlign w:val="center"/>
                </w:tcPr>
                <w:p w:rsidR="001E6FB8" w:rsidRPr="003E4870" w:rsidRDefault="001E6FB8" w:rsidP="001E6FB8">
                  <w:pPr>
                    <w:pStyle w:val="Caption"/>
                    <w:rPr>
                      <w:rFonts w:cs="Arial"/>
                      <w:color w:val="00709E"/>
                      <w:sz w:val="18"/>
                      <w:szCs w:val="18"/>
                    </w:rPr>
                  </w:pPr>
                  <w:r w:rsidRPr="003E4870">
                    <w:rPr>
                      <w:rFonts w:cs="Arial"/>
                      <w:color w:val="00709E"/>
                      <w:sz w:val="18"/>
                      <w:szCs w:val="18"/>
                    </w:rPr>
                    <w:t>Chime Communications Pty Ltd</w:t>
                  </w:r>
                </w:p>
              </w:tc>
              <w:tc>
                <w:tcPr>
                  <w:tcW w:w="1819" w:type="dxa"/>
                  <w:shd w:val="clear" w:color="auto" w:fill="auto"/>
                  <w:tcMar>
                    <w:left w:w="113" w:type="dxa"/>
                  </w:tcMar>
                  <w:vAlign w:val="center"/>
                </w:tcPr>
                <w:p w:rsidR="001E6FB8" w:rsidRPr="00E141F1" w:rsidRDefault="001E6FB8" w:rsidP="001E6FB8">
                  <w:pPr>
                    <w:keepNext/>
                    <w:keepLines/>
                    <w:jc w:val="right"/>
                    <w:rPr>
                      <w:rFonts w:cs="Arial"/>
                      <w:sz w:val="18"/>
                      <w:szCs w:val="18"/>
                    </w:rPr>
                  </w:pPr>
                </w:p>
              </w:tc>
              <w:tc>
                <w:tcPr>
                  <w:tcW w:w="2099" w:type="dxa"/>
                  <w:vAlign w:val="center"/>
                </w:tcPr>
                <w:p w:rsidR="001E6FB8" w:rsidRPr="00E141F1" w:rsidRDefault="001E6FB8" w:rsidP="001E6FB8">
                  <w:pPr>
                    <w:keepNext/>
                    <w:keepLines/>
                    <w:jc w:val="right"/>
                    <w:rPr>
                      <w:rFonts w:cs="Arial"/>
                      <w:sz w:val="18"/>
                      <w:szCs w:val="18"/>
                    </w:rPr>
                  </w:pPr>
                  <w:r w:rsidRPr="00E141F1">
                    <w:rPr>
                      <w:rFonts w:cs="Arial"/>
                      <w:sz w:val="18"/>
                      <w:szCs w:val="18"/>
                    </w:rPr>
                    <w:t>1,275,842.92</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Default="001E6FB8" w:rsidP="001E6FB8">
            <w:pPr>
              <w:spacing w:before="60" w:after="60"/>
              <w:rPr>
                <w:rFonts w:cs="Arial"/>
                <w:lang w:val="fr-FR"/>
              </w:rPr>
            </w:pPr>
            <w:r w:rsidRPr="00E141F1">
              <w:rPr>
                <w:rFonts w:cs="Arial"/>
                <w:i/>
                <w:sz w:val="16"/>
                <w:szCs w:val="16"/>
                <w:lang w:val="fr-FR"/>
              </w:rPr>
              <w:t>Source: The ACMA.</w:t>
            </w:r>
          </w:p>
        </w:tc>
      </w:tr>
    </w:tbl>
    <w:p w:rsidR="001E6FB8" w:rsidRPr="00E141F1" w:rsidRDefault="001E6FB8" w:rsidP="001E6FB8">
      <w:bookmarkStart w:id="308" w:name="_Toc287540188"/>
      <w:bookmarkStart w:id="309" w:name="_Toc308517211"/>
      <w:bookmarkStart w:id="310" w:name="_Toc308523651"/>
      <w:bookmarkStart w:id="311" w:name="_Toc310326868"/>
    </w:p>
    <w:p w:rsidR="001E6FB8" w:rsidRPr="00E141F1" w:rsidRDefault="001E6FB8" w:rsidP="001E6FB8">
      <w:pPr>
        <w:pStyle w:val="Heading2"/>
      </w:pPr>
      <w:bookmarkStart w:id="312" w:name="_Toc371589039"/>
      <w:bookmarkStart w:id="313" w:name="_Toc373149101"/>
      <w:r w:rsidRPr="00E141F1">
        <w:t>Public payphones</w:t>
      </w:r>
      <w:bookmarkEnd w:id="312"/>
      <w:bookmarkEnd w:id="313"/>
    </w:p>
    <w:p w:rsidR="001E6FB8" w:rsidRPr="00E141F1" w:rsidRDefault="001E6FB8" w:rsidP="001E6FB8">
      <w:pPr>
        <w:rPr>
          <w:rFonts w:cs="Arial"/>
        </w:rPr>
      </w:pPr>
      <w:r w:rsidRPr="00E141F1">
        <w:rPr>
          <w:rFonts w:cs="Arial"/>
        </w:rPr>
        <w:t xml:space="preserve">Payphone services in Australia are provided on either a commercial basis or as part of the USO. Telstra is the current primary universal service provider (PUSP) for payphones and from 1 January 2012, it must comply with payphone performance standards and benchmarks made by the minister under the </w:t>
      </w:r>
      <w:r w:rsidRPr="00E141F1">
        <w:rPr>
          <w:rFonts w:cs="Arial"/>
          <w:i/>
        </w:rPr>
        <w:t xml:space="preserve">Telecommunications (Consumer Protection and Service Standards) Act 1999 </w:t>
      </w:r>
      <w:r w:rsidRPr="00E141F1">
        <w:rPr>
          <w:rFonts w:cs="Arial"/>
        </w:rPr>
        <w:t xml:space="preserve">(the TCPSS Act).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ACMA monitors Telstra’s payphone performance and also receives information about the number of payphones supplied or operated on a commercial basis by other providers.</w:t>
      </w:r>
    </w:p>
    <w:p w:rsidR="001E6FB8" w:rsidRPr="00E141F1" w:rsidRDefault="001E6FB8" w:rsidP="001E6FB8">
      <w:pPr>
        <w:rPr>
          <w:rFonts w:cs="Arial"/>
        </w:rPr>
      </w:pPr>
    </w:p>
    <w:p w:rsidR="001E6FB8" w:rsidRPr="00E141F1" w:rsidRDefault="001E6FB8" w:rsidP="001E6FB8">
      <w:pPr>
        <w:pStyle w:val="Heading3"/>
      </w:pPr>
      <w:bookmarkStart w:id="314" w:name="_Toc341428360"/>
      <w:bookmarkStart w:id="315" w:name="_Toc371589040"/>
      <w:bookmarkStart w:id="316" w:name="_Toc373149102"/>
      <w:r w:rsidRPr="00E141F1">
        <w:t>Numbers of payphones and payphone sites</w:t>
      </w:r>
      <w:bookmarkEnd w:id="314"/>
      <w:bookmarkEnd w:id="315"/>
      <w:bookmarkEnd w:id="316"/>
    </w:p>
    <w:p w:rsidR="001E6FB8" w:rsidRDefault="001E6FB8" w:rsidP="001E6FB8">
      <w:pPr>
        <w:spacing w:after="80"/>
        <w:rPr>
          <w:rFonts w:cs="Arial"/>
        </w:rPr>
      </w:pPr>
      <w:r w:rsidRPr="00E141F1">
        <w:rPr>
          <w:rFonts w:cs="Arial"/>
        </w:rPr>
        <w:t>During 2012–13, the total number of payphones (both Telstra-operated and privately operated) in Australia fell by five per cent from 31,032 to 29,523. This comprised:</w:t>
      </w:r>
    </w:p>
    <w:p w:rsidR="001E6FB8" w:rsidRPr="00E141F1" w:rsidRDefault="001E6FB8" w:rsidP="001E6FB8">
      <w:pPr>
        <w:pStyle w:val="ListBullet"/>
        <w:rPr>
          <w:rFonts w:cs="Arial"/>
        </w:rPr>
      </w:pPr>
      <w:r w:rsidRPr="00E141F1">
        <w:rPr>
          <w:rFonts w:cs="Arial"/>
        </w:rPr>
        <w:t xml:space="preserve">a net decrease of 1.2 per cent in the number of Telstra-operated payphones, </w:t>
      </w:r>
      <w:r>
        <w:rPr>
          <w:rFonts w:cs="Arial"/>
        </w:rPr>
        <w:br/>
      </w:r>
      <w:r w:rsidRPr="00E141F1">
        <w:rPr>
          <w:rFonts w:cs="Arial"/>
        </w:rPr>
        <w:t>from 18,246 to 18,035</w:t>
      </w:r>
    </w:p>
    <w:p w:rsidR="001E6FB8" w:rsidRPr="00E141F1" w:rsidRDefault="001E6FB8" w:rsidP="001E6FB8">
      <w:pPr>
        <w:pStyle w:val="ListBullet"/>
        <w:spacing w:after="240"/>
        <w:rPr>
          <w:rFonts w:cs="Arial"/>
        </w:rPr>
      </w:pPr>
      <w:r w:rsidRPr="00E141F1">
        <w:rPr>
          <w:rFonts w:cs="Arial"/>
        </w:rPr>
        <w:t xml:space="preserve">a net decrease of 10.2 per </w:t>
      </w:r>
      <w:r>
        <w:rPr>
          <w:rFonts w:cs="Arial"/>
        </w:rPr>
        <w:t xml:space="preserve">cent in the number of privately </w:t>
      </w:r>
      <w:r w:rsidRPr="00E141F1">
        <w:rPr>
          <w:rFonts w:cs="Arial"/>
        </w:rPr>
        <w:t>operated payphones, from 12,786 to 11,488.</w:t>
      </w:r>
    </w:p>
    <w:p w:rsidR="001E6FB8" w:rsidRDefault="001E6FB8" w:rsidP="001E6FB8">
      <w:r w:rsidRPr="00E141F1">
        <w:t xml:space="preserve">During the reporting period, there was a decrease of 0.4 per cent in the number of Telstra-operated payphone sites, from 14,991 to 14,938 (noting some sites have more than one payphone). At 30 June 2013, 61.1 per cent of payphones were operated by Telstra. The remaining payphones were provided by other telecommunications companies, such as </w:t>
      </w:r>
      <w:proofErr w:type="spellStart"/>
      <w:r w:rsidRPr="00E141F1">
        <w:t>TriTel</w:t>
      </w:r>
      <w:proofErr w:type="spellEnd"/>
      <w:r w:rsidRPr="00E141F1">
        <w:t xml:space="preserve"> Australia Pty Ltd (the second-largest provider of payphones) or other businesses, such as hotels, clubs and convenience stores. </w:t>
      </w:r>
    </w:p>
    <w:p w:rsidR="001E6FB8" w:rsidRPr="00E141F1" w:rsidRDefault="001E6FB8" w:rsidP="001E6FB8"/>
    <w:p w:rsidR="001E6FB8" w:rsidRDefault="001E6FB8" w:rsidP="001E6FB8">
      <w:r w:rsidRPr="00E141F1">
        <w:t>Figure 3.1 shows that the total number of Telstra-operated and non-Telstra-operated payphones has decreased over the past five reporting periods, while the annual number of payphone removals has also generally declined over the same period.</w:t>
      </w:r>
      <w:r>
        <w:t xml:space="preserve"> The net annual reduction in Telstra-</w:t>
      </w:r>
      <w:r w:rsidRPr="00E141F1">
        <w:t>operated payphones has reduced over this period from 1,666 payphones in 2009–10 to 304 payphones in 2010–11, 467 payphones in 2011–12 and 211 payphones in 2012–13.</w:t>
      </w:r>
    </w:p>
    <w:p w:rsidR="001E6FB8" w:rsidRDefault="001E6FB8" w:rsidP="001E6FB8"/>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rPr>
                <w:rFonts w:cs="Arial"/>
                <w:kern w:val="32"/>
                <w:sz w:val="53"/>
              </w:rPr>
            </w:pPr>
            <w:r w:rsidRPr="00E141F1">
              <w:rPr>
                <w:rFonts w:cs="Arial"/>
              </w:rPr>
              <w:t>Figure 3.1 Number of payphones in operation</w:t>
            </w:r>
          </w:p>
        </w:tc>
      </w:tr>
      <w:tr w:rsidR="001E6FB8" w:rsidRPr="00E141F1" w:rsidTr="001E6FB8">
        <w:tblPrEx>
          <w:tblCellMar>
            <w:left w:w="108" w:type="dxa"/>
            <w:right w:w="108" w:type="dxa"/>
          </w:tblCellMar>
        </w:tblPrEx>
        <w:trPr>
          <w:trHeight w:val="3086"/>
        </w:trPr>
        <w:tc>
          <w:tcPr>
            <w:tcW w:w="9645" w:type="dxa"/>
            <w:shd w:val="clear" w:color="auto" w:fill="auto"/>
          </w:tcPr>
          <w:p w:rsidR="001E6FB8" w:rsidRPr="00E141F1" w:rsidRDefault="001E6FB8" w:rsidP="001E6FB8">
            <w:pPr>
              <w:rPr>
                <w:rFonts w:cs="Arial"/>
                <w:sz w:val="18"/>
                <w:szCs w:val="18"/>
              </w:rPr>
            </w:pPr>
            <w:r w:rsidRPr="00AF68DA">
              <w:rPr>
                <w:rFonts w:cs="Arial"/>
                <w:noProof/>
                <w:sz w:val="18"/>
                <w:szCs w:val="18"/>
              </w:rPr>
              <w:drawing>
                <wp:inline distT="0" distB="0" distL="0" distR="0">
                  <wp:extent cx="6132444" cy="1858618"/>
                  <wp:effectExtent l="0" t="0" r="0" b="0"/>
                  <wp:docPr id="19"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60" w:line="240" w:lineRule="auto"/>
              <w:rPr>
                <w:rFonts w:cs="Arial"/>
                <w:i/>
                <w:sz w:val="16"/>
                <w:szCs w:val="16"/>
              </w:rPr>
            </w:pPr>
            <w:r w:rsidRPr="00E141F1">
              <w:rPr>
                <w:rFonts w:cs="Arial"/>
                <w:i/>
                <w:sz w:val="16"/>
                <w:szCs w:val="16"/>
              </w:rPr>
              <w:t xml:space="preserve">*Includes </w:t>
            </w:r>
            <w:proofErr w:type="spellStart"/>
            <w:r w:rsidRPr="00E141F1">
              <w:rPr>
                <w:rFonts w:cs="Arial"/>
                <w:i/>
                <w:sz w:val="16"/>
                <w:szCs w:val="16"/>
              </w:rPr>
              <w:t>TriTel</w:t>
            </w:r>
            <w:proofErr w:type="spellEnd"/>
            <w:r w:rsidRPr="00E141F1">
              <w:rPr>
                <w:rFonts w:cs="Arial"/>
                <w:i/>
                <w:sz w:val="16"/>
                <w:szCs w:val="16"/>
              </w:rPr>
              <w:t xml:space="preserve"> payphones and payphones provided via Telstra access lines.</w:t>
            </w:r>
          </w:p>
          <w:p w:rsidR="001E6FB8" w:rsidRPr="00E141F1" w:rsidRDefault="001E6FB8" w:rsidP="001E6FB8">
            <w:pPr>
              <w:spacing w:after="60" w:line="240" w:lineRule="auto"/>
              <w:rPr>
                <w:rFonts w:cs="Arial"/>
                <w:sz w:val="16"/>
                <w:szCs w:val="16"/>
              </w:rPr>
            </w:pPr>
            <w:r w:rsidRPr="00E141F1">
              <w:rPr>
                <w:rFonts w:cs="Arial"/>
                <w:i/>
                <w:sz w:val="16"/>
                <w:szCs w:val="16"/>
              </w:rPr>
              <w:t xml:space="preserve">Source: Telstra and </w:t>
            </w:r>
            <w:proofErr w:type="spellStart"/>
            <w:r w:rsidRPr="00E141F1">
              <w:rPr>
                <w:rFonts w:cs="Arial"/>
                <w:i/>
                <w:sz w:val="16"/>
                <w:szCs w:val="16"/>
              </w:rPr>
              <w:t>TriTel</w:t>
            </w:r>
            <w:proofErr w:type="spellEnd"/>
            <w:r w:rsidRPr="00E141F1">
              <w:rPr>
                <w:rFonts w:cs="Arial"/>
                <w:i/>
                <w:sz w:val="16"/>
                <w:szCs w:val="16"/>
              </w:rPr>
              <w:t>.</w:t>
            </w:r>
          </w:p>
        </w:tc>
      </w:tr>
    </w:tbl>
    <w:p w:rsidR="001E6FB8" w:rsidRPr="00E141F1" w:rsidRDefault="001E6FB8" w:rsidP="001E6FB8">
      <w:pPr>
        <w:spacing w:line="240" w:lineRule="auto"/>
        <w:rPr>
          <w:rFonts w:cs="Arial"/>
        </w:rPr>
      </w:pPr>
    </w:p>
    <w:p w:rsidR="001E6FB8" w:rsidRPr="00E141F1" w:rsidRDefault="001E6FB8" w:rsidP="001E6FB8">
      <w:pPr>
        <w:rPr>
          <w:rFonts w:cs="Arial"/>
        </w:rPr>
      </w:pPr>
      <w:r w:rsidRPr="00E141F1">
        <w:rPr>
          <w:rFonts w:cs="Arial"/>
        </w:rPr>
        <w:t>Table 3.2 provides the geographic distribution of Telstra payphones and payphones provided via Telstra access lines as at 30 June 2013.</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Table 3.2 Distribution of Telstra payphones by geographical category, 30 June 2013</w:t>
            </w:r>
          </w:p>
        </w:tc>
      </w:tr>
      <w:tr w:rsidR="001E6FB8" w:rsidRPr="00E141F1" w:rsidTr="001E6FB8">
        <w:trPr>
          <w:trHeight w:val="864"/>
        </w:trPr>
        <w:tc>
          <w:tcPr>
            <w:tcW w:w="9645" w:type="dxa"/>
            <w:shd w:val="clear" w:color="auto" w:fill="auto"/>
            <w:tcMar>
              <w:left w:w="28" w:type="dxa"/>
            </w:tcMar>
          </w:tcPr>
          <w:tbl>
            <w:tblPr>
              <w:tblW w:w="9452" w:type="dxa"/>
              <w:tblBorders>
                <w:insideH w:val="single" w:sz="4" w:space="0" w:color="C8C8C8"/>
              </w:tblBorders>
              <w:tblLayout w:type="fixed"/>
              <w:tblCellMar>
                <w:left w:w="85" w:type="dxa"/>
                <w:right w:w="0" w:type="dxa"/>
              </w:tblCellMar>
              <w:tblLook w:val="01E0"/>
            </w:tblPr>
            <w:tblGrid>
              <w:gridCol w:w="4564"/>
              <w:gridCol w:w="1362"/>
              <w:gridCol w:w="1417"/>
              <w:gridCol w:w="1134"/>
              <w:gridCol w:w="142"/>
              <w:gridCol w:w="833"/>
            </w:tblGrid>
            <w:tr w:rsidR="001E6FB8" w:rsidRPr="00E141F1" w:rsidTr="001E6FB8">
              <w:trPr>
                <w:trHeight w:val="355"/>
              </w:trPr>
              <w:tc>
                <w:tcPr>
                  <w:tcW w:w="4564" w:type="dxa"/>
                  <w:tcBorders>
                    <w:top w:val="nil"/>
                    <w:bottom w:val="single" w:sz="4" w:space="0" w:color="C8C8C8"/>
                  </w:tcBorders>
                  <w:shd w:val="clear" w:color="auto" w:fill="00709E"/>
                  <w:tcMar>
                    <w:top w:w="34" w:type="dxa"/>
                    <w:left w:w="113" w:type="dxa"/>
                  </w:tcMar>
                  <w:vAlign w:val="center"/>
                </w:tcPr>
                <w:p w:rsidR="001E6FB8" w:rsidRDefault="001E6FB8" w:rsidP="001E6FB8">
                  <w:pPr>
                    <w:pStyle w:val="TableHeading"/>
                    <w:keepNext/>
                    <w:keepLines/>
                    <w:ind w:right="145"/>
                    <w:rPr>
                      <w:rFonts w:cs="Arial"/>
                      <w:color w:val="FFFFFF" w:themeColor="background1"/>
                      <w:sz w:val="18"/>
                      <w:szCs w:val="18"/>
                    </w:rPr>
                  </w:pPr>
                </w:p>
              </w:tc>
              <w:tc>
                <w:tcPr>
                  <w:tcW w:w="1362" w:type="dxa"/>
                  <w:tcBorders>
                    <w:top w:val="nil"/>
                    <w:bottom w:val="single" w:sz="4" w:space="0" w:color="C8C8C8"/>
                  </w:tcBorders>
                  <w:shd w:val="clear" w:color="auto" w:fill="00709E"/>
                  <w:tcMar>
                    <w:left w:w="113" w:type="dxa"/>
                  </w:tcMar>
                  <w:vAlign w:val="center"/>
                </w:tcPr>
                <w:p w:rsidR="001E6FB8" w:rsidRDefault="001E6FB8" w:rsidP="001E6FB8">
                  <w:pPr>
                    <w:pStyle w:val="TableHeading"/>
                    <w:keepNext/>
                    <w:keepLines/>
                    <w:ind w:right="145"/>
                    <w:rPr>
                      <w:rFonts w:cs="Arial"/>
                      <w:color w:val="FFFFFF" w:themeColor="background1"/>
                      <w:sz w:val="18"/>
                      <w:szCs w:val="18"/>
                    </w:rPr>
                  </w:pPr>
                  <w:r w:rsidRPr="00E141F1">
                    <w:rPr>
                      <w:rFonts w:cs="Arial"/>
                      <w:color w:val="FFFFFF" w:themeColor="background1"/>
                      <w:sz w:val="18"/>
                      <w:szCs w:val="18"/>
                    </w:rPr>
                    <w:t>Urban</w:t>
                  </w:r>
                </w:p>
              </w:tc>
              <w:tc>
                <w:tcPr>
                  <w:tcW w:w="1417" w:type="dxa"/>
                  <w:tcBorders>
                    <w:top w:val="nil"/>
                    <w:bottom w:val="single" w:sz="4" w:space="0" w:color="C8C8C8"/>
                  </w:tcBorders>
                  <w:shd w:val="clear" w:color="auto" w:fill="00709E"/>
                  <w:tcMar>
                    <w:left w:w="113" w:type="dxa"/>
                  </w:tcMar>
                  <w:vAlign w:val="center"/>
                </w:tcPr>
                <w:p w:rsidR="001E6FB8" w:rsidRDefault="001E6FB8" w:rsidP="001E6FB8">
                  <w:pPr>
                    <w:pStyle w:val="TableHeading"/>
                    <w:keepNext/>
                    <w:keepLines/>
                    <w:ind w:right="145"/>
                    <w:rPr>
                      <w:rFonts w:cs="Arial"/>
                      <w:color w:val="FFFFFF" w:themeColor="background1"/>
                      <w:sz w:val="18"/>
                      <w:szCs w:val="18"/>
                    </w:rPr>
                  </w:pPr>
                  <w:r w:rsidRPr="00E141F1">
                    <w:rPr>
                      <w:rFonts w:cs="Arial"/>
                      <w:color w:val="FFFFFF" w:themeColor="background1"/>
                      <w:sz w:val="18"/>
                      <w:szCs w:val="18"/>
                    </w:rPr>
                    <w:t>Rural</w:t>
                  </w:r>
                </w:p>
              </w:tc>
              <w:tc>
                <w:tcPr>
                  <w:tcW w:w="1134" w:type="dxa"/>
                  <w:tcBorders>
                    <w:top w:val="nil"/>
                    <w:bottom w:val="single" w:sz="4" w:space="0" w:color="C8C8C8"/>
                  </w:tcBorders>
                  <w:shd w:val="clear" w:color="auto" w:fill="00709E"/>
                  <w:tcMar>
                    <w:left w:w="113" w:type="dxa"/>
                  </w:tcMar>
                  <w:vAlign w:val="center"/>
                </w:tcPr>
                <w:p w:rsidR="001E6FB8" w:rsidRDefault="001E6FB8" w:rsidP="001E6FB8">
                  <w:pPr>
                    <w:pStyle w:val="TableHeading"/>
                    <w:keepNext/>
                    <w:keepLines/>
                    <w:ind w:right="145"/>
                    <w:rPr>
                      <w:rFonts w:cs="Arial"/>
                      <w:color w:val="FFFFFF" w:themeColor="background1"/>
                      <w:sz w:val="18"/>
                      <w:szCs w:val="18"/>
                    </w:rPr>
                  </w:pPr>
                  <w:r w:rsidRPr="00E141F1">
                    <w:rPr>
                      <w:rFonts w:cs="Arial"/>
                      <w:color w:val="FFFFFF" w:themeColor="background1"/>
                      <w:sz w:val="18"/>
                      <w:szCs w:val="18"/>
                    </w:rPr>
                    <w:t>Remote*</w:t>
                  </w:r>
                </w:p>
              </w:tc>
              <w:tc>
                <w:tcPr>
                  <w:tcW w:w="975" w:type="dxa"/>
                  <w:gridSpan w:val="2"/>
                  <w:tcBorders>
                    <w:top w:val="nil"/>
                    <w:bottom w:val="single" w:sz="4" w:space="0" w:color="C8C8C8"/>
                  </w:tcBorders>
                  <w:shd w:val="clear" w:color="auto" w:fill="00709E"/>
                  <w:vAlign w:val="center"/>
                </w:tcPr>
                <w:p w:rsidR="001E6FB8" w:rsidRDefault="001E6FB8" w:rsidP="001E6FB8">
                  <w:pPr>
                    <w:pStyle w:val="TableHeading"/>
                    <w:keepNext/>
                    <w:keepLines/>
                    <w:tabs>
                      <w:tab w:val="left" w:pos="695"/>
                    </w:tabs>
                    <w:ind w:right="145"/>
                    <w:jc w:val="right"/>
                    <w:rPr>
                      <w:rFonts w:cs="Arial"/>
                      <w:color w:val="FFFFFF" w:themeColor="background1"/>
                      <w:sz w:val="18"/>
                      <w:szCs w:val="18"/>
                    </w:rPr>
                  </w:pPr>
                  <w:r w:rsidRPr="00E141F1">
                    <w:rPr>
                      <w:rFonts w:cs="Arial"/>
                      <w:color w:val="FFFFFF" w:themeColor="background1"/>
                      <w:sz w:val="18"/>
                      <w:szCs w:val="18"/>
                    </w:rPr>
                    <w:t>RIC</w:t>
                  </w:r>
                </w:p>
              </w:tc>
            </w:tr>
            <w:tr w:rsidR="001E6FB8" w:rsidRPr="00E141F1" w:rsidTr="001E6FB8">
              <w:trPr>
                <w:trHeight w:val="342"/>
              </w:trPr>
              <w:tc>
                <w:tcPr>
                  <w:tcW w:w="456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Telstra-operated payphones</w:t>
                  </w:r>
                </w:p>
              </w:tc>
              <w:tc>
                <w:tcPr>
                  <w:tcW w:w="1362" w:type="dxa"/>
                  <w:tcBorders>
                    <w:top w:val="single" w:sz="4" w:space="0" w:color="C8C8C8"/>
                    <w:bottom w:val="single" w:sz="4" w:space="0" w:color="C8C8C8"/>
                  </w:tcBorders>
                  <w:shd w:val="clear" w:color="auto" w:fill="auto"/>
                  <w:tcMar>
                    <w:left w:w="113" w:type="dxa"/>
                  </w:tcMar>
                  <w:vAlign w:val="center"/>
                </w:tcPr>
                <w:p w:rsidR="001E6FB8" w:rsidRDefault="001E6FB8" w:rsidP="001E6FB8">
                  <w:pPr>
                    <w:keepNext/>
                    <w:keepLines/>
                    <w:ind w:right="145"/>
                    <w:rPr>
                      <w:rFonts w:cs="Arial"/>
                      <w:color w:val="000000"/>
                      <w:sz w:val="18"/>
                      <w:szCs w:val="18"/>
                    </w:rPr>
                  </w:pPr>
                  <w:r w:rsidRPr="00E141F1">
                    <w:rPr>
                      <w:rFonts w:cs="Arial"/>
                      <w:color w:val="000000"/>
                      <w:sz w:val="18"/>
                      <w:szCs w:val="18"/>
                    </w:rPr>
                    <w:t>12,363</w:t>
                  </w:r>
                </w:p>
                <w:p w:rsidR="001E6FB8" w:rsidRDefault="001E6FB8" w:rsidP="001E6FB8">
                  <w:pPr>
                    <w:keepNext/>
                    <w:keepLines/>
                    <w:ind w:right="145"/>
                    <w:rPr>
                      <w:rFonts w:cs="Arial"/>
                      <w:color w:val="000000"/>
                      <w:sz w:val="18"/>
                      <w:szCs w:val="18"/>
                    </w:rPr>
                  </w:pPr>
                  <w:r w:rsidRPr="00E141F1">
                    <w:rPr>
                      <w:rFonts w:cs="Arial"/>
                      <w:color w:val="000000"/>
                      <w:sz w:val="18"/>
                      <w:szCs w:val="18"/>
                    </w:rPr>
                    <w:t>(68.6%)</w:t>
                  </w:r>
                </w:p>
              </w:tc>
              <w:tc>
                <w:tcPr>
                  <w:tcW w:w="1417" w:type="dxa"/>
                  <w:tcBorders>
                    <w:top w:val="single" w:sz="4" w:space="0" w:color="C8C8C8"/>
                    <w:bottom w:val="single" w:sz="4" w:space="0" w:color="C8C8C8"/>
                  </w:tcBorders>
                  <w:shd w:val="clear" w:color="auto" w:fill="auto"/>
                  <w:tcMar>
                    <w:left w:w="113" w:type="dxa"/>
                  </w:tcMar>
                  <w:vAlign w:val="center"/>
                </w:tcPr>
                <w:p w:rsidR="001E6FB8" w:rsidRDefault="001E6FB8" w:rsidP="001E6FB8">
                  <w:pPr>
                    <w:keepNext/>
                    <w:keepLines/>
                    <w:ind w:right="145"/>
                    <w:rPr>
                      <w:rFonts w:cs="Arial"/>
                      <w:color w:val="000000"/>
                      <w:sz w:val="18"/>
                      <w:szCs w:val="18"/>
                    </w:rPr>
                  </w:pPr>
                  <w:r w:rsidRPr="00E141F1">
                    <w:rPr>
                      <w:rFonts w:cs="Arial"/>
                      <w:color w:val="000000"/>
                      <w:sz w:val="18"/>
                      <w:szCs w:val="18"/>
                    </w:rPr>
                    <w:t>4,777</w:t>
                  </w:r>
                </w:p>
                <w:p w:rsidR="001E6FB8" w:rsidRDefault="001E6FB8" w:rsidP="001E6FB8">
                  <w:pPr>
                    <w:keepNext/>
                    <w:keepLines/>
                    <w:ind w:right="145"/>
                    <w:rPr>
                      <w:rFonts w:cs="Arial"/>
                      <w:color w:val="000000"/>
                      <w:sz w:val="18"/>
                      <w:szCs w:val="18"/>
                    </w:rPr>
                  </w:pPr>
                  <w:r w:rsidRPr="00E141F1">
                    <w:rPr>
                      <w:rFonts w:cs="Arial"/>
                      <w:color w:val="000000"/>
                      <w:sz w:val="18"/>
                      <w:szCs w:val="18"/>
                    </w:rPr>
                    <w:t>(26.4%)</w:t>
                  </w:r>
                </w:p>
              </w:tc>
              <w:tc>
                <w:tcPr>
                  <w:tcW w:w="1276" w:type="dxa"/>
                  <w:gridSpan w:val="2"/>
                  <w:tcBorders>
                    <w:top w:val="single" w:sz="4" w:space="0" w:color="C8C8C8"/>
                    <w:bottom w:val="single" w:sz="4" w:space="0" w:color="C8C8C8"/>
                  </w:tcBorders>
                  <w:shd w:val="clear" w:color="auto" w:fill="auto"/>
                  <w:tcMar>
                    <w:left w:w="113" w:type="dxa"/>
                  </w:tcMar>
                  <w:vAlign w:val="center"/>
                </w:tcPr>
                <w:p w:rsidR="001E6FB8" w:rsidRDefault="001E6FB8" w:rsidP="001E6FB8">
                  <w:pPr>
                    <w:keepNext/>
                    <w:keepLines/>
                    <w:ind w:right="145"/>
                    <w:rPr>
                      <w:rFonts w:cs="Arial"/>
                      <w:color w:val="000000"/>
                      <w:sz w:val="18"/>
                      <w:szCs w:val="18"/>
                    </w:rPr>
                  </w:pPr>
                  <w:r w:rsidRPr="00E141F1">
                    <w:rPr>
                      <w:rFonts w:cs="Arial"/>
                      <w:color w:val="000000"/>
                      <w:sz w:val="18"/>
                      <w:szCs w:val="18"/>
                    </w:rPr>
                    <w:t>895</w:t>
                  </w:r>
                </w:p>
                <w:p w:rsidR="001E6FB8" w:rsidRDefault="001E6FB8" w:rsidP="001E6FB8">
                  <w:pPr>
                    <w:keepNext/>
                    <w:keepLines/>
                    <w:ind w:right="145"/>
                    <w:rPr>
                      <w:rFonts w:cs="Arial"/>
                      <w:color w:val="000000"/>
                      <w:sz w:val="18"/>
                      <w:szCs w:val="18"/>
                    </w:rPr>
                  </w:pPr>
                  <w:r w:rsidRPr="00E141F1">
                    <w:rPr>
                      <w:rFonts w:cs="Arial"/>
                      <w:color w:val="000000"/>
                      <w:sz w:val="18"/>
                      <w:szCs w:val="18"/>
                    </w:rPr>
                    <w:t>(5.0%)</w:t>
                  </w:r>
                </w:p>
              </w:tc>
              <w:tc>
                <w:tcPr>
                  <w:tcW w:w="833" w:type="dxa"/>
                  <w:tcBorders>
                    <w:top w:val="single" w:sz="4" w:space="0" w:color="C8C8C8"/>
                    <w:bottom w:val="single" w:sz="4" w:space="0" w:color="C8C8C8"/>
                  </w:tcBorders>
                  <w:vAlign w:val="center"/>
                </w:tcPr>
                <w:p w:rsidR="001E6FB8" w:rsidRDefault="001E6FB8" w:rsidP="001E6FB8">
                  <w:pPr>
                    <w:keepNext/>
                    <w:keepLines/>
                    <w:ind w:right="145"/>
                    <w:jc w:val="right"/>
                    <w:rPr>
                      <w:rFonts w:cs="Arial"/>
                      <w:color w:val="000000"/>
                      <w:sz w:val="18"/>
                      <w:szCs w:val="18"/>
                    </w:rPr>
                  </w:pPr>
                  <w:r w:rsidRPr="00E141F1">
                    <w:rPr>
                      <w:rFonts w:cs="Arial"/>
                      <w:color w:val="000000"/>
                      <w:sz w:val="18"/>
                      <w:szCs w:val="18"/>
                    </w:rPr>
                    <w:t>592</w:t>
                  </w:r>
                </w:p>
                <w:p w:rsidR="001E6FB8" w:rsidRDefault="001E6FB8" w:rsidP="001E6FB8">
                  <w:pPr>
                    <w:keepNext/>
                    <w:keepLines/>
                    <w:ind w:right="145"/>
                    <w:jc w:val="right"/>
                    <w:rPr>
                      <w:rFonts w:cs="Arial"/>
                      <w:color w:val="000000"/>
                      <w:sz w:val="18"/>
                      <w:szCs w:val="18"/>
                    </w:rPr>
                  </w:pPr>
                  <w:r w:rsidRPr="00E141F1">
                    <w:rPr>
                      <w:rFonts w:cs="Arial"/>
                      <w:color w:val="000000"/>
                      <w:sz w:val="18"/>
                      <w:szCs w:val="18"/>
                    </w:rPr>
                    <w:t>(3.3%)</w:t>
                  </w:r>
                </w:p>
              </w:tc>
            </w:tr>
            <w:tr w:rsidR="001E6FB8" w:rsidRPr="00E141F1" w:rsidTr="001E6FB8">
              <w:trPr>
                <w:trHeight w:val="342"/>
              </w:trPr>
              <w:tc>
                <w:tcPr>
                  <w:tcW w:w="456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Other payphones (provided via Telstra access lines)</w:t>
                  </w:r>
                </w:p>
              </w:tc>
              <w:tc>
                <w:tcPr>
                  <w:tcW w:w="1362" w:type="dxa"/>
                  <w:tcBorders>
                    <w:top w:val="single" w:sz="4" w:space="0" w:color="C8C8C8"/>
                    <w:bottom w:val="single" w:sz="4" w:space="0" w:color="C8C8C8"/>
                  </w:tcBorders>
                  <w:shd w:val="clear" w:color="auto" w:fill="auto"/>
                  <w:tcMar>
                    <w:left w:w="113" w:type="dxa"/>
                  </w:tcMar>
                  <w:vAlign w:val="center"/>
                </w:tcPr>
                <w:p w:rsidR="001E6FB8" w:rsidRDefault="001E6FB8" w:rsidP="001E6FB8">
                  <w:pPr>
                    <w:keepNext/>
                    <w:keepLines/>
                    <w:ind w:right="145"/>
                    <w:rPr>
                      <w:rFonts w:cs="Arial"/>
                      <w:color w:val="000000"/>
                      <w:sz w:val="18"/>
                      <w:szCs w:val="18"/>
                    </w:rPr>
                  </w:pPr>
                  <w:r w:rsidRPr="00E141F1">
                    <w:rPr>
                      <w:rFonts w:cs="Arial"/>
                      <w:color w:val="000000"/>
                      <w:sz w:val="18"/>
                      <w:szCs w:val="18"/>
                    </w:rPr>
                    <w:t>8,252</w:t>
                  </w:r>
                </w:p>
              </w:tc>
              <w:tc>
                <w:tcPr>
                  <w:tcW w:w="1417" w:type="dxa"/>
                  <w:tcBorders>
                    <w:top w:val="single" w:sz="4" w:space="0" w:color="C8C8C8"/>
                    <w:bottom w:val="single" w:sz="4" w:space="0" w:color="C8C8C8"/>
                  </w:tcBorders>
                  <w:shd w:val="clear" w:color="auto" w:fill="auto"/>
                  <w:tcMar>
                    <w:left w:w="113" w:type="dxa"/>
                  </w:tcMar>
                  <w:vAlign w:val="center"/>
                </w:tcPr>
                <w:p w:rsidR="001E6FB8" w:rsidRDefault="001E6FB8" w:rsidP="001E6FB8">
                  <w:pPr>
                    <w:keepNext/>
                    <w:keepLines/>
                    <w:ind w:right="145"/>
                    <w:rPr>
                      <w:rFonts w:cs="Arial"/>
                      <w:color w:val="000000"/>
                      <w:sz w:val="18"/>
                      <w:szCs w:val="18"/>
                    </w:rPr>
                  </w:pPr>
                  <w:r w:rsidRPr="00E141F1">
                    <w:rPr>
                      <w:rFonts w:cs="Arial"/>
                      <w:color w:val="000000"/>
                      <w:sz w:val="18"/>
                      <w:szCs w:val="18"/>
                    </w:rPr>
                    <w:t>2,022</w:t>
                  </w:r>
                </w:p>
              </w:tc>
              <w:tc>
                <w:tcPr>
                  <w:tcW w:w="1276" w:type="dxa"/>
                  <w:gridSpan w:val="2"/>
                  <w:tcBorders>
                    <w:top w:val="single" w:sz="4" w:space="0" w:color="C8C8C8"/>
                    <w:bottom w:val="single" w:sz="4" w:space="0" w:color="C8C8C8"/>
                  </w:tcBorders>
                  <w:shd w:val="clear" w:color="auto" w:fill="auto"/>
                  <w:tcMar>
                    <w:left w:w="113" w:type="dxa"/>
                  </w:tcMar>
                  <w:vAlign w:val="center"/>
                </w:tcPr>
                <w:p w:rsidR="001E6FB8" w:rsidRDefault="001E6FB8" w:rsidP="001E6FB8">
                  <w:pPr>
                    <w:keepNext/>
                    <w:keepLines/>
                    <w:ind w:right="145"/>
                    <w:rPr>
                      <w:rFonts w:cs="Arial"/>
                      <w:color w:val="000000"/>
                      <w:sz w:val="18"/>
                      <w:szCs w:val="18"/>
                    </w:rPr>
                  </w:pPr>
                  <w:r w:rsidRPr="00E141F1">
                    <w:rPr>
                      <w:rFonts w:cs="Arial"/>
                      <w:color w:val="000000"/>
                      <w:sz w:val="18"/>
                      <w:szCs w:val="18"/>
                    </w:rPr>
                    <w:t xml:space="preserve">403 </w:t>
                  </w:r>
                </w:p>
              </w:tc>
              <w:tc>
                <w:tcPr>
                  <w:tcW w:w="833" w:type="dxa"/>
                  <w:tcBorders>
                    <w:top w:val="single" w:sz="4" w:space="0" w:color="C8C8C8"/>
                    <w:bottom w:val="single" w:sz="4" w:space="0" w:color="C8C8C8"/>
                  </w:tcBorders>
                  <w:vAlign w:val="center"/>
                </w:tcPr>
                <w:p w:rsidR="001E6FB8" w:rsidRDefault="001E6FB8" w:rsidP="001E6FB8">
                  <w:pPr>
                    <w:keepNext/>
                    <w:keepLines/>
                    <w:ind w:right="145"/>
                    <w:jc w:val="right"/>
                    <w:rPr>
                      <w:rFonts w:cs="Arial"/>
                      <w:color w:val="000000"/>
                      <w:sz w:val="18"/>
                      <w:szCs w:val="18"/>
                    </w:rPr>
                  </w:pPr>
                  <w:r w:rsidRPr="00E141F1">
                    <w:rPr>
                      <w:rFonts w:cs="Arial"/>
                      <w:color w:val="000000"/>
                      <w:sz w:val="18"/>
                      <w:szCs w:val="18"/>
                    </w:rPr>
                    <w:t xml:space="preserve">254 </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120" w:line="240" w:lineRule="auto"/>
              <w:rPr>
                <w:rFonts w:cs="Arial"/>
                <w:i/>
                <w:sz w:val="16"/>
                <w:szCs w:val="16"/>
              </w:rPr>
            </w:pPr>
            <w:r w:rsidRPr="00E141F1">
              <w:rPr>
                <w:rFonts w:cs="Arial"/>
                <w:i/>
                <w:sz w:val="16"/>
                <w:szCs w:val="16"/>
              </w:rPr>
              <w:t>RIC=Remote Indigenous communities.</w:t>
            </w:r>
            <w:r w:rsidRPr="00E141F1">
              <w:rPr>
                <w:rFonts w:cs="Arial"/>
                <w:i/>
                <w:sz w:val="16"/>
                <w:szCs w:val="16"/>
              </w:rPr>
              <w:br/>
              <w:t>*Including RIC.</w:t>
            </w:r>
          </w:p>
          <w:p w:rsidR="001E6FB8" w:rsidRPr="00E141F1" w:rsidRDefault="001E6FB8" w:rsidP="001E6FB8">
            <w:pPr>
              <w:spacing w:after="60" w:line="240" w:lineRule="auto"/>
              <w:rPr>
                <w:rFonts w:cs="Arial"/>
                <w:lang w:val="fr-FR"/>
              </w:rPr>
            </w:pPr>
            <w:r w:rsidRPr="00E141F1">
              <w:rPr>
                <w:rFonts w:cs="Arial"/>
                <w:i/>
                <w:sz w:val="16"/>
                <w:szCs w:val="16"/>
                <w:lang w:val="fr-FR"/>
              </w:rPr>
              <w:t>Note:</w:t>
            </w:r>
            <w:r w:rsidRPr="004E0526">
              <w:rPr>
                <w:rFonts w:cs="Arial"/>
                <w:i/>
                <w:sz w:val="16"/>
                <w:szCs w:val="16"/>
                <w:lang w:val="en-GB"/>
              </w:rPr>
              <w:t xml:space="preserve"> Excludes</w:t>
            </w:r>
            <w:r w:rsidRPr="00E141F1">
              <w:rPr>
                <w:rFonts w:cs="Arial"/>
                <w:i/>
                <w:sz w:val="16"/>
                <w:szCs w:val="16"/>
                <w:lang w:val="fr-FR"/>
              </w:rPr>
              <w:t xml:space="preserve"> </w:t>
            </w:r>
            <w:proofErr w:type="spellStart"/>
            <w:r w:rsidRPr="00E141F1">
              <w:rPr>
                <w:rFonts w:cs="Arial"/>
                <w:i/>
                <w:sz w:val="16"/>
                <w:szCs w:val="16"/>
                <w:lang w:val="fr-FR"/>
              </w:rPr>
              <w:t>TriTel</w:t>
            </w:r>
            <w:proofErr w:type="spellEnd"/>
            <w:r w:rsidRPr="00E141F1">
              <w:rPr>
                <w:rFonts w:cs="Arial"/>
                <w:i/>
                <w:sz w:val="16"/>
                <w:szCs w:val="16"/>
                <w:lang w:val="fr-FR"/>
              </w:rPr>
              <w:t xml:space="preserve"> </w:t>
            </w:r>
            <w:proofErr w:type="spellStart"/>
            <w:r w:rsidRPr="00E141F1">
              <w:rPr>
                <w:rFonts w:cs="Arial"/>
                <w:i/>
                <w:sz w:val="16"/>
                <w:szCs w:val="16"/>
                <w:lang w:val="fr-FR"/>
              </w:rPr>
              <w:t>payphones</w:t>
            </w:r>
            <w:proofErr w:type="spellEnd"/>
            <w:r w:rsidRPr="00E141F1">
              <w:rPr>
                <w:rFonts w:cs="Arial"/>
                <w:i/>
                <w:sz w:val="16"/>
                <w:szCs w:val="16"/>
                <w:lang w:val="fr-FR"/>
              </w:rPr>
              <w:br/>
              <w:t xml:space="preserve">Source: </w:t>
            </w:r>
            <w:proofErr w:type="spellStart"/>
            <w:r w:rsidRPr="00E141F1">
              <w:rPr>
                <w:rFonts w:cs="Arial"/>
                <w:i/>
                <w:sz w:val="16"/>
                <w:szCs w:val="16"/>
                <w:lang w:val="fr-FR"/>
              </w:rPr>
              <w:t>Telstra</w:t>
            </w:r>
            <w:proofErr w:type="spellEnd"/>
            <w:r w:rsidRPr="00E141F1">
              <w:rPr>
                <w:rFonts w:cs="Arial"/>
                <w:i/>
                <w:sz w:val="16"/>
                <w:szCs w:val="16"/>
                <w:lang w:val="fr-FR"/>
              </w:rPr>
              <w:t>.</w:t>
            </w:r>
          </w:p>
        </w:tc>
      </w:tr>
    </w:tbl>
    <w:p w:rsidR="001E6FB8" w:rsidRPr="00E141F1" w:rsidRDefault="001E6FB8" w:rsidP="001E6FB8">
      <w:pPr>
        <w:rPr>
          <w:rFonts w:cs="Arial"/>
          <w:lang w:val="fr-FR"/>
        </w:rPr>
      </w:pPr>
    </w:p>
    <w:p w:rsidR="001E6FB8" w:rsidRPr="00E141F1" w:rsidRDefault="001E6FB8" w:rsidP="001E6FB8">
      <w:pPr>
        <w:pStyle w:val="Heading3"/>
      </w:pPr>
      <w:bookmarkStart w:id="317" w:name="_Toc287540182"/>
      <w:bookmarkStart w:id="318" w:name="_Toc308517206"/>
      <w:bookmarkStart w:id="319" w:name="_Toc308523646"/>
      <w:bookmarkStart w:id="320" w:name="_Toc310326863"/>
      <w:bookmarkStart w:id="321" w:name="_Toc371589041"/>
      <w:bookmarkStart w:id="322" w:name="_Toc373149103"/>
      <w:r w:rsidRPr="00E141F1">
        <w:t>Payphone fault repair performance</w:t>
      </w:r>
      <w:bookmarkEnd w:id="317"/>
      <w:bookmarkEnd w:id="318"/>
      <w:bookmarkEnd w:id="319"/>
      <w:bookmarkEnd w:id="320"/>
      <w:bookmarkEnd w:id="321"/>
      <w:bookmarkEnd w:id="322"/>
    </w:p>
    <w:p w:rsidR="001E6FB8" w:rsidRPr="00E141F1" w:rsidRDefault="001E6FB8" w:rsidP="001E6FB8">
      <w:pPr>
        <w:spacing w:line="240" w:lineRule="auto"/>
        <w:rPr>
          <w:rFonts w:cs="Arial"/>
        </w:rPr>
      </w:pPr>
      <w:r w:rsidRPr="00E141F1">
        <w:rPr>
          <w:rFonts w:cs="Arial"/>
        </w:rPr>
        <w:t xml:space="preserve">Timely repair of payphone faults is an important component of the equitable provision of payphone services under the USO. </w:t>
      </w:r>
    </w:p>
    <w:p w:rsidR="001E6FB8" w:rsidRPr="00E141F1" w:rsidRDefault="001E6FB8" w:rsidP="001E6FB8">
      <w:pPr>
        <w:spacing w:line="240" w:lineRule="auto"/>
        <w:rPr>
          <w:rFonts w:cs="Arial"/>
        </w:rPr>
      </w:pPr>
    </w:p>
    <w:p w:rsidR="001E6FB8" w:rsidRPr="00E141F1" w:rsidRDefault="001E6FB8" w:rsidP="001E6FB8">
      <w:pPr>
        <w:spacing w:line="240" w:lineRule="auto"/>
        <w:rPr>
          <w:rFonts w:cs="Arial"/>
        </w:rPr>
      </w:pPr>
      <w:r w:rsidRPr="00E141F1">
        <w:rPr>
          <w:rFonts w:cs="Arial"/>
        </w:rPr>
        <w:t xml:space="preserve">From 1 January 2012, regulatory benchmarks were put in place for Telstra’s performance in remediating faults under the Telecommunications Universal Service Obligation (Payphone Performance Benchmarks) Instrument (No. 1) 2011 (Payphone Performance Benchmarks). These benchmarks relate to performance against standards for the repair of payphones. The time frames vary according to the location of the service—one working day for urban locations, two for rural and three for remote locations (including remote Indigenous communities). </w:t>
      </w:r>
    </w:p>
    <w:p w:rsidR="001E6FB8" w:rsidRPr="00E141F1" w:rsidRDefault="001E6FB8" w:rsidP="001E6FB8">
      <w:pPr>
        <w:spacing w:line="240" w:lineRule="auto"/>
        <w:rPr>
          <w:rFonts w:cs="Arial"/>
        </w:rPr>
      </w:pPr>
    </w:p>
    <w:p w:rsidR="001E6FB8" w:rsidRPr="00E141F1" w:rsidRDefault="001E6FB8" w:rsidP="001E6FB8">
      <w:pPr>
        <w:rPr>
          <w:rFonts w:cs="Arial"/>
        </w:rPr>
      </w:pPr>
      <w:r w:rsidRPr="00E141F1">
        <w:rPr>
          <w:rFonts w:cs="Arial"/>
        </w:rPr>
        <w:t xml:space="preserve">Table 3.3 shows Telstra’s national performance in repairing faults for 2012–13 against the payphone fault repair performance benchmarks detailed in the Payphone Performance Benchmarks. Failure to meet a benchmark under this instrument may result in the ACMA taking compliance action. </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pageBreakBefore/>
              <w:rPr>
                <w:rFonts w:cs="Arial"/>
              </w:rPr>
            </w:pPr>
            <w:r w:rsidRPr="00E141F1">
              <w:rPr>
                <w:rFonts w:cs="Arial"/>
              </w:rPr>
              <w:t>Table 3.3 Telstra payphone fault repair performance, 2012–13</w:t>
            </w:r>
          </w:p>
        </w:tc>
      </w:tr>
      <w:tr w:rsidR="001E6FB8" w:rsidRPr="00E141F1" w:rsidTr="001E6FB8">
        <w:trPr>
          <w:trHeight w:val="864"/>
        </w:trPr>
        <w:tc>
          <w:tcPr>
            <w:tcW w:w="9645" w:type="dxa"/>
            <w:shd w:val="clear" w:color="auto" w:fill="auto"/>
            <w:tcMar>
              <w:left w:w="28" w:type="dxa"/>
            </w:tcMar>
          </w:tcPr>
          <w:tbl>
            <w:tblPr>
              <w:tblW w:w="9591" w:type="dxa"/>
              <w:tblBorders>
                <w:insideH w:val="single" w:sz="4" w:space="0" w:color="C8C8C8"/>
              </w:tblBorders>
              <w:tblLayout w:type="fixed"/>
              <w:tblCellMar>
                <w:left w:w="85" w:type="dxa"/>
                <w:right w:w="0" w:type="dxa"/>
              </w:tblCellMar>
              <w:tblLook w:val="01E0"/>
            </w:tblPr>
            <w:tblGrid>
              <w:gridCol w:w="5319"/>
              <w:gridCol w:w="1424"/>
              <w:gridCol w:w="1424"/>
              <w:gridCol w:w="1424"/>
            </w:tblGrid>
            <w:tr w:rsidR="001E6FB8" w:rsidRPr="00E141F1" w:rsidTr="001E6FB8">
              <w:trPr>
                <w:trHeight w:val="353"/>
              </w:trPr>
              <w:tc>
                <w:tcPr>
                  <w:tcW w:w="5319" w:type="dxa"/>
                  <w:tcBorders>
                    <w:top w:val="nil"/>
                    <w:bottom w:val="single" w:sz="4" w:space="0" w:color="C8C8C8"/>
                  </w:tcBorders>
                  <w:shd w:val="clear" w:color="auto" w:fill="00709E"/>
                  <w:tcMar>
                    <w:top w:w="34" w:type="dxa"/>
                    <w:left w:w="113" w:type="dxa"/>
                  </w:tcMar>
                  <w:vAlign w:val="center"/>
                </w:tcPr>
                <w:p w:rsidR="001E6FB8" w:rsidRPr="00E141F1" w:rsidRDefault="001E6FB8" w:rsidP="001E6FB8">
                  <w:pPr>
                    <w:pStyle w:val="TableHeading"/>
                    <w:ind w:right="145"/>
                    <w:jc w:val="right"/>
                    <w:rPr>
                      <w:rFonts w:cs="Arial"/>
                      <w:color w:val="FFFFFF" w:themeColor="background1"/>
                      <w:sz w:val="18"/>
                      <w:szCs w:val="18"/>
                    </w:rPr>
                  </w:pPr>
                </w:p>
              </w:tc>
              <w:tc>
                <w:tcPr>
                  <w:tcW w:w="1424" w:type="dxa"/>
                  <w:tcBorders>
                    <w:top w:val="nil"/>
                    <w:bottom w:val="single" w:sz="4" w:space="0" w:color="C8C8C8"/>
                  </w:tcBorders>
                  <w:shd w:val="clear" w:color="auto" w:fill="00709E"/>
                  <w:tcMar>
                    <w:left w:w="113" w:type="dxa"/>
                  </w:tcMar>
                  <w:vAlign w:val="center"/>
                </w:tcPr>
                <w:p w:rsidR="001E6FB8" w:rsidRPr="00E141F1" w:rsidRDefault="001E6FB8" w:rsidP="001E6FB8">
                  <w:pPr>
                    <w:pStyle w:val="TableHeading"/>
                    <w:ind w:right="145"/>
                    <w:jc w:val="right"/>
                    <w:rPr>
                      <w:rFonts w:cs="Arial"/>
                      <w:color w:val="FFFFFF" w:themeColor="background1"/>
                      <w:sz w:val="18"/>
                      <w:szCs w:val="18"/>
                    </w:rPr>
                  </w:pPr>
                  <w:r w:rsidRPr="00E141F1">
                    <w:rPr>
                      <w:rFonts w:cs="Arial"/>
                      <w:color w:val="FFFFFF" w:themeColor="background1"/>
                      <w:sz w:val="18"/>
                      <w:szCs w:val="18"/>
                    </w:rPr>
                    <w:t>Urban</w:t>
                  </w:r>
                </w:p>
              </w:tc>
              <w:tc>
                <w:tcPr>
                  <w:tcW w:w="1424" w:type="dxa"/>
                  <w:tcBorders>
                    <w:top w:val="nil"/>
                    <w:bottom w:val="single" w:sz="4" w:space="0" w:color="C8C8C8"/>
                  </w:tcBorders>
                  <w:shd w:val="clear" w:color="auto" w:fill="00709E"/>
                  <w:tcMar>
                    <w:left w:w="113" w:type="dxa"/>
                  </w:tcMar>
                  <w:vAlign w:val="center"/>
                </w:tcPr>
                <w:p w:rsidR="001E6FB8" w:rsidRPr="00E141F1" w:rsidRDefault="001E6FB8" w:rsidP="001E6FB8">
                  <w:pPr>
                    <w:pStyle w:val="TableHeading"/>
                    <w:ind w:right="145"/>
                    <w:jc w:val="right"/>
                    <w:rPr>
                      <w:rFonts w:cs="Arial"/>
                      <w:color w:val="FFFFFF" w:themeColor="background1"/>
                      <w:sz w:val="18"/>
                      <w:szCs w:val="18"/>
                    </w:rPr>
                  </w:pPr>
                  <w:r w:rsidRPr="00E141F1">
                    <w:rPr>
                      <w:rFonts w:cs="Arial"/>
                      <w:color w:val="FFFFFF" w:themeColor="background1"/>
                      <w:sz w:val="18"/>
                      <w:szCs w:val="18"/>
                    </w:rPr>
                    <w:t>Rural</w:t>
                  </w:r>
                </w:p>
              </w:tc>
              <w:tc>
                <w:tcPr>
                  <w:tcW w:w="1424" w:type="dxa"/>
                  <w:tcBorders>
                    <w:top w:val="nil"/>
                    <w:bottom w:val="single" w:sz="4" w:space="0" w:color="C8C8C8"/>
                  </w:tcBorders>
                  <w:shd w:val="clear" w:color="auto" w:fill="00709E"/>
                  <w:tcMar>
                    <w:left w:w="113" w:type="dxa"/>
                  </w:tcMar>
                  <w:vAlign w:val="center"/>
                </w:tcPr>
                <w:p w:rsidR="001E6FB8" w:rsidRPr="00E141F1" w:rsidRDefault="001E6FB8" w:rsidP="001E6FB8">
                  <w:pPr>
                    <w:pStyle w:val="TableHeading"/>
                    <w:ind w:right="145"/>
                    <w:jc w:val="right"/>
                    <w:rPr>
                      <w:rFonts w:cs="Arial"/>
                      <w:color w:val="FFFFFF" w:themeColor="background1"/>
                      <w:sz w:val="18"/>
                      <w:szCs w:val="18"/>
                    </w:rPr>
                  </w:pPr>
                  <w:r w:rsidRPr="00E141F1">
                    <w:rPr>
                      <w:rFonts w:cs="Arial"/>
                      <w:color w:val="FFFFFF" w:themeColor="background1"/>
                      <w:sz w:val="18"/>
                      <w:szCs w:val="18"/>
                    </w:rPr>
                    <w:t>Remote*</w:t>
                  </w:r>
                </w:p>
              </w:tc>
            </w:tr>
            <w:tr w:rsidR="001E6FB8" w:rsidRPr="00E141F1" w:rsidTr="001E6FB8">
              <w:trPr>
                <w:trHeight w:val="353"/>
              </w:trPr>
              <w:tc>
                <w:tcPr>
                  <w:tcW w:w="5319"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Payphone fault repair benchmark</w:t>
                  </w:r>
                </w:p>
              </w:tc>
              <w:tc>
                <w:tcPr>
                  <w:tcW w:w="142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90.0%</w:t>
                  </w:r>
                </w:p>
              </w:tc>
              <w:tc>
                <w:tcPr>
                  <w:tcW w:w="142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90.0%</w:t>
                  </w:r>
                </w:p>
              </w:tc>
              <w:tc>
                <w:tcPr>
                  <w:tcW w:w="142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80.0%</w:t>
                  </w:r>
                </w:p>
              </w:tc>
            </w:tr>
            <w:tr w:rsidR="001E6FB8" w:rsidRPr="00E141F1" w:rsidTr="001E6FB8">
              <w:trPr>
                <w:trHeight w:val="353"/>
              </w:trPr>
              <w:tc>
                <w:tcPr>
                  <w:tcW w:w="5319"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rPr>
                      <w:rFonts w:cs="Arial"/>
                      <w:sz w:val="18"/>
                      <w:szCs w:val="18"/>
                    </w:rPr>
                  </w:pPr>
                  <w:r w:rsidRPr="00E141F1">
                    <w:rPr>
                      <w:rFonts w:cs="Arial"/>
                      <w:sz w:val="18"/>
                      <w:szCs w:val="18"/>
                    </w:rPr>
                    <w:t>Fault repair performance</w:t>
                  </w:r>
                </w:p>
              </w:tc>
              <w:tc>
                <w:tcPr>
                  <w:tcW w:w="142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96.1%</w:t>
                  </w:r>
                </w:p>
              </w:tc>
              <w:tc>
                <w:tcPr>
                  <w:tcW w:w="142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96.2%</w:t>
                  </w:r>
                </w:p>
              </w:tc>
              <w:tc>
                <w:tcPr>
                  <w:tcW w:w="142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88.7%</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*Including RIC.</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Source: Telstra.</w:t>
            </w:r>
          </w:p>
        </w:tc>
      </w:tr>
    </w:tbl>
    <w:p w:rsidR="001E6FB8" w:rsidRPr="00E141F1" w:rsidRDefault="001E6FB8" w:rsidP="001E6FB8">
      <w:pPr>
        <w:spacing w:line="240" w:lineRule="auto"/>
        <w:rPr>
          <w:rFonts w:cs="Arial"/>
        </w:rPr>
      </w:pPr>
    </w:p>
    <w:p w:rsidR="001E6FB8" w:rsidRPr="00E141F1" w:rsidRDefault="001E6FB8" w:rsidP="001E6FB8">
      <w:pPr>
        <w:pStyle w:val="Heading3"/>
      </w:pPr>
      <w:bookmarkStart w:id="323" w:name="_Toc341428362"/>
      <w:bookmarkStart w:id="324" w:name="_Toc371589042"/>
      <w:bookmarkStart w:id="325" w:name="_Toc373149104"/>
      <w:r w:rsidRPr="00E141F1">
        <w:t>Installation of payphones</w:t>
      </w:r>
      <w:bookmarkEnd w:id="323"/>
      <w:bookmarkEnd w:id="324"/>
      <w:bookmarkEnd w:id="325"/>
    </w:p>
    <w:p w:rsidR="001E6FB8" w:rsidRPr="00E141F1" w:rsidRDefault="001E6FB8" w:rsidP="001E6FB8">
      <w:pPr>
        <w:rPr>
          <w:rFonts w:cs="Arial"/>
        </w:rPr>
      </w:pPr>
      <w:r w:rsidRPr="00E141F1">
        <w:rPr>
          <w:rFonts w:cs="Arial"/>
        </w:rPr>
        <w:t>Under the Telecommunications Universal Service Obligations (Location of Payphones) Determination 2011, communities or members of the public can apply for installation of a Telstra-operated payphone in a public place. During 2012–13, there were 53 such applications, of which 50 (94 per cent) were accepted by Telstra.</w:t>
      </w:r>
    </w:p>
    <w:p w:rsidR="001E6FB8" w:rsidRPr="00E141F1" w:rsidRDefault="001E6FB8" w:rsidP="001E6FB8">
      <w:pPr>
        <w:rPr>
          <w:rFonts w:cs="Arial"/>
        </w:rPr>
      </w:pPr>
    </w:p>
    <w:p w:rsidR="001E6FB8" w:rsidRPr="00E141F1" w:rsidRDefault="001E6FB8" w:rsidP="001E6FB8">
      <w:pPr>
        <w:pStyle w:val="Heading3"/>
      </w:pPr>
      <w:bookmarkStart w:id="326" w:name="_Toc287540186"/>
      <w:bookmarkStart w:id="327" w:name="_Toc308517209"/>
      <w:bookmarkStart w:id="328" w:name="_Toc308523649"/>
      <w:bookmarkStart w:id="329" w:name="_Toc310326866"/>
      <w:bookmarkStart w:id="330" w:name="_Toc341428363"/>
      <w:bookmarkStart w:id="331" w:name="_Toc371589043"/>
      <w:bookmarkStart w:id="332" w:name="_Toc373149105"/>
      <w:r w:rsidRPr="00E141F1">
        <w:t>Payphone removals</w:t>
      </w:r>
      <w:bookmarkEnd w:id="326"/>
      <w:bookmarkEnd w:id="327"/>
      <w:bookmarkEnd w:id="328"/>
      <w:bookmarkEnd w:id="329"/>
      <w:bookmarkEnd w:id="330"/>
      <w:bookmarkEnd w:id="331"/>
      <w:bookmarkEnd w:id="332"/>
    </w:p>
    <w:p w:rsidR="001E6FB8" w:rsidRPr="00E141F1" w:rsidRDefault="001E6FB8" w:rsidP="001E6FB8">
      <w:pPr>
        <w:rPr>
          <w:rFonts w:cs="Arial"/>
        </w:rPr>
      </w:pPr>
      <w:r w:rsidRPr="00E141F1">
        <w:rPr>
          <w:rFonts w:cs="Arial"/>
        </w:rPr>
        <w:t>Table 3.4 shows the number of Telstra payphones removed from service, the number of installations and the number of proposed removals cancelled by Telstra during 2012–13. All removals, where the payphone is the last remaining payphone at the site, are only undertaken after public consultation or after the withdrawal of the property owner’s consent to retain the payphone at a site.</w:t>
      </w:r>
      <w:r>
        <w:rPr>
          <w:rFonts w:cs="Arial"/>
        </w:rPr>
        <w:t xml:space="preserve"> </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Table 3.4 Telstra payphone removals and installations, 2012–13</w:t>
            </w:r>
          </w:p>
        </w:tc>
      </w:tr>
      <w:tr w:rsidR="001E6FB8" w:rsidRPr="00E141F1" w:rsidTr="001E6FB8">
        <w:trPr>
          <w:trHeight w:val="426"/>
        </w:trPr>
        <w:tc>
          <w:tcPr>
            <w:tcW w:w="9645" w:type="dxa"/>
            <w:shd w:val="clear" w:color="auto" w:fill="auto"/>
            <w:tcMar>
              <w:left w:w="28" w:type="dxa"/>
            </w:tcMar>
          </w:tcPr>
          <w:tbl>
            <w:tblPr>
              <w:tblW w:w="9452" w:type="dxa"/>
              <w:tblBorders>
                <w:insideH w:val="single" w:sz="4" w:space="0" w:color="C8C8C8"/>
              </w:tblBorders>
              <w:tblLayout w:type="fixed"/>
              <w:tblCellMar>
                <w:left w:w="85" w:type="dxa"/>
                <w:right w:w="0" w:type="dxa"/>
              </w:tblCellMar>
              <w:tblLook w:val="01E0"/>
            </w:tblPr>
            <w:tblGrid>
              <w:gridCol w:w="4564"/>
              <w:gridCol w:w="1222"/>
              <w:gridCol w:w="1222"/>
              <w:gridCol w:w="1222"/>
              <w:gridCol w:w="1222"/>
            </w:tblGrid>
            <w:tr w:rsidR="001E6FB8" w:rsidRPr="00E141F1" w:rsidTr="001E6FB8">
              <w:trPr>
                <w:trHeight w:val="342"/>
              </w:trPr>
              <w:tc>
                <w:tcPr>
                  <w:tcW w:w="4564" w:type="dxa"/>
                  <w:tcBorders>
                    <w:top w:val="nil"/>
                    <w:bottom w:val="single" w:sz="4" w:space="0" w:color="C8C8C8"/>
                  </w:tcBorders>
                  <w:shd w:val="clear" w:color="auto" w:fill="00709E"/>
                  <w:tcMar>
                    <w:top w:w="34" w:type="dxa"/>
                    <w:left w:w="113" w:type="dxa"/>
                  </w:tcMar>
                  <w:vAlign w:val="center"/>
                </w:tcPr>
                <w:p w:rsidR="001E6FB8" w:rsidRPr="00E141F1" w:rsidRDefault="001E6FB8" w:rsidP="001E6FB8">
                  <w:pPr>
                    <w:pStyle w:val="TableHeading"/>
                    <w:keepNext/>
                    <w:keepLines/>
                    <w:ind w:right="145"/>
                    <w:jc w:val="right"/>
                    <w:rPr>
                      <w:rFonts w:cs="Arial"/>
                      <w:color w:val="FFFFFF" w:themeColor="background1"/>
                      <w:sz w:val="18"/>
                      <w:szCs w:val="18"/>
                    </w:rPr>
                  </w:pPr>
                </w:p>
              </w:tc>
              <w:tc>
                <w:tcPr>
                  <w:tcW w:w="1222" w:type="dxa"/>
                  <w:tcBorders>
                    <w:top w:val="nil"/>
                    <w:bottom w:val="single" w:sz="4" w:space="0" w:color="C8C8C8"/>
                  </w:tcBorders>
                  <w:shd w:val="clear" w:color="auto" w:fill="00709E"/>
                  <w:tcMar>
                    <w:left w:w="113" w:type="dxa"/>
                  </w:tcMar>
                  <w:vAlign w:val="center"/>
                </w:tcPr>
                <w:p w:rsidR="001E6FB8" w:rsidRPr="00E141F1" w:rsidRDefault="001E6FB8" w:rsidP="001E6FB8">
                  <w:pPr>
                    <w:pStyle w:val="TableHeading"/>
                    <w:keepNext/>
                    <w:keepLines/>
                    <w:ind w:right="145"/>
                    <w:jc w:val="right"/>
                    <w:rPr>
                      <w:rFonts w:cs="Arial"/>
                      <w:color w:val="FFFFFF" w:themeColor="background1"/>
                      <w:sz w:val="18"/>
                      <w:szCs w:val="18"/>
                    </w:rPr>
                  </w:pPr>
                  <w:r w:rsidRPr="00E141F1">
                    <w:rPr>
                      <w:rFonts w:cs="Arial"/>
                      <w:color w:val="FFFFFF" w:themeColor="background1"/>
                      <w:sz w:val="18"/>
                      <w:szCs w:val="18"/>
                    </w:rPr>
                    <w:t>Urban</w:t>
                  </w:r>
                </w:p>
              </w:tc>
              <w:tc>
                <w:tcPr>
                  <w:tcW w:w="1222" w:type="dxa"/>
                  <w:tcBorders>
                    <w:top w:val="nil"/>
                    <w:bottom w:val="single" w:sz="4" w:space="0" w:color="C8C8C8"/>
                  </w:tcBorders>
                  <w:shd w:val="clear" w:color="auto" w:fill="00709E"/>
                  <w:tcMar>
                    <w:left w:w="113" w:type="dxa"/>
                  </w:tcMar>
                  <w:vAlign w:val="center"/>
                </w:tcPr>
                <w:p w:rsidR="001E6FB8" w:rsidRPr="00E141F1" w:rsidRDefault="001E6FB8" w:rsidP="001E6FB8">
                  <w:pPr>
                    <w:pStyle w:val="TableHeading"/>
                    <w:keepNext/>
                    <w:keepLines/>
                    <w:ind w:right="145"/>
                    <w:jc w:val="right"/>
                    <w:rPr>
                      <w:rFonts w:cs="Arial"/>
                      <w:color w:val="FFFFFF" w:themeColor="background1"/>
                      <w:sz w:val="18"/>
                      <w:szCs w:val="18"/>
                    </w:rPr>
                  </w:pPr>
                  <w:r w:rsidRPr="00E141F1">
                    <w:rPr>
                      <w:rFonts w:cs="Arial"/>
                      <w:color w:val="FFFFFF" w:themeColor="background1"/>
                      <w:sz w:val="18"/>
                      <w:szCs w:val="18"/>
                    </w:rPr>
                    <w:t>Rural</w:t>
                  </w:r>
                </w:p>
              </w:tc>
              <w:tc>
                <w:tcPr>
                  <w:tcW w:w="1222" w:type="dxa"/>
                  <w:tcBorders>
                    <w:top w:val="nil"/>
                    <w:bottom w:val="single" w:sz="4" w:space="0" w:color="C8C8C8"/>
                  </w:tcBorders>
                  <w:shd w:val="clear" w:color="auto" w:fill="00709E"/>
                  <w:tcMar>
                    <w:left w:w="113" w:type="dxa"/>
                  </w:tcMar>
                  <w:vAlign w:val="center"/>
                </w:tcPr>
                <w:p w:rsidR="001E6FB8" w:rsidRPr="00E141F1" w:rsidRDefault="001E6FB8" w:rsidP="001E6FB8">
                  <w:pPr>
                    <w:pStyle w:val="TableHeading"/>
                    <w:keepNext/>
                    <w:keepLines/>
                    <w:ind w:right="145"/>
                    <w:jc w:val="right"/>
                    <w:rPr>
                      <w:rFonts w:cs="Arial"/>
                      <w:color w:val="FFFFFF" w:themeColor="background1"/>
                      <w:sz w:val="18"/>
                      <w:szCs w:val="18"/>
                    </w:rPr>
                  </w:pPr>
                  <w:r w:rsidRPr="00E141F1">
                    <w:rPr>
                      <w:rFonts w:cs="Arial"/>
                      <w:color w:val="FFFFFF" w:themeColor="background1"/>
                      <w:sz w:val="18"/>
                      <w:szCs w:val="18"/>
                    </w:rPr>
                    <w:t>Remote*</w:t>
                  </w:r>
                </w:p>
              </w:tc>
              <w:tc>
                <w:tcPr>
                  <w:tcW w:w="1222" w:type="dxa"/>
                  <w:tcBorders>
                    <w:top w:val="nil"/>
                    <w:bottom w:val="single" w:sz="4" w:space="0" w:color="C8C8C8"/>
                  </w:tcBorders>
                  <w:shd w:val="clear" w:color="auto" w:fill="00709E"/>
                  <w:vAlign w:val="center"/>
                </w:tcPr>
                <w:p w:rsidR="001E6FB8" w:rsidRPr="00E141F1" w:rsidRDefault="001E6FB8" w:rsidP="001E6FB8">
                  <w:pPr>
                    <w:pStyle w:val="TableHeading"/>
                    <w:keepNext/>
                    <w:keepLines/>
                    <w:tabs>
                      <w:tab w:val="left" w:pos="695"/>
                    </w:tabs>
                    <w:ind w:right="145"/>
                    <w:jc w:val="right"/>
                    <w:rPr>
                      <w:rFonts w:cs="Arial"/>
                      <w:color w:val="FFFFFF" w:themeColor="background1"/>
                      <w:sz w:val="18"/>
                      <w:szCs w:val="18"/>
                    </w:rPr>
                  </w:pPr>
                  <w:r w:rsidRPr="00E141F1">
                    <w:rPr>
                      <w:rFonts w:cs="Arial"/>
                      <w:color w:val="FFFFFF" w:themeColor="background1"/>
                      <w:sz w:val="18"/>
                      <w:szCs w:val="18"/>
                    </w:rPr>
                    <w:t>Total</w:t>
                  </w:r>
                </w:p>
              </w:tc>
            </w:tr>
            <w:tr w:rsidR="001E6FB8" w:rsidRPr="00E141F1" w:rsidTr="001E6FB8">
              <w:trPr>
                <w:trHeight w:val="342"/>
              </w:trPr>
              <w:tc>
                <w:tcPr>
                  <w:tcW w:w="456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rPr>
                      <w:rFonts w:cs="Arial"/>
                      <w:color w:val="000000"/>
                      <w:sz w:val="18"/>
                      <w:szCs w:val="18"/>
                    </w:rPr>
                  </w:pPr>
                  <w:r w:rsidRPr="00E141F1">
                    <w:rPr>
                      <w:rFonts w:cs="Arial"/>
                      <w:color w:val="000000"/>
                      <w:sz w:val="18"/>
                      <w:szCs w:val="18"/>
                    </w:rPr>
                    <w:t>Telstra payphones removed</w:t>
                  </w:r>
                </w:p>
              </w:tc>
              <w:tc>
                <w:tcPr>
                  <w:tcW w:w="1222"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275</w:t>
                  </w:r>
                </w:p>
              </w:tc>
              <w:tc>
                <w:tcPr>
                  <w:tcW w:w="1222"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22</w:t>
                  </w:r>
                </w:p>
              </w:tc>
              <w:tc>
                <w:tcPr>
                  <w:tcW w:w="1222"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28</w:t>
                  </w:r>
                </w:p>
              </w:tc>
              <w:tc>
                <w:tcPr>
                  <w:tcW w:w="1222" w:type="dxa"/>
                  <w:tcBorders>
                    <w:top w:val="single" w:sz="4" w:space="0" w:color="C8C8C8"/>
                    <w:bottom w:val="single" w:sz="4" w:space="0" w:color="C8C8C8"/>
                  </w:tcBorders>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325</w:t>
                  </w:r>
                </w:p>
              </w:tc>
            </w:tr>
            <w:tr w:rsidR="001E6FB8" w:rsidRPr="00E141F1" w:rsidTr="001E6FB8">
              <w:trPr>
                <w:trHeight w:val="342"/>
              </w:trPr>
              <w:tc>
                <w:tcPr>
                  <w:tcW w:w="456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rPr>
                      <w:rFonts w:cs="Arial"/>
                      <w:color w:val="000000"/>
                      <w:sz w:val="18"/>
                      <w:szCs w:val="18"/>
                    </w:rPr>
                  </w:pPr>
                  <w:r w:rsidRPr="00E141F1">
                    <w:rPr>
                      <w:rFonts w:cs="Arial"/>
                      <w:color w:val="000000"/>
                      <w:sz w:val="18"/>
                      <w:szCs w:val="18"/>
                    </w:rPr>
                    <w:t>Telstra payphones installed</w:t>
                  </w:r>
                </w:p>
              </w:tc>
              <w:tc>
                <w:tcPr>
                  <w:tcW w:w="1222"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105</w:t>
                  </w:r>
                </w:p>
              </w:tc>
              <w:tc>
                <w:tcPr>
                  <w:tcW w:w="1222"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6</w:t>
                  </w:r>
                </w:p>
              </w:tc>
              <w:tc>
                <w:tcPr>
                  <w:tcW w:w="1222"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3</w:t>
                  </w:r>
                </w:p>
              </w:tc>
              <w:tc>
                <w:tcPr>
                  <w:tcW w:w="1222" w:type="dxa"/>
                  <w:tcBorders>
                    <w:top w:val="single" w:sz="4" w:space="0" w:color="C8C8C8"/>
                    <w:bottom w:val="single" w:sz="4" w:space="0" w:color="C8C8C8"/>
                  </w:tcBorders>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114</w:t>
                  </w:r>
                </w:p>
              </w:tc>
            </w:tr>
            <w:tr w:rsidR="001E6FB8" w:rsidRPr="00E141F1" w:rsidTr="001E6FB8">
              <w:trPr>
                <w:trHeight w:val="342"/>
              </w:trPr>
              <w:tc>
                <w:tcPr>
                  <w:tcW w:w="4564"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rPr>
                      <w:rFonts w:cs="Arial"/>
                      <w:color w:val="000000"/>
                      <w:sz w:val="18"/>
                      <w:szCs w:val="18"/>
                    </w:rPr>
                  </w:pPr>
                  <w:r w:rsidRPr="00E141F1">
                    <w:rPr>
                      <w:rFonts w:cs="Arial"/>
                      <w:color w:val="000000"/>
                      <w:sz w:val="18"/>
                      <w:szCs w:val="18"/>
                    </w:rPr>
                    <w:t>Cancellation of proposed payphone removals</w:t>
                  </w:r>
                </w:p>
              </w:tc>
              <w:tc>
                <w:tcPr>
                  <w:tcW w:w="1222"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2</w:t>
                  </w:r>
                </w:p>
              </w:tc>
              <w:tc>
                <w:tcPr>
                  <w:tcW w:w="1222"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2</w:t>
                  </w:r>
                </w:p>
              </w:tc>
              <w:tc>
                <w:tcPr>
                  <w:tcW w:w="1222"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0</w:t>
                  </w:r>
                </w:p>
              </w:tc>
              <w:tc>
                <w:tcPr>
                  <w:tcW w:w="1222" w:type="dxa"/>
                  <w:tcBorders>
                    <w:top w:val="single" w:sz="4" w:space="0" w:color="C8C8C8"/>
                    <w:bottom w:val="single" w:sz="4" w:space="0" w:color="C8C8C8"/>
                  </w:tcBorders>
                  <w:vAlign w:val="center"/>
                </w:tcPr>
                <w:p w:rsidR="001E6FB8" w:rsidRPr="00E141F1" w:rsidRDefault="001E6FB8" w:rsidP="001E6FB8">
                  <w:pPr>
                    <w:keepNext/>
                    <w:keepLines/>
                    <w:ind w:right="145"/>
                    <w:jc w:val="right"/>
                    <w:rPr>
                      <w:rFonts w:cs="Arial"/>
                      <w:color w:val="000000"/>
                      <w:sz w:val="18"/>
                      <w:szCs w:val="18"/>
                    </w:rPr>
                  </w:pPr>
                  <w:r w:rsidRPr="00E141F1">
                    <w:rPr>
                      <w:rFonts w:cs="Arial"/>
                      <w:color w:val="000000"/>
                      <w:sz w:val="18"/>
                      <w:szCs w:val="18"/>
                    </w:rPr>
                    <w:t>4</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*Including RIC.</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Source: Telstra.</w:t>
            </w:r>
          </w:p>
        </w:tc>
      </w:tr>
    </w:tbl>
    <w:p w:rsidR="001E6FB8" w:rsidRPr="00E141F1" w:rsidRDefault="001E6FB8" w:rsidP="001E6FB8">
      <w:pPr>
        <w:spacing w:line="240" w:lineRule="auto"/>
        <w:rPr>
          <w:rFonts w:cs="Arial"/>
        </w:rPr>
      </w:pPr>
    </w:p>
    <w:p w:rsidR="001E6FB8" w:rsidRPr="00E141F1" w:rsidRDefault="001E6FB8" w:rsidP="001E6FB8">
      <w:pPr>
        <w:pStyle w:val="Heading3"/>
      </w:pPr>
      <w:bookmarkStart w:id="333" w:name="_Toc287540185"/>
      <w:bookmarkStart w:id="334" w:name="_Toc308517208"/>
      <w:bookmarkStart w:id="335" w:name="_Toc308523648"/>
      <w:bookmarkStart w:id="336" w:name="_Toc310326865"/>
      <w:bookmarkStart w:id="337" w:name="_Toc341428364"/>
      <w:bookmarkStart w:id="338" w:name="_Toc371589044"/>
      <w:bookmarkStart w:id="339" w:name="_Toc373149106"/>
      <w:r w:rsidRPr="00E141F1">
        <w:t>Payphones for people with disabilities</w:t>
      </w:r>
      <w:bookmarkEnd w:id="333"/>
      <w:bookmarkEnd w:id="334"/>
      <w:bookmarkEnd w:id="335"/>
      <w:bookmarkEnd w:id="336"/>
      <w:bookmarkEnd w:id="337"/>
      <w:bookmarkEnd w:id="338"/>
      <w:bookmarkEnd w:id="339"/>
    </w:p>
    <w:p w:rsidR="001E6FB8" w:rsidRPr="00E141F1" w:rsidRDefault="001E6FB8" w:rsidP="001E6FB8">
      <w:pPr>
        <w:rPr>
          <w:rFonts w:cs="Arial"/>
        </w:rPr>
      </w:pPr>
      <w:r w:rsidRPr="00E141F1">
        <w:rPr>
          <w:rFonts w:cs="Arial"/>
        </w:rPr>
        <w:t>At 30 June 2013, Telstra had 151 teletypewriter payphones in operation in metropolitan and regional areas, a decrease of two from the previous year.</w:t>
      </w:r>
    </w:p>
    <w:p w:rsidR="001E6FB8" w:rsidRPr="00E141F1" w:rsidRDefault="001E6FB8" w:rsidP="001E6FB8">
      <w:pPr>
        <w:rPr>
          <w:rFonts w:cs="Arial"/>
        </w:rPr>
      </w:pPr>
    </w:p>
    <w:p w:rsidR="001E6FB8" w:rsidRPr="00E141F1" w:rsidRDefault="001E6FB8" w:rsidP="001E6FB8">
      <w:pPr>
        <w:pStyle w:val="Heading2"/>
      </w:pPr>
      <w:bookmarkStart w:id="340" w:name="_Toc341428365"/>
      <w:bookmarkStart w:id="341" w:name="_Toc371589045"/>
      <w:bookmarkStart w:id="342" w:name="_Toc373149107"/>
      <w:bookmarkEnd w:id="308"/>
      <w:bookmarkEnd w:id="309"/>
      <w:bookmarkEnd w:id="310"/>
      <w:bookmarkEnd w:id="311"/>
      <w:r w:rsidRPr="00E141F1">
        <w:t>Customer Service Guarantee Standard</w:t>
      </w:r>
      <w:bookmarkEnd w:id="340"/>
      <w:bookmarkEnd w:id="341"/>
      <w:bookmarkEnd w:id="342"/>
    </w:p>
    <w:p w:rsidR="001E6FB8" w:rsidRPr="00E141F1" w:rsidRDefault="001E6FB8" w:rsidP="001E6FB8">
      <w:pPr>
        <w:rPr>
          <w:rFonts w:cs="Arial"/>
        </w:rPr>
      </w:pPr>
      <w:r w:rsidRPr="00E141F1">
        <w:rPr>
          <w:rFonts w:cs="Arial"/>
        </w:rPr>
        <w:t>The CSG Standard sets minimum service standards for CSPs in installing and repairing standard telephone services and meeting appointments for residential and small business customers. A CSP is exempt from complying with a performance standard for a service if the CSP supplies a customer with more than five services. If a CSP fails to meet the minimum performance standards, compensation may be payable to the customer.</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In addition, formal CSG performance benchmarks commenced on 1 October 2011. These benchmarks are established by the Telecommunications (Customer Service Guarantee – Retail Performance Benchmarks) Instrument (No. 1) 2011 and apply to </w:t>
      </w:r>
      <w:r>
        <w:rPr>
          <w:rFonts w:cs="Arial"/>
        </w:rPr>
        <w:t xml:space="preserve">the </w:t>
      </w:r>
      <w:r w:rsidRPr="00E141F1">
        <w:rPr>
          <w:rFonts w:cs="Arial"/>
        </w:rPr>
        <w:t>qualifying carriage service providers.</w:t>
      </w:r>
    </w:p>
    <w:p w:rsidR="001E6FB8" w:rsidRPr="00E141F1" w:rsidRDefault="001E6FB8" w:rsidP="001E6FB8">
      <w:pPr>
        <w:rPr>
          <w:rFonts w:cs="Arial"/>
          <w:bCs/>
        </w:rPr>
      </w:pPr>
    </w:p>
    <w:p w:rsidR="001E6FB8" w:rsidRDefault="001E6FB8" w:rsidP="001E6FB8">
      <w:pPr>
        <w:spacing w:line="240" w:lineRule="auto"/>
        <w:rPr>
          <w:rFonts w:cs="Arial"/>
        </w:rPr>
      </w:pPr>
      <w:r>
        <w:rPr>
          <w:rFonts w:cs="Arial"/>
        </w:rPr>
        <w:br w:type="page"/>
      </w:r>
    </w:p>
    <w:p w:rsidR="001E6FB8" w:rsidRDefault="001E6FB8" w:rsidP="001E6FB8">
      <w:pPr>
        <w:spacing w:after="80"/>
        <w:rPr>
          <w:rFonts w:cs="Arial"/>
        </w:rPr>
      </w:pPr>
      <w:r w:rsidRPr="00E141F1">
        <w:rPr>
          <w:rFonts w:cs="Arial"/>
        </w:rPr>
        <w:t>The CSG performance benchmarks are set at 90 per cent for:</w:t>
      </w:r>
    </w:p>
    <w:p w:rsidR="001E6FB8" w:rsidRPr="00E141F1" w:rsidRDefault="001E6FB8" w:rsidP="001E6FB8">
      <w:pPr>
        <w:pStyle w:val="ListBullet"/>
        <w:rPr>
          <w:rFonts w:cs="Arial"/>
        </w:rPr>
      </w:pPr>
      <w:r w:rsidRPr="00E141F1">
        <w:rPr>
          <w:rFonts w:cs="Arial"/>
        </w:rPr>
        <w:t>new connections in urban, major rural, minor rural and remote areas (national)</w:t>
      </w:r>
    </w:p>
    <w:p w:rsidR="001E6FB8" w:rsidRPr="00E141F1" w:rsidRDefault="001E6FB8" w:rsidP="001E6FB8">
      <w:pPr>
        <w:pStyle w:val="ListBullet"/>
        <w:rPr>
          <w:rFonts w:cs="Arial"/>
        </w:rPr>
      </w:pPr>
      <w:r w:rsidRPr="00E141F1">
        <w:rPr>
          <w:rFonts w:cs="Arial"/>
        </w:rPr>
        <w:t>in-place connections in all areas (national)</w:t>
      </w:r>
    </w:p>
    <w:p w:rsidR="001E6FB8" w:rsidRPr="00E141F1" w:rsidRDefault="001E6FB8" w:rsidP="001E6FB8">
      <w:pPr>
        <w:pStyle w:val="ListBullet"/>
        <w:rPr>
          <w:rFonts w:cs="Arial"/>
        </w:rPr>
      </w:pPr>
      <w:r w:rsidRPr="00E141F1">
        <w:rPr>
          <w:rFonts w:cs="Arial"/>
        </w:rPr>
        <w:t>fault rectifications in urban, rural and remote areas (national)</w:t>
      </w:r>
    </w:p>
    <w:p w:rsidR="001E6FB8" w:rsidRPr="00E141F1" w:rsidRDefault="001E6FB8" w:rsidP="001E6FB8">
      <w:pPr>
        <w:pStyle w:val="ListBullet"/>
        <w:spacing w:after="240"/>
        <w:rPr>
          <w:rFonts w:cs="Arial"/>
        </w:rPr>
      </w:pPr>
      <w:r w:rsidRPr="00E141F1">
        <w:rPr>
          <w:rFonts w:cs="Arial"/>
        </w:rPr>
        <w:t>appointment-keeping in all areas (national).</w:t>
      </w:r>
    </w:p>
    <w:p w:rsidR="001E6FB8" w:rsidRPr="00E141F1" w:rsidRDefault="001E6FB8" w:rsidP="001E6FB8">
      <w:pPr>
        <w:rPr>
          <w:rFonts w:cs="Arial"/>
        </w:rPr>
      </w:pPr>
      <w:r w:rsidRPr="00E141F1">
        <w:rPr>
          <w:rFonts w:cs="Arial"/>
        </w:rPr>
        <w:t xml:space="preserve">If a CSP fails to meet a CSG performance benchmark, the ACMA may take compliance action, including the option to issue the CSP with an infringement notice in certain circumstances. </w:t>
      </w:r>
    </w:p>
    <w:p w:rsidR="001E6FB8" w:rsidRPr="00E141F1" w:rsidRDefault="001E6FB8" w:rsidP="001E6FB8">
      <w:pPr>
        <w:rPr>
          <w:rFonts w:cs="Arial"/>
        </w:rPr>
      </w:pPr>
    </w:p>
    <w:p w:rsidR="001E6FB8" w:rsidRPr="00EA5E3F" w:rsidRDefault="001E6FB8" w:rsidP="001E6FB8">
      <w:pPr>
        <w:rPr>
          <w:rFonts w:cs="Arial"/>
        </w:rPr>
      </w:pPr>
      <w:r w:rsidRPr="00E141F1">
        <w:rPr>
          <w:rFonts w:cs="Arial"/>
        </w:rPr>
        <w:t>At 30 June 2013, there were 6.68 million services subject to the CSG Standard, compared to 7.12 million at 30 June 2012—a decline of 6.1 per cent (Table 3.5). This decline may have resulted from the growth in the number of consumers without a fixed-line telephone service in the home and consumers using voice services provided by VoIP (</w:t>
      </w:r>
      <w:r w:rsidRPr="00EA5E3F">
        <w:rPr>
          <w:rFonts w:cs="Arial"/>
        </w:rPr>
        <w:t>see Chapter 1). Services subject to the CSG Standard accounted for approximately 65 per cent of all fixed-line telephone services in Australia at June 2013 compared with 66 per cent at June 2012.</w:t>
      </w:r>
    </w:p>
    <w:p w:rsidR="001E6FB8" w:rsidRPr="00EA5E3F" w:rsidRDefault="001E6FB8" w:rsidP="001E6FB8">
      <w:pPr>
        <w:rPr>
          <w:rFonts w:cs="Arial"/>
        </w:rPr>
      </w:pPr>
    </w:p>
    <w:p w:rsidR="001E6FB8" w:rsidRPr="00EA5E3F" w:rsidRDefault="001E6FB8" w:rsidP="001E6FB8">
      <w:pPr>
        <w:rPr>
          <w:rFonts w:cs="Arial"/>
        </w:rPr>
      </w:pPr>
      <w:r w:rsidRPr="00EA5E3F">
        <w:rPr>
          <w:rFonts w:cs="Arial"/>
        </w:rPr>
        <w:t xml:space="preserve">At June 2013, there were 247,657 occasions nationally where customers of the major CSPs waived their rights under the CSG Standard, an increase of nine per cent since June 2012. At June 2013, </w:t>
      </w:r>
      <w:proofErr w:type="spellStart"/>
      <w:r w:rsidRPr="00EA5E3F">
        <w:rPr>
          <w:rFonts w:cs="Arial"/>
        </w:rPr>
        <w:t>iiNet</w:t>
      </w:r>
      <w:proofErr w:type="spellEnd"/>
      <w:r w:rsidRPr="00EA5E3F">
        <w:rPr>
          <w:rFonts w:cs="Arial"/>
        </w:rPr>
        <w:t xml:space="preserve"> accounted for the majority of waivers (98.8 per cent).</w:t>
      </w:r>
    </w:p>
    <w:p w:rsidR="001E6FB8" w:rsidRPr="00EA5E3F"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A5E3F" w:rsidTr="001E6FB8">
        <w:trPr>
          <w:trHeight w:val="570"/>
        </w:trPr>
        <w:tc>
          <w:tcPr>
            <w:tcW w:w="9645" w:type="dxa"/>
            <w:tcBorders>
              <w:top w:val="single" w:sz="2" w:space="0" w:color="505050"/>
            </w:tcBorders>
            <w:shd w:val="clear" w:color="auto" w:fill="auto"/>
            <w:vAlign w:val="center"/>
          </w:tcPr>
          <w:p w:rsidR="001E6FB8" w:rsidRPr="00EA5E3F" w:rsidRDefault="001E6FB8" w:rsidP="001E6FB8">
            <w:pPr>
              <w:pStyle w:val="Caption"/>
              <w:keepNext/>
              <w:keepLines/>
              <w:rPr>
                <w:rFonts w:cs="Arial"/>
              </w:rPr>
            </w:pPr>
            <w:r w:rsidRPr="00EA5E3F">
              <w:rPr>
                <w:rFonts w:cs="Arial"/>
              </w:rPr>
              <w:t>Table 3.5 Services subject to the CSG Standard by provider, at 30 June</w:t>
            </w:r>
          </w:p>
        </w:tc>
      </w:tr>
      <w:tr w:rsidR="001E6FB8" w:rsidRPr="00E141F1" w:rsidTr="001E6FB8">
        <w:trPr>
          <w:trHeight w:val="864"/>
        </w:trPr>
        <w:tc>
          <w:tcPr>
            <w:tcW w:w="9645" w:type="dxa"/>
            <w:shd w:val="clear" w:color="auto" w:fill="auto"/>
            <w:tcMar>
              <w:left w:w="28" w:type="dxa"/>
            </w:tcMar>
          </w:tcPr>
          <w:tbl>
            <w:tblPr>
              <w:tblW w:w="9611" w:type="dxa"/>
              <w:tblBorders>
                <w:insideH w:val="single" w:sz="4" w:space="0" w:color="C8C8C8"/>
              </w:tblBorders>
              <w:tblLayout w:type="fixed"/>
              <w:tblCellMar>
                <w:left w:w="85" w:type="dxa"/>
                <w:right w:w="0" w:type="dxa"/>
              </w:tblCellMar>
              <w:tblLook w:val="01E0"/>
            </w:tblPr>
            <w:tblGrid>
              <w:gridCol w:w="2512"/>
              <w:gridCol w:w="1419"/>
              <w:gridCol w:w="1420"/>
              <w:gridCol w:w="1420"/>
              <w:gridCol w:w="1420"/>
              <w:gridCol w:w="1420"/>
            </w:tblGrid>
            <w:tr w:rsidR="001E6FB8" w:rsidRPr="00EA5E3F" w:rsidTr="001E6FB8">
              <w:trPr>
                <w:trHeight w:val="315"/>
              </w:trPr>
              <w:tc>
                <w:tcPr>
                  <w:tcW w:w="2512" w:type="dxa"/>
                  <w:tcBorders>
                    <w:top w:val="nil"/>
                    <w:bottom w:val="single" w:sz="4" w:space="0" w:color="C8C8C8"/>
                  </w:tcBorders>
                  <w:shd w:val="clear" w:color="auto" w:fill="00709E"/>
                  <w:tcMar>
                    <w:top w:w="34" w:type="dxa"/>
                    <w:left w:w="113" w:type="dxa"/>
                  </w:tcMar>
                </w:tcPr>
                <w:p w:rsidR="001E6FB8" w:rsidRPr="00EA5E3F" w:rsidRDefault="001E6FB8" w:rsidP="001E6FB8">
                  <w:pPr>
                    <w:pStyle w:val="TableHeading"/>
                    <w:keepNext/>
                    <w:keepLines/>
                    <w:ind w:right="80"/>
                    <w:jc w:val="right"/>
                    <w:rPr>
                      <w:rFonts w:cs="Arial"/>
                      <w:bCs/>
                      <w:color w:val="FFFFFF" w:themeColor="background1"/>
                      <w:sz w:val="18"/>
                      <w:szCs w:val="18"/>
                    </w:rPr>
                  </w:pPr>
                </w:p>
              </w:tc>
              <w:tc>
                <w:tcPr>
                  <w:tcW w:w="1419" w:type="dxa"/>
                  <w:tcBorders>
                    <w:top w:val="nil"/>
                    <w:bottom w:val="single" w:sz="4" w:space="0" w:color="C8C8C8"/>
                  </w:tcBorders>
                  <w:shd w:val="clear" w:color="auto" w:fill="00709E"/>
                </w:tcPr>
                <w:p w:rsidR="001E6FB8" w:rsidRPr="00EA5E3F" w:rsidRDefault="001E6FB8" w:rsidP="001E6FB8">
                  <w:pPr>
                    <w:pStyle w:val="TableHeading"/>
                    <w:keepNext/>
                    <w:keepLines/>
                    <w:ind w:right="77"/>
                    <w:jc w:val="right"/>
                    <w:rPr>
                      <w:rFonts w:cs="Arial"/>
                      <w:bCs/>
                      <w:color w:val="FFFFFF" w:themeColor="background1"/>
                      <w:sz w:val="18"/>
                      <w:szCs w:val="18"/>
                    </w:rPr>
                  </w:pPr>
                  <w:r w:rsidRPr="00EA5E3F">
                    <w:rPr>
                      <w:rFonts w:cs="Arial"/>
                      <w:bCs/>
                      <w:color w:val="FFFFFF" w:themeColor="background1"/>
                      <w:sz w:val="18"/>
                      <w:szCs w:val="18"/>
                    </w:rPr>
                    <w:t>2009</w:t>
                  </w:r>
                </w:p>
                <w:p w:rsidR="001E6FB8" w:rsidRPr="00EA5E3F" w:rsidRDefault="001E6FB8" w:rsidP="001E6FB8">
                  <w:pPr>
                    <w:pStyle w:val="TableHeading"/>
                    <w:keepNext/>
                    <w:keepLines/>
                    <w:ind w:right="68"/>
                    <w:jc w:val="right"/>
                    <w:rPr>
                      <w:rFonts w:cs="Arial"/>
                      <w:bCs/>
                      <w:color w:val="FFFFFF" w:themeColor="background1"/>
                      <w:sz w:val="18"/>
                      <w:szCs w:val="18"/>
                    </w:rPr>
                  </w:pPr>
                  <w:r w:rsidRPr="00EA5E3F">
                    <w:rPr>
                      <w:rFonts w:cs="Arial"/>
                      <w:bCs/>
                      <w:color w:val="FFFFFF" w:themeColor="background1"/>
                      <w:sz w:val="18"/>
                      <w:szCs w:val="18"/>
                    </w:rPr>
                    <w:t>(‘000)</w:t>
                  </w:r>
                </w:p>
              </w:tc>
              <w:tc>
                <w:tcPr>
                  <w:tcW w:w="1420" w:type="dxa"/>
                  <w:tcBorders>
                    <w:top w:val="nil"/>
                    <w:bottom w:val="single" w:sz="4" w:space="0" w:color="C8C8C8"/>
                  </w:tcBorders>
                  <w:shd w:val="clear" w:color="auto" w:fill="00709E"/>
                </w:tcPr>
                <w:p w:rsidR="001E6FB8" w:rsidRPr="00EA5E3F" w:rsidRDefault="001E6FB8" w:rsidP="001E6FB8">
                  <w:pPr>
                    <w:pStyle w:val="TableHeading"/>
                    <w:keepNext/>
                    <w:keepLines/>
                    <w:ind w:right="89"/>
                    <w:jc w:val="right"/>
                    <w:rPr>
                      <w:rFonts w:cs="Arial"/>
                      <w:bCs/>
                      <w:color w:val="FFFFFF" w:themeColor="background1"/>
                      <w:sz w:val="18"/>
                      <w:szCs w:val="18"/>
                    </w:rPr>
                  </w:pPr>
                  <w:r w:rsidRPr="00EA5E3F">
                    <w:rPr>
                      <w:rFonts w:cs="Arial"/>
                      <w:bCs/>
                      <w:color w:val="FFFFFF" w:themeColor="background1"/>
                      <w:sz w:val="18"/>
                      <w:szCs w:val="18"/>
                    </w:rPr>
                    <w:t>2010</w:t>
                  </w:r>
                </w:p>
                <w:p w:rsidR="001E6FB8" w:rsidRPr="00EA5E3F" w:rsidRDefault="001E6FB8" w:rsidP="001E6FB8">
                  <w:pPr>
                    <w:pStyle w:val="TableHeading"/>
                    <w:keepNext/>
                    <w:keepLines/>
                    <w:ind w:right="68"/>
                    <w:jc w:val="right"/>
                    <w:rPr>
                      <w:rFonts w:cs="Arial"/>
                      <w:bCs/>
                      <w:color w:val="FFFFFF" w:themeColor="background1"/>
                      <w:sz w:val="18"/>
                      <w:szCs w:val="18"/>
                    </w:rPr>
                  </w:pPr>
                  <w:r w:rsidRPr="00EA5E3F">
                    <w:rPr>
                      <w:rFonts w:cs="Arial"/>
                      <w:bCs/>
                      <w:color w:val="FFFFFF" w:themeColor="background1"/>
                      <w:sz w:val="18"/>
                      <w:szCs w:val="18"/>
                    </w:rPr>
                    <w:t>(‘000)</w:t>
                  </w:r>
                </w:p>
              </w:tc>
              <w:tc>
                <w:tcPr>
                  <w:tcW w:w="1420" w:type="dxa"/>
                  <w:tcBorders>
                    <w:top w:val="nil"/>
                    <w:bottom w:val="single" w:sz="4" w:space="0" w:color="C8C8C8"/>
                  </w:tcBorders>
                  <w:shd w:val="clear" w:color="auto" w:fill="00709E"/>
                </w:tcPr>
                <w:p w:rsidR="001E6FB8" w:rsidRPr="00EA5E3F" w:rsidRDefault="001E6FB8" w:rsidP="001E6FB8">
                  <w:pPr>
                    <w:pStyle w:val="TableHeading"/>
                    <w:keepNext/>
                    <w:keepLines/>
                    <w:ind w:right="86"/>
                    <w:jc w:val="right"/>
                    <w:rPr>
                      <w:rFonts w:cs="Arial"/>
                      <w:bCs/>
                      <w:color w:val="FFFFFF" w:themeColor="background1"/>
                      <w:sz w:val="18"/>
                      <w:szCs w:val="18"/>
                    </w:rPr>
                  </w:pPr>
                  <w:r w:rsidRPr="00EA5E3F">
                    <w:rPr>
                      <w:rFonts w:cs="Arial"/>
                      <w:bCs/>
                      <w:color w:val="FFFFFF" w:themeColor="background1"/>
                      <w:sz w:val="18"/>
                      <w:szCs w:val="18"/>
                    </w:rPr>
                    <w:t>2011</w:t>
                  </w:r>
                </w:p>
                <w:p w:rsidR="001E6FB8" w:rsidRPr="00EA5E3F" w:rsidRDefault="001E6FB8" w:rsidP="001E6FB8">
                  <w:pPr>
                    <w:pStyle w:val="TableHeading"/>
                    <w:keepNext/>
                    <w:keepLines/>
                    <w:ind w:right="68"/>
                    <w:jc w:val="right"/>
                    <w:rPr>
                      <w:rFonts w:cs="Arial"/>
                      <w:bCs/>
                      <w:color w:val="FFFFFF" w:themeColor="background1"/>
                      <w:sz w:val="18"/>
                      <w:szCs w:val="18"/>
                    </w:rPr>
                  </w:pPr>
                  <w:r w:rsidRPr="00EA5E3F">
                    <w:rPr>
                      <w:rFonts w:cs="Arial"/>
                      <w:bCs/>
                      <w:color w:val="FFFFFF" w:themeColor="background1"/>
                      <w:sz w:val="18"/>
                      <w:szCs w:val="18"/>
                    </w:rPr>
                    <w:t>(‘000)</w:t>
                  </w:r>
                </w:p>
              </w:tc>
              <w:tc>
                <w:tcPr>
                  <w:tcW w:w="1420" w:type="dxa"/>
                  <w:tcBorders>
                    <w:top w:val="nil"/>
                    <w:bottom w:val="single" w:sz="4" w:space="0" w:color="C8C8C8"/>
                  </w:tcBorders>
                  <w:shd w:val="clear" w:color="auto" w:fill="00709E"/>
                </w:tcPr>
                <w:p w:rsidR="001E6FB8" w:rsidRPr="00EA5E3F" w:rsidRDefault="001E6FB8" w:rsidP="001E6FB8">
                  <w:pPr>
                    <w:pStyle w:val="TableHeading"/>
                    <w:keepNext/>
                    <w:keepLines/>
                    <w:ind w:right="86"/>
                    <w:jc w:val="right"/>
                    <w:rPr>
                      <w:rFonts w:cs="Arial"/>
                      <w:bCs/>
                      <w:color w:val="FFFFFF" w:themeColor="background1"/>
                      <w:sz w:val="18"/>
                      <w:szCs w:val="18"/>
                    </w:rPr>
                  </w:pPr>
                  <w:r w:rsidRPr="00EA5E3F">
                    <w:rPr>
                      <w:rFonts w:cs="Arial"/>
                      <w:bCs/>
                      <w:color w:val="FFFFFF" w:themeColor="background1"/>
                      <w:sz w:val="18"/>
                      <w:szCs w:val="18"/>
                    </w:rPr>
                    <w:t>2012</w:t>
                  </w:r>
                </w:p>
                <w:p w:rsidR="001E6FB8" w:rsidRPr="00EA5E3F" w:rsidRDefault="001E6FB8" w:rsidP="001E6FB8">
                  <w:pPr>
                    <w:pStyle w:val="TableHeading"/>
                    <w:keepNext/>
                    <w:keepLines/>
                    <w:ind w:right="68"/>
                    <w:jc w:val="right"/>
                    <w:rPr>
                      <w:rFonts w:cs="Arial"/>
                      <w:bCs/>
                      <w:color w:val="FFFFFF" w:themeColor="background1"/>
                      <w:sz w:val="18"/>
                      <w:szCs w:val="18"/>
                    </w:rPr>
                  </w:pPr>
                  <w:r w:rsidRPr="00EA5E3F">
                    <w:rPr>
                      <w:rFonts w:cs="Arial"/>
                      <w:bCs/>
                      <w:color w:val="FFFFFF" w:themeColor="background1"/>
                      <w:sz w:val="18"/>
                      <w:szCs w:val="18"/>
                    </w:rPr>
                    <w:t>(‘000)</w:t>
                  </w:r>
                </w:p>
              </w:tc>
              <w:tc>
                <w:tcPr>
                  <w:tcW w:w="1420" w:type="dxa"/>
                  <w:tcBorders>
                    <w:top w:val="nil"/>
                    <w:bottom w:val="single" w:sz="4" w:space="0" w:color="C8C8C8"/>
                  </w:tcBorders>
                  <w:shd w:val="clear" w:color="auto" w:fill="00709E"/>
                  <w:tcMar>
                    <w:left w:w="113" w:type="dxa"/>
                  </w:tcMar>
                </w:tcPr>
                <w:p w:rsidR="001E6FB8" w:rsidRPr="00EA5E3F" w:rsidRDefault="001E6FB8" w:rsidP="001E6FB8">
                  <w:pPr>
                    <w:pStyle w:val="TableHeading"/>
                    <w:keepNext/>
                    <w:keepLines/>
                    <w:ind w:right="86"/>
                    <w:jc w:val="right"/>
                    <w:rPr>
                      <w:rFonts w:cs="Arial"/>
                      <w:bCs/>
                      <w:color w:val="FFFFFF" w:themeColor="background1"/>
                      <w:sz w:val="18"/>
                      <w:szCs w:val="18"/>
                    </w:rPr>
                  </w:pPr>
                  <w:r w:rsidRPr="00EA5E3F">
                    <w:rPr>
                      <w:rFonts w:cs="Arial"/>
                      <w:bCs/>
                      <w:color w:val="FFFFFF" w:themeColor="background1"/>
                      <w:sz w:val="18"/>
                      <w:szCs w:val="18"/>
                    </w:rPr>
                    <w:t>2013</w:t>
                  </w:r>
                </w:p>
                <w:p w:rsidR="001E6FB8" w:rsidRPr="00EA5E3F" w:rsidRDefault="001E6FB8" w:rsidP="001E6FB8">
                  <w:pPr>
                    <w:pStyle w:val="TableHeading"/>
                    <w:keepNext/>
                    <w:keepLines/>
                    <w:ind w:right="86"/>
                    <w:jc w:val="right"/>
                    <w:rPr>
                      <w:rFonts w:cs="Arial"/>
                      <w:bCs/>
                      <w:color w:val="FFFFFF" w:themeColor="background1"/>
                      <w:sz w:val="18"/>
                      <w:szCs w:val="18"/>
                    </w:rPr>
                  </w:pPr>
                  <w:r w:rsidRPr="00EA5E3F">
                    <w:rPr>
                      <w:rFonts w:cs="Arial"/>
                      <w:bCs/>
                      <w:color w:val="FFFFFF" w:themeColor="background1"/>
                      <w:sz w:val="18"/>
                      <w:szCs w:val="18"/>
                    </w:rPr>
                    <w:t>(‘000)</w:t>
                  </w:r>
                </w:p>
              </w:tc>
            </w:tr>
            <w:tr w:rsidR="001E6FB8" w:rsidRPr="00EA5E3F" w:rsidTr="001E6FB8">
              <w:trPr>
                <w:trHeight w:val="315"/>
              </w:trPr>
              <w:tc>
                <w:tcPr>
                  <w:tcW w:w="2512" w:type="dxa"/>
                  <w:tcBorders>
                    <w:top w:val="single" w:sz="4" w:space="0" w:color="C8C8C8"/>
                  </w:tcBorders>
                  <w:shd w:val="clear" w:color="auto" w:fill="auto"/>
                  <w:tcMar>
                    <w:left w:w="113" w:type="dxa"/>
                  </w:tcMar>
                  <w:vAlign w:val="center"/>
                </w:tcPr>
                <w:p w:rsidR="001E6FB8" w:rsidRPr="00EA5E3F" w:rsidRDefault="001E6FB8" w:rsidP="001E6FB8">
                  <w:pPr>
                    <w:keepNext/>
                    <w:keepLines/>
                    <w:spacing w:line="240" w:lineRule="auto"/>
                    <w:rPr>
                      <w:rFonts w:cs="Arial"/>
                      <w:bCs/>
                      <w:sz w:val="18"/>
                      <w:szCs w:val="18"/>
                    </w:rPr>
                  </w:pPr>
                  <w:proofErr w:type="spellStart"/>
                  <w:r w:rsidRPr="00EA5E3F">
                    <w:rPr>
                      <w:rFonts w:cs="Arial"/>
                      <w:bCs/>
                      <w:sz w:val="18"/>
                      <w:szCs w:val="18"/>
                    </w:rPr>
                    <w:t>iiNet</w:t>
                  </w:r>
                  <w:proofErr w:type="spellEnd"/>
                </w:p>
              </w:tc>
              <w:tc>
                <w:tcPr>
                  <w:tcW w:w="1419" w:type="dxa"/>
                  <w:tcBorders>
                    <w:top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n/a</w:t>
                  </w:r>
                </w:p>
              </w:tc>
              <w:tc>
                <w:tcPr>
                  <w:tcW w:w="1420" w:type="dxa"/>
                  <w:tcBorders>
                    <w:top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n/a</w:t>
                  </w:r>
                </w:p>
              </w:tc>
              <w:tc>
                <w:tcPr>
                  <w:tcW w:w="1420" w:type="dxa"/>
                  <w:tcBorders>
                    <w:top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370*</w:t>
                  </w:r>
                </w:p>
              </w:tc>
              <w:tc>
                <w:tcPr>
                  <w:tcW w:w="1420" w:type="dxa"/>
                  <w:tcBorders>
                    <w:top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493</w:t>
                  </w:r>
                </w:p>
              </w:tc>
              <w:tc>
                <w:tcPr>
                  <w:tcW w:w="1420" w:type="dxa"/>
                  <w:tcBorders>
                    <w:top w:val="single" w:sz="4" w:space="0" w:color="C8C8C8"/>
                  </w:tcBorders>
                  <w:shd w:val="clear" w:color="auto" w:fill="auto"/>
                  <w:tcMar>
                    <w:left w:w="113" w:type="dxa"/>
                  </w:tcMar>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418</w:t>
                  </w:r>
                </w:p>
              </w:tc>
            </w:tr>
            <w:tr w:rsidR="001E6FB8" w:rsidRPr="00EA5E3F" w:rsidTr="001E6FB8">
              <w:trPr>
                <w:trHeight w:val="315"/>
              </w:trPr>
              <w:tc>
                <w:tcPr>
                  <w:tcW w:w="2512" w:type="dxa"/>
                  <w:shd w:val="clear" w:color="auto" w:fill="auto"/>
                  <w:tcMar>
                    <w:left w:w="113" w:type="dxa"/>
                  </w:tcMar>
                  <w:vAlign w:val="center"/>
                </w:tcPr>
                <w:p w:rsidR="001E6FB8" w:rsidRPr="00EA5E3F" w:rsidRDefault="001E6FB8" w:rsidP="001E6FB8">
                  <w:pPr>
                    <w:keepNext/>
                    <w:keepLines/>
                    <w:spacing w:line="240" w:lineRule="auto"/>
                    <w:rPr>
                      <w:rFonts w:cs="Arial"/>
                      <w:bCs/>
                      <w:sz w:val="18"/>
                      <w:szCs w:val="18"/>
                    </w:rPr>
                  </w:pPr>
                  <w:r w:rsidRPr="00EA5E3F">
                    <w:rPr>
                      <w:rFonts w:cs="Arial"/>
                      <w:bCs/>
                      <w:sz w:val="18"/>
                      <w:szCs w:val="18"/>
                    </w:rPr>
                    <w:t>Optus</w:t>
                  </w:r>
                </w:p>
              </w:tc>
              <w:tc>
                <w:tcPr>
                  <w:tcW w:w="1419" w:type="dxa"/>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915</w:t>
                  </w:r>
                </w:p>
              </w:tc>
              <w:tc>
                <w:tcPr>
                  <w:tcW w:w="1420" w:type="dxa"/>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949</w:t>
                  </w:r>
                </w:p>
              </w:tc>
              <w:tc>
                <w:tcPr>
                  <w:tcW w:w="1420" w:type="dxa"/>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930</w:t>
                  </w:r>
                </w:p>
              </w:tc>
              <w:tc>
                <w:tcPr>
                  <w:tcW w:w="1420" w:type="dxa"/>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913</w:t>
                  </w:r>
                </w:p>
              </w:tc>
              <w:tc>
                <w:tcPr>
                  <w:tcW w:w="1420" w:type="dxa"/>
                  <w:shd w:val="clear" w:color="auto" w:fill="auto"/>
                  <w:tcMar>
                    <w:left w:w="113" w:type="dxa"/>
                  </w:tcMar>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850</w:t>
                  </w:r>
                </w:p>
              </w:tc>
            </w:tr>
            <w:tr w:rsidR="001E6FB8" w:rsidRPr="00EA5E3F" w:rsidTr="001E6FB8">
              <w:trPr>
                <w:trHeight w:val="315"/>
              </w:trPr>
              <w:tc>
                <w:tcPr>
                  <w:tcW w:w="2512" w:type="dxa"/>
                  <w:shd w:val="clear" w:color="auto" w:fill="auto"/>
                  <w:tcMar>
                    <w:left w:w="113" w:type="dxa"/>
                  </w:tcMar>
                  <w:vAlign w:val="center"/>
                </w:tcPr>
                <w:p w:rsidR="001E6FB8" w:rsidRPr="00EA5E3F" w:rsidRDefault="001E6FB8" w:rsidP="001E6FB8">
                  <w:pPr>
                    <w:keepNext/>
                    <w:keepLines/>
                    <w:spacing w:line="240" w:lineRule="auto"/>
                    <w:rPr>
                      <w:rFonts w:cs="Arial"/>
                      <w:bCs/>
                      <w:sz w:val="18"/>
                      <w:szCs w:val="18"/>
                    </w:rPr>
                  </w:pPr>
                  <w:r w:rsidRPr="00EA5E3F">
                    <w:rPr>
                      <w:rFonts w:cs="Arial"/>
                      <w:bCs/>
                      <w:sz w:val="18"/>
                      <w:szCs w:val="18"/>
                    </w:rPr>
                    <w:t>Primus</w:t>
                  </w:r>
                </w:p>
              </w:tc>
              <w:tc>
                <w:tcPr>
                  <w:tcW w:w="1419" w:type="dxa"/>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n/p</w:t>
                  </w:r>
                </w:p>
              </w:tc>
              <w:tc>
                <w:tcPr>
                  <w:tcW w:w="1420" w:type="dxa"/>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127</w:t>
                  </w:r>
                </w:p>
              </w:tc>
              <w:tc>
                <w:tcPr>
                  <w:tcW w:w="1420" w:type="dxa"/>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115</w:t>
                  </w:r>
                </w:p>
              </w:tc>
              <w:tc>
                <w:tcPr>
                  <w:tcW w:w="1420" w:type="dxa"/>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103</w:t>
                  </w:r>
                </w:p>
              </w:tc>
              <w:tc>
                <w:tcPr>
                  <w:tcW w:w="1420" w:type="dxa"/>
                  <w:shd w:val="clear" w:color="auto" w:fill="auto"/>
                  <w:tcMar>
                    <w:left w:w="113" w:type="dxa"/>
                  </w:tcMar>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101</w:t>
                  </w:r>
                </w:p>
              </w:tc>
            </w:tr>
            <w:tr w:rsidR="001E6FB8" w:rsidRPr="00EA5E3F" w:rsidTr="001E6FB8">
              <w:trPr>
                <w:trHeight w:val="315"/>
              </w:trPr>
              <w:tc>
                <w:tcPr>
                  <w:tcW w:w="2512" w:type="dxa"/>
                  <w:tcBorders>
                    <w:bottom w:val="single" w:sz="4" w:space="0" w:color="C8C8C8"/>
                  </w:tcBorders>
                  <w:shd w:val="clear" w:color="auto" w:fill="auto"/>
                  <w:tcMar>
                    <w:left w:w="113" w:type="dxa"/>
                  </w:tcMar>
                  <w:vAlign w:val="center"/>
                </w:tcPr>
                <w:p w:rsidR="001E6FB8" w:rsidRPr="00EA5E3F" w:rsidRDefault="001E6FB8" w:rsidP="001E6FB8">
                  <w:pPr>
                    <w:keepNext/>
                    <w:keepLines/>
                    <w:spacing w:line="240" w:lineRule="auto"/>
                    <w:rPr>
                      <w:rFonts w:cs="Arial"/>
                      <w:bCs/>
                      <w:sz w:val="18"/>
                      <w:szCs w:val="18"/>
                    </w:rPr>
                  </w:pPr>
                  <w:r w:rsidRPr="00EA5E3F">
                    <w:rPr>
                      <w:rFonts w:cs="Arial"/>
                      <w:bCs/>
                      <w:sz w:val="18"/>
                      <w:szCs w:val="18"/>
                    </w:rPr>
                    <w:t>Telstra</w:t>
                  </w:r>
                </w:p>
              </w:tc>
              <w:tc>
                <w:tcPr>
                  <w:tcW w:w="1419" w:type="dxa"/>
                  <w:tcBorders>
                    <w:bottom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6,281</w:t>
                  </w:r>
                </w:p>
              </w:tc>
              <w:tc>
                <w:tcPr>
                  <w:tcW w:w="1420" w:type="dxa"/>
                  <w:tcBorders>
                    <w:bottom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6,038</w:t>
                  </w:r>
                </w:p>
              </w:tc>
              <w:tc>
                <w:tcPr>
                  <w:tcW w:w="1420" w:type="dxa"/>
                  <w:tcBorders>
                    <w:bottom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color w:val="000000"/>
                      <w:sz w:val="18"/>
                      <w:szCs w:val="18"/>
                    </w:rPr>
                    <w:t>5,828</w:t>
                  </w:r>
                </w:p>
              </w:tc>
              <w:tc>
                <w:tcPr>
                  <w:tcW w:w="1420" w:type="dxa"/>
                  <w:tcBorders>
                    <w:bottom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5,608</w:t>
                  </w:r>
                </w:p>
              </w:tc>
              <w:tc>
                <w:tcPr>
                  <w:tcW w:w="1420" w:type="dxa"/>
                  <w:tcBorders>
                    <w:bottom w:val="single" w:sz="4" w:space="0" w:color="C8C8C8"/>
                  </w:tcBorders>
                  <w:shd w:val="clear" w:color="auto" w:fill="auto"/>
                  <w:tcMar>
                    <w:left w:w="113" w:type="dxa"/>
                  </w:tcMar>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5,314</w:t>
                  </w:r>
                </w:p>
              </w:tc>
            </w:tr>
            <w:tr w:rsidR="001E6FB8" w:rsidRPr="00EA5E3F" w:rsidTr="001E6FB8">
              <w:trPr>
                <w:trHeight w:val="315"/>
              </w:trPr>
              <w:tc>
                <w:tcPr>
                  <w:tcW w:w="2512" w:type="dxa"/>
                  <w:tcBorders>
                    <w:top w:val="single" w:sz="4" w:space="0" w:color="C8C8C8"/>
                    <w:bottom w:val="single" w:sz="4" w:space="0" w:color="C8C8C8"/>
                  </w:tcBorders>
                  <w:shd w:val="clear" w:color="auto" w:fill="auto"/>
                  <w:tcMar>
                    <w:left w:w="113" w:type="dxa"/>
                  </w:tcMar>
                  <w:vAlign w:val="center"/>
                </w:tcPr>
                <w:p w:rsidR="001E6FB8" w:rsidRPr="00EA5E3F" w:rsidRDefault="001E6FB8" w:rsidP="001E6FB8">
                  <w:pPr>
                    <w:keepNext/>
                    <w:keepLines/>
                    <w:spacing w:line="240" w:lineRule="auto"/>
                    <w:rPr>
                      <w:rFonts w:cs="Arial"/>
                      <w:bCs/>
                      <w:sz w:val="18"/>
                      <w:szCs w:val="18"/>
                    </w:rPr>
                  </w:pPr>
                  <w:r w:rsidRPr="00EA5E3F">
                    <w:rPr>
                      <w:rFonts w:cs="Arial"/>
                      <w:bCs/>
                      <w:sz w:val="18"/>
                      <w:szCs w:val="18"/>
                    </w:rPr>
                    <w:t>Other</w:t>
                  </w:r>
                </w:p>
              </w:tc>
              <w:tc>
                <w:tcPr>
                  <w:tcW w:w="1419" w:type="dxa"/>
                  <w:tcBorders>
                    <w:top w:val="single" w:sz="4" w:space="0" w:color="C8C8C8"/>
                    <w:bottom w:val="single" w:sz="4" w:space="0" w:color="C8C8C8"/>
                  </w:tcBorders>
                  <w:vAlign w:val="center"/>
                </w:tcPr>
                <w:p w:rsidR="001E6FB8" w:rsidRPr="00EA5E3F" w:rsidRDefault="001E6FB8" w:rsidP="001E6FB8">
                  <w:pPr>
                    <w:keepNext/>
                    <w:keepLines/>
                    <w:spacing w:line="240" w:lineRule="auto"/>
                    <w:ind w:right="68"/>
                    <w:jc w:val="right"/>
                    <w:rPr>
                      <w:rFonts w:cs="Arial"/>
                      <w:color w:val="000000"/>
                      <w:sz w:val="18"/>
                      <w:szCs w:val="18"/>
                    </w:rPr>
                  </w:pPr>
                  <w:r w:rsidRPr="00EA5E3F">
                    <w:rPr>
                      <w:rFonts w:cs="Arial"/>
                      <w:color w:val="000000"/>
                      <w:sz w:val="18"/>
                      <w:szCs w:val="18"/>
                    </w:rPr>
                    <w:t>292</w:t>
                  </w:r>
                </w:p>
              </w:tc>
              <w:tc>
                <w:tcPr>
                  <w:tcW w:w="1420" w:type="dxa"/>
                  <w:tcBorders>
                    <w:top w:val="single" w:sz="4" w:space="0" w:color="C8C8C8"/>
                    <w:bottom w:val="single" w:sz="4" w:space="0" w:color="C8C8C8"/>
                  </w:tcBorders>
                  <w:vAlign w:val="center"/>
                </w:tcPr>
                <w:p w:rsidR="001E6FB8" w:rsidRPr="00EA5E3F" w:rsidRDefault="001E6FB8" w:rsidP="001E6FB8">
                  <w:pPr>
                    <w:keepNext/>
                    <w:keepLines/>
                    <w:spacing w:line="240" w:lineRule="auto"/>
                    <w:ind w:right="68"/>
                    <w:jc w:val="right"/>
                    <w:rPr>
                      <w:rFonts w:cs="Arial"/>
                      <w:color w:val="000000"/>
                      <w:sz w:val="18"/>
                      <w:szCs w:val="18"/>
                    </w:rPr>
                  </w:pPr>
                  <w:r w:rsidRPr="00EA5E3F">
                    <w:rPr>
                      <w:rFonts w:cs="Arial"/>
                      <w:color w:val="000000"/>
                      <w:sz w:val="18"/>
                      <w:szCs w:val="18"/>
                    </w:rPr>
                    <w:t>242</w:t>
                  </w:r>
                </w:p>
              </w:tc>
              <w:tc>
                <w:tcPr>
                  <w:tcW w:w="1420" w:type="dxa"/>
                  <w:tcBorders>
                    <w:top w:val="single" w:sz="4" w:space="0" w:color="C8C8C8"/>
                    <w:bottom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43</w:t>
                  </w:r>
                </w:p>
              </w:tc>
              <w:tc>
                <w:tcPr>
                  <w:tcW w:w="1420" w:type="dxa"/>
                  <w:tcBorders>
                    <w:top w:val="single" w:sz="4" w:space="0" w:color="C8C8C8"/>
                    <w:bottom w:val="single" w:sz="4" w:space="0" w:color="C8C8C8"/>
                  </w:tcBorders>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0</w:t>
                  </w:r>
                </w:p>
              </w:tc>
              <w:tc>
                <w:tcPr>
                  <w:tcW w:w="1420" w:type="dxa"/>
                  <w:tcBorders>
                    <w:top w:val="single" w:sz="4" w:space="0" w:color="C8C8C8"/>
                    <w:bottom w:val="single" w:sz="4" w:space="0" w:color="C8C8C8"/>
                  </w:tcBorders>
                  <w:shd w:val="clear" w:color="auto" w:fill="auto"/>
                  <w:tcMar>
                    <w:left w:w="113" w:type="dxa"/>
                  </w:tcMar>
                  <w:vAlign w:val="center"/>
                </w:tcPr>
                <w:p w:rsidR="001E6FB8" w:rsidRPr="00EA5E3F" w:rsidRDefault="001E6FB8" w:rsidP="001E6FB8">
                  <w:pPr>
                    <w:keepNext/>
                    <w:keepLines/>
                    <w:spacing w:line="240" w:lineRule="auto"/>
                    <w:ind w:right="68"/>
                    <w:jc w:val="right"/>
                    <w:rPr>
                      <w:rFonts w:cs="Arial"/>
                      <w:sz w:val="18"/>
                      <w:szCs w:val="18"/>
                    </w:rPr>
                  </w:pPr>
                  <w:r w:rsidRPr="00EA5E3F">
                    <w:rPr>
                      <w:rFonts w:cs="Arial"/>
                      <w:sz w:val="18"/>
                      <w:szCs w:val="18"/>
                    </w:rPr>
                    <w:t>0</w:t>
                  </w:r>
                </w:p>
              </w:tc>
            </w:tr>
            <w:tr w:rsidR="001E6FB8" w:rsidRPr="00E141F1" w:rsidTr="001E6FB8">
              <w:trPr>
                <w:trHeight w:val="315"/>
              </w:trPr>
              <w:tc>
                <w:tcPr>
                  <w:tcW w:w="2512" w:type="dxa"/>
                  <w:tcBorders>
                    <w:top w:val="single" w:sz="4" w:space="0" w:color="C8C8C8"/>
                    <w:bottom w:val="single" w:sz="4" w:space="0" w:color="C8C8C8"/>
                  </w:tcBorders>
                  <w:shd w:val="clear" w:color="auto" w:fill="auto"/>
                  <w:tcMar>
                    <w:left w:w="113" w:type="dxa"/>
                  </w:tcMar>
                  <w:vAlign w:val="center"/>
                </w:tcPr>
                <w:p w:rsidR="001E6FB8" w:rsidRPr="00EA5E3F" w:rsidRDefault="001E6FB8" w:rsidP="001E6FB8">
                  <w:pPr>
                    <w:keepNext/>
                    <w:keepLines/>
                    <w:spacing w:line="240" w:lineRule="auto"/>
                    <w:rPr>
                      <w:rFonts w:cs="Arial"/>
                      <w:b/>
                      <w:bCs/>
                      <w:sz w:val="18"/>
                      <w:szCs w:val="18"/>
                    </w:rPr>
                  </w:pPr>
                  <w:r w:rsidRPr="00EA5E3F">
                    <w:rPr>
                      <w:rFonts w:cs="Arial"/>
                      <w:b/>
                      <w:bCs/>
                      <w:sz w:val="18"/>
                      <w:szCs w:val="18"/>
                    </w:rPr>
                    <w:t>Total</w:t>
                  </w:r>
                </w:p>
              </w:tc>
              <w:tc>
                <w:tcPr>
                  <w:tcW w:w="1419" w:type="dxa"/>
                  <w:tcBorders>
                    <w:top w:val="single" w:sz="4" w:space="0" w:color="C8C8C8"/>
                    <w:bottom w:val="single" w:sz="4" w:space="0" w:color="C8C8C8"/>
                  </w:tcBorders>
                  <w:vAlign w:val="center"/>
                </w:tcPr>
                <w:p w:rsidR="001E6FB8" w:rsidRPr="00EA5E3F" w:rsidRDefault="001E6FB8" w:rsidP="001E6FB8">
                  <w:pPr>
                    <w:keepNext/>
                    <w:keepLines/>
                    <w:spacing w:line="240" w:lineRule="auto"/>
                    <w:ind w:right="68"/>
                    <w:jc w:val="right"/>
                    <w:rPr>
                      <w:rFonts w:cs="Arial"/>
                      <w:b/>
                      <w:sz w:val="18"/>
                      <w:szCs w:val="18"/>
                    </w:rPr>
                  </w:pPr>
                  <w:r w:rsidRPr="00EA5E3F">
                    <w:rPr>
                      <w:rFonts w:cs="Arial"/>
                      <w:b/>
                      <w:color w:val="000000"/>
                      <w:sz w:val="18"/>
                      <w:szCs w:val="18"/>
                    </w:rPr>
                    <w:t>7,488</w:t>
                  </w:r>
                </w:p>
              </w:tc>
              <w:tc>
                <w:tcPr>
                  <w:tcW w:w="1420" w:type="dxa"/>
                  <w:tcBorders>
                    <w:top w:val="single" w:sz="4" w:space="0" w:color="C8C8C8"/>
                    <w:bottom w:val="single" w:sz="4" w:space="0" w:color="C8C8C8"/>
                  </w:tcBorders>
                  <w:vAlign w:val="center"/>
                </w:tcPr>
                <w:p w:rsidR="001E6FB8" w:rsidRPr="00EA5E3F" w:rsidRDefault="001E6FB8" w:rsidP="001E6FB8">
                  <w:pPr>
                    <w:keepNext/>
                    <w:keepLines/>
                    <w:spacing w:line="240" w:lineRule="auto"/>
                    <w:ind w:right="68"/>
                    <w:jc w:val="right"/>
                    <w:rPr>
                      <w:rFonts w:cs="Arial"/>
                      <w:b/>
                      <w:sz w:val="18"/>
                      <w:szCs w:val="18"/>
                    </w:rPr>
                  </w:pPr>
                  <w:r w:rsidRPr="00EA5E3F">
                    <w:rPr>
                      <w:rFonts w:cs="Arial"/>
                      <w:b/>
                      <w:color w:val="000000"/>
                      <w:sz w:val="18"/>
                      <w:szCs w:val="18"/>
                    </w:rPr>
                    <w:t>7,356</w:t>
                  </w:r>
                </w:p>
              </w:tc>
              <w:tc>
                <w:tcPr>
                  <w:tcW w:w="1420" w:type="dxa"/>
                  <w:tcBorders>
                    <w:top w:val="single" w:sz="4" w:space="0" w:color="C8C8C8"/>
                    <w:bottom w:val="single" w:sz="4" w:space="0" w:color="C8C8C8"/>
                  </w:tcBorders>
                  <w:vAlign w:val="center"/>
                </w:tcPr>
                <w:p w:rsidR="001E6FB8" w:rsidRPr="00EA5E3F" w:rsidRDefault="001E6FB8" w:rsidP="001E6FB8">
                  <w:pPr>
                    <w:keepNext/>
                    <w:keepLines/>
                    <w:spacing w:line="240" w:lineRule="auto"/>
                    <w:ind w:right="68"/>
                    <w:jc w:val="right"/>
                    <w:rPr>
                      <w:rFonts w:cs="Arial"/>
                      <w:b/>
                      <w:sz w:val="18"/>
                      <w:szCs w:val="18"/>
                    </w:rPr>
                  </w:pPr>
                  <w:r w:rsidRPr="00EA5E3F">
                    <w:rPr>
                      <w:rFonts w:cs="Arial"/>
                      <w:b/>
                      <w:sz w:val="18"/>
                      <w:szCs w:val="18"/>
                    </w:rPr>
                    <w:t>7,286</w:t>
                  </w:r>
                </w:p>
              </w:tc>
              <w:tc>
                <w:tcPr>
                  <w:tcW w:w="1420" w:type="dxa"/>
                  <w:tcBorders>
                    <w:top w:val="single" w:sz="4" w:space="0" w:color="C8C8C8"/>
                    <w:bottom w:val="single" w:sz="4" w:space="0" w:color="C8C8C8"/>
                  </w:tcBorders>
                  <w:vAlign w:val="center"/>
                </w:tcPr>
                <w:p w:rsidR="001E6FB8" w:rsidRPr="00EA5E3F" w:rsidRDefault="001E6FB8" w:rsidP="001E6FB8">
                  <w:pPr>
                    <w:keepNext/>
                    <w:keepLines/>
                    <w:spacing w:line="240" w:lineRule="auto"/>
                    <w:ind w:right="68"/>
                    <w:jc w:val="right"/>
                    <w:rPr>
                      <w:rFonts w:cs="Arial"/>
                      <w:b/>
                      <w:sz w:val="18"/>
                      <w:szCs w:val="18"/>
                    </w:rPr>
                  </w:pPr>
                  <w:r w:rsidRPr="00EA5E3F">
                    <w:rPr>
                      <w:rFonts w:cs="Arial"/>
                      <w:b/>
                      <w:sz w:val="18"/>
                      <w:szCs w:val="18"/>
                    </w:rPr>
                    <w:t>7,117</w:t>
                  </w:r>
                </w:p>
              </w:tc>
              <w:tc>
                <w:tcPr>
                  <w:tcW w:w="1420" w:type="dxa"/>
                  <w:tcBorders>
                    <w:top w:val="single" w:sz="4" w:space="0" w:color="C8C8C8"/>
                    <w:bottom w:val="single" w:sz="4" w:space="0" w:color="C8C8C8"/>
                  </w:tcBorders>
                  <w:shd w:val="clear" w:color="auto" w:fill="auto"/>
                  <w:tcMar>
                    <w:left w:w="113" w:type="dxa"/>
                  </w:tcMar>
                  <w:vAlign w:val="center"/>
                </w:tcPr>
                <w:p w:rsidR="001E6FB8" w:rsidRPr="00E141F1" w:rsidRDefault="001E6FB8" w:rsidP="001E6FB8">
                  <w:pPr>
                    <w:keepNext/>
                    <w:keepLines/>
                    <w:spacing w:line="240" w:lineRule="auto"/>
                    <w:ind w:right="68"/>
                    <w:jc w:val="right"/>
                    <w:rPr>
                      <w:rFonts w:cs="Arial"/>
                      <w:b/>
                      <w:sz w:val="18"/>
                      <w:szCs w:val="18"/>
                    </w:rPr>
                  </w:pPr>
                  <w:r w:rsidRPr="00EA5E3F">
                    <w:rPr>
                      <w:rFonts w:cs="Arial"/>
                      <w:b/>
                      <w:sz w:val="18"/>
                      <w:szCs w:val="18"/>
                    </w:rPr>
                    <w:t>6,683</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n/a=not applicable. n/p=not provided.</w:t>
            </w:r>
          </w:p>
          <w:p w:rsidR="001E6FB8" w:rsidRPr="00E141F1" w:rsidRDefault="001E6FB8" w:rsidP="001E6FB8">
            <w:pPr>
              <w:keepNext/>
              <w:keepLines/>
              <w:spacing w:line="240" w:lineRule="auto"/>
              <w:rPr>
                <w:rFonts w:cs="Arial"/>
                <w:i/>
                <w:sz w:val="16"/>
                <w:szCs w:val="16"/>
              </w:rPr>
            </w:pPr>
            <w:r w:rsidRPr="00E141F1">
              <w:rPr>
                <w:rFonts w:cs="Arial"/>
                <w:i/>
                <w:sz w:val="16"/>
                <w:szCs w:val="16"/>
              </w:rPr>
              <w:t>*</w:t>
            </w:r>
            <w:proofErr w:type="spellStart"/>
            <w:r w:rsidRPr="00E141F1">
              <w:rPr>
                <w:rFonts w:cs="Arial"/>
                <w:i/>
                <w:sz w:val="16"/>
                <w:szCs w:val="16"/>
              </w:rPr>
              <w:t>iiNet</w:t>
            </w:r>
            <w:proofErr w:type="spellEnd"/>
            <w:r w:rsidRPr="00E141F1">
              <w:rPr>
                <w:rFonts w:cs="Arial"/>
                <w:i/>
                <w:sz w:val="16"/>
                <w:szCs w:val="16"/>
              </w:rPr>
              <w:t xml:space="preserve"> acquired AAPT’s Consumer Division on 1 October 2010.</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Source: CSP data.</w:t>
            </w:r>
          </w:p>
        </w:tc>
      </w:tr>
    </w:tbl>
    <w:p w:rsidR="001E6FB8" w:rsidRPr="00E141F1" w:rsidRDefault="001E6FB8" w:rsidP="001E6FB8">
      <w:pPr>
        <w:spacing w:line="240" w:lineRule="auto"/>
        <w:rPr>
          <w:rFonts w:cs="Arial"/>
        </w:rPr>
      </w:pPr>
    </w:p>
    <w:p w:rsidR="001E6FB8" w:rsidRPr="00E141F1" w:rsidRDefault="001E6FB8" w:rsidP="001E6FB8">
      <w:pPr>
        <w:rPr>
          <w:rFonts w:cs="Arial"/>
        </w:rPr>
      </w:pPr>
      <w:r w:rsidRPr="00E141F1">
        <w:rPr>
          <w:rFonts w:cs="Arial"/>
        </w:rPr>
        <w:t>Table 3.6 sets out the CSG Standard time frames within which service providers must connect telephone services and complete fault repairs. The CSG Standard time frames vary according to the location of the customer and, in the case of connections, whether infrastructure is readily available and whether there is an existing in-place connection.</w:t>
      </w:r>
    </w:p>
    <w:p w:rsidR="001E6FB8" w:rsidRDefault="001E6FB8" w:rsidP="001E6FB8">
      <w:pPr>
        <w:spacing w:line="240" w:lineRule="auto"/>
        <w:rPr>
          <w:rFonts w:cs="Arial"/>
        </w:rPr>
      </w:pPr>
      <w:r>
        <w:rPr>
          <w:rFonts w:cs="Arial"/>
        </w:rPr>
        <w:br w:type="page"/>
      </w: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 xml:space="preserve">Table 3.6 </w:t>
            </w:r>
            <w:r>
              <w:rPr>
                <w:rFonts w:cs="Arial"/>
              </w:rPr>
              <w:t>CSG Standard</w:t>
            </w:r>
            <w:r w:rsidRPr="00E141F1">
              <w:rPr>
                <w:rFonts w:cs="Arial"/>
              </w:rPr>
              <w:t xml:space="preserve"> time frames (working days)</w:t>
            </w:r>
          </w:p>
        </w:tc>
      </w:tr>
      <w:tr w:rsidR="001E6FB8" w:rsidRPr="00E141F1" w:rsidTr="001E6FB8">
        <w:trPr>
          <w:trHeight w:val="864"/>
        </w:trPr>
        <w:tc>
          <w:tcPr>
            <w:tcW w:w="9645" w:type="dxa"/>
            <w:shd w:val="clear" w:color="auto" w:fill="auto"/>
            <w:tcMar>
              <w:left w:w="28" w:type="dxa"/>
            </w:tcMar>
          </w:tcPr>
          <w:tbl>
            <w:tblPr>
              <w:tblW w:w="9629"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1178"/>
              <w:gridCol w:w="2082"/>
              <w:gridCol w:w="2116"/>
              <w:gridCol w:w="2268"/>
              <w:gridCol w:w="1985"/>
            </w:tblGrid>
            <w:tr w:rsidR="001E6FB8" w:rsidRPr="00E141F1" w:rsidTr="001E6FB8">
              <w:trPr>
                <w:trHeight w:val="284"/>
              </w:trPr>
              <w:tc>
                <w:tcPr>
                  <w:tcW w:w="1178" w:type="dxa"/>
                  <w:vMerge w:val="restart"/>
                  <w:shd w:val="clear" w:color="auto" w:fill="00709E"/>
                  <w:tcMar>
                    <w:top w:w="34" w:type="dxa"/>
                    <w:left w:w="113" w:type="dxa"/>
                  </w:tcMar>
                </w:tcPr>
                <w:p w:rsidR="001E6FB8" w:rsidRPr="00E141F1" w:rsidRDefault="001E6FB8" w:rsidP="001E6FB8">
                  <w:pPr>
                    <w:pStyle w:val="TableHeading"/>
                    <w:keepNext/>
                    <w:spacing w:before="60" w:after="60"/>
                    <w:outlineLvl w:val="1"/>
                    <w:rPr>
                      <w:rFonts w:cs="Arial"/>
                      <w:color w:val="FFFFFF" w:themeColor="background1"/>
                      <w:sz w:val="18"/>
                      <w:szCs w:val="18"/>
                    </w:rPr>
                  </w:pPr>
                  <w:r w:rsidRPr="00E141F1">
                    <w:rPr>
                      <w:rFonts w:cs="Arial"/>
                      <w:color w:val="FFFFFF" w:themeColor="background1"/>
                      <w:sz w:val="18"/>
                      <w:szCs w:val="18"/>
                    </w:rPr>
                    <w:t>Community</w:t>
                  </w:r>
                </w:p>
              </w:tc>
              <w:tc>
                <w:tcPr>
                  <w:tcW w:w="2082" w:type="dxa"/>
                  <w:vMerge w:val="restart"/>
                  <w:tcBorders>
                    <w:right w:val="single" w:sz="4" w:space="0" w:color="C8C8C8"/>
                  </w:tcBorders>
                  <w:shd w:val="clear" w:color="auto" w:fill="00709E"/>
                  <w:tcMar>
                    <w:left w:w="113" w:type="dxa"/>
                  </w:tcMar>
                </w:tcPr>
                <w:p w:rsidR="001E6FB8" w:rsidRPr="00E141F1" w:rsidRDefault="001E6FB8" w:rsidP="001E6FB8">
                  <w:pPr>
                    <w:pStyle w:val="TableHeading"/>
                    <w:keepNext/>
                    <w:spacing w:before="60" w:after="60"/>
                    <w:ind w:right="123"/>
                    <w:jc w:val="right"/>
                    <w:outlineLvl w:val="1"/>
                    <w:rPr>
                      <w:rFonts w:cs="Arial"/>
                      <w:bCs/>
                      <w:color w:val="FFFFFF" w:themeColor="background1"/>
                      <w:sz w:val="18"/>
                      <w:szCs w:val="18"/>
                    </w:rPr>
                  </w:pPr>
                  <w:r w:rsidRPr="00E141F1">
                    <w:rPr>
                      <w:rFonts w:cs="Arial"/>
                      <w:color w:val="FFFFFF" w:themeColor="background1"/>
                      <w:sz w:val="18"/>
                      <w:szCs w:val="18"/>
                    </w:rPr>
                    <w:t>In-place connection</w:t>
                  </w:r>
                </w:p>
              </w:tc>
              <w:tc>
                <w:tcPr>
                  <w:tcW w:w="4384" w:type="dxa"/>
                  <w:gridSpan w:val="2"/>
                  <w:tcBorders>
                    <w:left w:val="single" w:sz="4" w:space="0" w:color="C8C8C8"/>
                    <w:bottom w:val="nil"/>
                    <w:right w:val="single" w:sz="4" w:space="0" w:color="C8C8C8"/>
                  </w:tcBorders>
                  <w:shd w:val="clear" w:color="auto" w:fill="00709E"/>
                  <w:tcMar>
                    <w:left w:w="113" w:type="dxa"/>
                  </w:tcMar>
                </w:tcPr>
                <w:p w:rsidR="001E6FB8" w:rsidRPr="00E141F1" w:rsidRDefault="001E6FB8" w:rsidP="001E6FB8">
                  <w:pPr>
                    <w:pStyle w:val="TableHeading"/>
                    <w:keepNext/>
                    <w:spacing w:before="60" w:after="60"/>
                    <w:ind w:right="123"/>
                    <w:jc w:val="center"/>
                    <w:outlineLvl w:val="1"/>
                    <w:rPr>
                      <w:rFonts w:cs="Arial"/>
                      <w:bCs/>
                      <w:color w:val="FFFFFF" w:themeColor="background1"/>
                      <w:sz w:val="18"/>
                      <w:szCs w:val="18"/>
                    </w:rPr>
                  </w:pPr>
                  <w:r w:rsidRPr="00E141F1">
                    <w:rPr>
                      <w:rFonts w:cs="Arial"/>
                      <w:color w:val="FFFFFF" w:themeColor="background1"/>
                      <w:sz w:val="18"/>
                      <w:szCs w:val="18"/>
                    </w:rPr>
                    <w:t>New service connection</w:t>
                  </w:r>
                </w:p>
              </w:tc>
              <w:tc>
                <w:tcPr>
                  <w:tcW w:w="1985" w:type="dxa"/>
                  <w:vMerge w:val="restart"/>
                  <w:tcBorders>
                    <w:left w:val="single" w:sz="4" w:space="0" w:color="C8C8C8"/>
                  </w:tcBorders>
                  <w:shd w:val="clear" w:color="auto" w:fill="00709E"/>
                  <w:vAlign w:val="center"/>
                </w:tcPr>
                <w:p w:rsidR="001E6FB8" w:rsidRPr="00E141F1" w:rsidRDefault="001E6FB8" w:rsidP="001E6FB8">
                  <w:pPr>
                    <w:pStyle w:val="TableHeading"/>
                    <w:keepNext/>
                    <w:spacing w:after="60"/>
                    <w:ind w:right="123"/>
                    <w:jc w:val="right"/>
                    <w:outlineLvl w:val="1"/>
                    <w:rPr>
                      <w:rFonts w:cs="Arial"/>
                      <w:color w:val="FFFFFF" w:themeColor="background1"/>
                      <w:sz w:val="18"/>
                      <w:szCs w:val="18"/>
                    </w:rPr>
                  </w:pPr>
                  <w:r w:rsidRPr="00E141F1">
                    <w:rPr>
                      <w:rFonts w:cs="Arial"/>
                      <w:color w:val="FFFFFF" w:themeColor="background1"/>
                      <w:sz w:val="18"/>
                      <w:szCs w:val="18"/>
                    </w:rPr>
                    <w:t>Fault repair</w:t>
                  </w:r>
                </w:p>
                <w:p w:rsidR="001E6FB8" w:rsidRPr="00E141F1" w:rsidRDefault="001E6FB8" w:rsidP="001E6FB8">
                  <w:pPr>
                    <w:pStyle w:val="TableHeading"/>
                    <w:keepNext/>
                    <w:spacing w:before="60" w:after="60"/>
                    <w:ind w:right="159"/>
                    <w:jc w:val="right"/>
                    <w:outlineLvl w:val="1"/>
                    <w:rPr>
                      <w:rFonts w:cs="Arial"/>
                      <w:color w:val="FFFFFF" w:themeColor="background1"/>
                      <w:sz w:val="18"/>
                      <w:szCs w:val="18"/>
                    </w:rPr>
                  </w:pPr>
                </w:p>
              </w:tc>
            </w:tr>
            <w:tr w:rsidR="001E6FB8" w:rsidRPr="00E141F1" w:rsidTr="001E6FB8">
              <w:trPr>
                <w:trHeight w:val="284"/>
              </w:trPr>
              <w:tc>
                <w:tcPr>
                  <w:tcW w:w="1178" w:type="dxa"/>
                  <w:vMerge/>
                  <w:shd w:val="clear" w:color="auto" w:fill="auto"/>
                  <w:tcMar>
                    <w:top w:w="34" w:type="dxa"/>
                    <w:left w:w="113" w:type="dxa"/>
                  </w:tcMar>
                </w:tcPr>
                <w:p w:rsidR="001E6FB8" w:rsidRPr="00E141F1" w:rsidRDefault="001E6FB8" w:rsidP="001E6FB8">
                  <w:pPr>
                    <w:pStyle w:val="TableHeading"/>
                    <w:rPr>
                      <w:rFonts w:cs="Arial"/>
                      <w:sz w:val="18"/>
                      <w:szCs w:val="18"/>
                    </w:rPr>
                  </w:pPr>
                </w:p>
              </w:tc>
              <w:tc>
                <w:tcPr>
                  <w:tcW w:w="2082" w:type="dxa"/>
                  <w:vMerge/>
                  <w:tcBorders>
                    <w:right w:val="single" w:sz="4" w:space="0" w:color="C8C8C8"/>
                  </w:tcBorders>
                  <w:shd w:val="clear" w:color="auto" w:fill="auto"/>
                  <w:tcMar>
                    <w:left w:w="113" w:type="dxa"/>
                  </w:tcMar>
                </w:tcPr>
                <w:p w:rsidR="001E6FB8" w:rsidRPr="00E141F1" w:rsidRDefault="001E6FB8" w:rsidP="001E6FB8">
                  <w:pPr>
                    <w:pStyle w:val="TableHeading"/>
                    <w:ind w:right="123"/>
                    <w:jc w:val="right"/>
                    <w:rPr>
                      <w:rFonts w:cs="Arial"/>
                      <w:bCs/>
                      <w:sz w:val="18"/>
                      <w:szCs w:val="18"/>
                    </w:rPr>
                  </w:pPr>
                </w:p>
              </w:tc>
              <w:tc>
                <w:tcPr>
                  <w:tcW w:w="2116" w:type="dxa"/>
                  <w:tcBorders>
                    <w:top w:val="nil"/>
                    <w:left w:val="single" w:sz="4" w:space="0" w:color="C8C8C8"/>
                  </w:tcBorders>
                  <w:shd w:val="clear" w:color="auto" w:fill="00709E"/>
                  <w:tcMar>
                    <w:left w:w="113" w:type="dxa"/>
                  </w:tcMar>
                </w:tcPr>
                <w:p w:rsidR="001E6FB8" w:rsidRPr="00E141F1" w:rsidRDefault="001E6FB8" w:rsidP="001E6FB8">
                  <w:pPr>
                    <w:pStyle w:val="TableHeading"/>
                    <w:ind w:right="123"/>
                    <w:jc w:val="right"/>
                    <w:rPr>
                      <w:rFonts w:cs="Arial"/>
                      <w:bCs/>
                      <w:color w:val="FFFFFF" w:themeColor="background1"/>
                      <w:sz w:val="18"/>
                      <w:szCs w:val="18"/>
                    </w:rPr>
                  </w:pPr>
                  <w:r w:rsidRPr="00E141F1">
                    <w:rPr>
                      <w:rFonts w:cs="Arial"/>
                      <w:color w:val="FFFFFF" w:themeColor="background1"/>
                      <w:sz w:val="18"/>
                      <w:szCs w:val="18"/>
                    </w:rPr>
                    <w:t>Close to infrastructure</w:t>
                  </w:r>
                </w:p>
              </w:tc>
              <w:tc>
                <w:tcPr>
                  <w:tcW w:w="2268" w:type="dxa"/>
                  <w:tcBorders>
                    <w:top w:val="nil"/>
                    <w:right w:val="single" w:sz="4" w:space="0" w:color="C8C8C8"/>
                  </w:tcBorders>
                  <w:shd w:val="clear" w:color="auto" w:fill="00709E"/>
                </w:tcPr>
                <w:p w:rsidR="001E6FB8" w:rsidRPr="00E141F1" w:rsidRDefault="001E6FB8" w:rsidP="001E6FB8">
                  <w:pPr>
                    <w:pStyle w:val="TableHeading"/>
                    <w:ind w:right="123"/>
                    <w:jc w:val="right"/>
                    <w:rPr>
                      <w:rFonts w:cs="Arial"/>
                      <w:bCs/>
                      <w:color w:val="FFFFFF" w:themeColor="background1"/>
                      <w:sz w:val="18"/>
                      <w:szCs w:val="18"/>
                    </w:rPr>
                  </w:pPr>
                  <w:r w:rsidRPr="00E141F1">
                    <w:rPr>
                      <w:rFonts w:cs="Arial"/>
                      <w:color w:val="FFFFFF" w:themeColor="background1"/>
                      <w:sz w:val="18"/>
                      <w:szCs w:val="18"/>
                    </w:rPr>
                    <w:t>Not close to infrastructure</w:t>
                  </w:r>
                </w:p>
              </w:tc>
              <w:tc>
                <w:tcPr>
                  <w:tcW w:w="1985" w:type="dxa"/>
                  <w:vMerge/>
                  <w:tcBorders>
                    <w:left w:val="single" w:sz="4" w:space="0" w:color="C8C8C8"/>
                  </w:tcBorders>
                </w:tcPr>
                <w:p w:rsidR="001E6FB8" w:rsidRPr="00E141F1" w:rsidRDefault="001E6FB8" w:rsidP="001E6FB8">
                  <w:pPr>
                    <w:pStyle w:val="TableHeading"/>
                    <w:ind w:right="159"/>
                    <w:jc w:val="right"/>
                    <w:rPr>
                      <w:rFonts w:cs="Arial"/>
                      <w:bCs/>
                      <w:sz w:val="18"/>
                      <w:szCs w:val="18"/>
                    </w:rPr>
                  </w:pPr>
                </w:p>
              </w:tc>
            </w:tr>
            <w:tr w:rsidR="001E6FB8" w:rsidRPr="00E141F1" w:rsidTr="001E6FB8">
              <w:trPr>
                <w:trHeight w:val="284"/>
              </w:trPr>
              <w:tc>
                <w:tcPr>
                  <w:tcW w:w="1178" w:type="dxa"/>
                  <w:shd w:val="clear" w:color="auto" w:fill="auto"/>
                  <w:tcMar>
                    <w:left w:w="113" w:type="dxa"/>
                  </w:tcMar>
                </w:tcPr>
                <w:p w:rsidR="001E6FB8" w:rsidRPr="00E141F1" w:rsidRDefault="001E6FB8" w:rsidP="001E6FB8">
                  <w:pPr>
                    <w:spacing w:before="40" w:after="40" w:line="240" w:lineRule="auto"/>
                    <w:rPr>
                      <w:rFonts w:cs="Arial"/>
                      <w:sz w:val="18"/>
                      <w:szCs w:val="18"/>
                    </w:rPr>
                  </w:pPr>
                  <w:r w:rsidRPr="00E141F1">
                    <w:rPr>
                      <w:rFonts w:cs="Arial"/>
                      <w:sz w:val="18"/>
                      <w:szCs w:val="18"/>
                    </w:rPr>
                    <w:t>Urban</w:t>
                  </w:r>
                </w:p>
              </w:tc>
              <w:tc>
                <w:tcPr>
                  <w:tcW w:w="2082" w:type="dxa"/>
                  <w:tcBorders>
                    <w:right w:val="single" w:sz="4" w:space="0" w:color="C8C8C8"/>
                  </w:tcBorders>
                  <w:shd w:val="clear" w:color="auto" w:fill="auto"/>
                  <w:tcMar>
                    <w:left w:w="113" w:type="dxa"/>
                  </w:tcMar>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2</w:t>
                  </w:r>
                </w:p>
              </w:tc>
              <w:tc>
                <w:tcPr>
                  <w:tcW w:w="2116" w:type="dxa"/>
                  <w:tcBorders>
                    <w:left w:val="single" w:sz="4" w:space="0" w:color="C8C8C8"/>
                  </w:tcBorders>
                  <w:shd w:val="clear" w:color="auto" w:fill="auto"/>
                  <w:tcMar>
                    <w:left w:w="113" w:type="dxa"/>
                  </w:tcMar>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5</w:t>
                  </w:r>
                </w:p>
              </w:tc>
              <w:tc>
                <w:tcPr>
                  <w:tcW w:w="2268" w:type="dxa"/>
                  <w:tcBorders>
                    <w:right w:val="single" w:sz="4" w:space="0" w:color="C8C8C8"/>
                  </w:tcBorders>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20</w:t>
                  </w:r>
                </w:p>
              </w:tc>
              <w:tc>
                <w:tcPr>
                  <w:tcW w:w="1985" w:type="dxa"/>
                  <w:tcBorders>
                    <w:left w:val="single" w:sz="4" w:space="0" w:color="C8C8C8"/>
                  </w:tcBorders>
                </w:tcPr>
                <w:p w:rsidR="001E6FB8" w:rsidRPr="00E141F1" w:rsidRDefault="001E6FB8" w:rsidP="001E6FB8">
                  <w:pPr>
                    <w:spacing w:before="40" w:after="40" w:line="240" w:lineRule="auto"/>
                    <w:ind w:right="159"/>
                    <w:jc w:val="right"/>
                    <w:rPr>
                      <w:rFonts w:cs="Arial"/>
                      <w:sz w:val="18"/>
                      <w:szCs w:val="18"/>
                    </w:rPr>
                  </w:pPr>
                  <w:r w:rsidRPr="00E141F1">
                    <w:rPr>
                      <w:rFonts w:cs="Arial"/>
                      <w:sz w:val="18"/>
                      <w:szCs w:val="18"/>
                    </w:rPr>
                    <w:t>1</w:t>
                  </w:r>
                </w:p>
              </w:tc>
            </w:tr>
            <w:tr w:rsidR="001E6FB8" w:rsidRPr="00E141F1" w:rsidTr="001E6FB8">
              <w:trPr>
                <w:trHeight w:val="284"/>
              </w:trPr>
              <w:tc>
                <w:tcPr>
                  <w:tcW w:w="1178" w:type="dxa"/>
                  <w:shd w:val="clear" w:color="auto" w:fill="auto"/>
                  <w:tcMar>
                    <w:left w:w="113" w:type="dxa"/>
                  </w:tcMar>
                </w:tcPr>
                <w:p w:rsidR="001E6FB8" w:rsidRPr="00E141F1" w:rsidRDefault="001E6FB8" w:rsidP="001E6FB8">
                  <w:pPr>
                    <w:spacing w:before="40" w:after="40" w:line="240" w:lineRule="auto"/>
                    <w:rPr>
                      <w:rFonts w:cs="Arial"/>
                      <w:sz w:val="18"/>
                      <w:szCs w:val="18"/>
                    </w:rPr>
                  </w:pPr>
                  <w:r w:rsidRPr="00E141F1">
                    <w:rPr>
                      <w:rFonts w:cs="Arial"/>
                      <w:sz w:val="18"/>
                      <w:szCs w:val="18"/>
                    </w:rPr>
                    <w:t>Major rural</w:t>
                  </w:r>
                </w:p>
              </w:tc>
              <w:tc>
                <w:tcPr>
                  <w:tcW w:w="2082" w:type="dxa"/>
                  <w:tcBorders>
                    <w:right w:val="single" w:sz="4" w:space="0" w:color="C8C8C8"/>
                  </w:tcBorders>
                  <w:shd w:val="clear" w:color="auto" w:fill="auto"/>
                  <w:tcMar>
                    <w:left w:w="113" w:type="dxa"/>
                  </w:tcMar>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2</w:t>
                  </w:r>
                </w:p>
              </w:tc>
              <w:tc>
                <w:tcPr>
                  <w:tcW w:w="2116" w:type="dxa"/>
                  <w:tcBorders>
                    <w:left w:val="single" w:sz="4" w:space="0" w:color="C8C8C8"/>
                  </w:tcBorders>
                  <w:shd w:val="clear" w:color="auto" w:fill="auto"/>
                  <w:tcMar>
                    <w:left w:w="113" w:type="dxa"/>
                  </w:tcMar>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10</w:t>
                  </w:r>
                </w:p>
              </w:tc>
              <w:tc>
                <w:tcPr>
                  <w:tcW w:w="2268" w:type="dxa"/>
                  <w:tcBorders>
                    <w:right w:val="single" w:sz="4" w:space="0" w:color="C8C8C8"/>
                  </w:tcBorders>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20</w:t>
                  </w:r>
                </w:p>
              </w:tc>
              <w:tc>
                <w:tcPr>
                  <w:tcW w:w="1985" w:type="dxa"/>
                  <w:tcBorders>
                    <w:left w:val="single" w:sz="4" w:space="0" w:color="C8C8C8"/>
                  </w:tcBorders>
                </w:tcPr>
                <w:p w:rsidR="001E6FB8" w:rsidRPr="00E141F1" w:rsidRDefault="001E6FB8" w:rsidP="001E6FB8">
                  <w:pPr>
                    <w:spacing w:before="40" w:after="40" w:line="240" w:lineRule="auto"/>
                    <w:ind w:right="159"/>
                    <w:jc w:val="right"/>
                    <w:rPr>
                      <w:rFonts w:cs="Arial"/>
                      <w:sz w:val="18"/>
                      <w:szCs w:val="18"/>
                    </w:rPr>
                  </w:pPr>
                  <w:r w:rsidRPr="00E141F1">
                    <w:rPr>
                      <w:rFonts w:cs="Arial"/>
                      <w:sz w:val="18"/>
                      <w:szCs w:val="18"/>
                    </w:rPr>
                    <w:t>2</w:t>
                  </w:r>
                </w:p>
              </w:tc>
            </w:tr>
            <w:tr w:rsidR="001E6FB8" w:rsidRPr="00E141F1" w:rsidTr="001E6FB8">
              <w:trPr>
                <w:trHeight w:val="284"/>
              </w:trPr>
              <w:tc>
                <w:tcPr>
                  <w:tcW w:w="1178" w:type="dxa"/>
                  <w:shd w:val="clear" w:color="auto" w:fill="auto"/>
                  <w:tcMar>
                    <w:left w:w="113" w:type="dxa"/>
                  </w:tcMar>
                </w:tcPr>
                <w:p w:rsidR="001E6FB8" w:rsidRPr="00E141F1" w:rsidRDefault="001E6FB8" w:rsidP="001E6FB8">
                  <w:pPr>
                    <w:spacing w:before="40" w:after="40" w:line="240" w:lineRule="auto"/>
                    <w:rPr>
                      <w:rFonts w:cs="Arial"/>
                      <w:sz w:val="18"/>
                      <w:szCs w:val="18"/>
                    </w:rPr>
                  </w:pPr>
                  <w:r w:rsidRPr="00E141F1">
                    <w:rPr>
                      <w:rFonts w:cs="Arial"/>
                      <w:sz w:val="18"/>
                      <w:szCs w:val="18"/>
                    </w:rPr>
                    <w:t>Minor rural</w:t>
                  </w:r>
                </w:p>
              </w:tc>
              <w:tc>
                <w:tcPr>
                  <w:tcW w:w="2082" w:type="dxa"/>
                  <w:tcBorders>
                    <w:right w:val="single" w:sz="4" w:space="0" w:color="C8C8C8"/>
                  </w:tcBorders>
                  <w:shd w:val="clear" w:color="auto" w:fill="auto"/>
                  <w:tcMar>
                    <w:left w:w="113" w:type="dxa"/>
                  </w:tcMar>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2</w:t>
                  </w:r>
                </w:p>
              </w:tc>
              <w:tc>
                <w:tcPr>
                  <w:tcW w:w="2116" w:type="dxa"/>
                  <w:tcBorders>
                    <w:left w:val="single" w:sz="4" w:space="0" w:color="C8C8C8"/>
                  </w:tcBorders>
                  <w:shd w:val="clear" w:color="auto" w:fill="auto"/>
                  <w:tcMar>
                    <w:left w:w="113" w:type="dxa"/>
                  </w:tcMar>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15</w:t>
                  </w:r>
                </w:p>
              </w:tc>
              <w:tc>
                <w:tcPr>
                  <w:tcW w:w="2268" w:type="dxa"/>
                  <w:tcBorders>
                    <w:right w:val="single" w:sz="4" w:space="0" w:color="C8C8C8"/>
                  </w:tcBorders>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20</w:t>
                  </w:r>
                </w:p>
              </w:tc>
              <w:tc>
                <w:tcPr>
                  <w:tcW w:w="1985" w:type="dxa"/>
                  <w:tcBorders>
                    <w:left w:val="single" w:sz="4" w:space="0" w:color="C8C8C8"/>
                  </w:tcBorders>
                </w:tcPr>
                <w:p w:rsidR="001E6FB8" w:rsidRPr="00E141F1" w:rsidRDefault="001E6FB8" w:rsidP="001E6FB8">
                  <w:pPr>
                    <w:spacing w:before="40" w:after="40" w:line="240" w:lineRule="auto"/>
                    <w:ind w:right="159"/>
                    <w:jc w:val="right"/>
                    <w:rPr>
                      <w:rFonts w:cs="Arial"/>
                      <w:sz w:val="18"/>
                      <w:szCs w:val="18"/>
                    </w:rPr>
                  </w:pPr>
                  <w:r w:rsidRPr="00E141F1">
                    <w:rPr>
                      <w:rFonts w:cs="Arial"/>
                      <w:sz w:val="18"/>
                      <w:szCs w:val="18"/>
                    </w:rPr>
                    <w:t>2</w:t>
                  </w:r>
                </w:p>
              </w:tc>
            </w:tr>
            <w:tr w:rsidR="001E6FB8" w:rsidRPr="00E141F1" w:rsidTr="001E6FB8">
              <w:trPr>
                <w:trHeight w:val="284"/>
              </w:trPr>
              <w:tc>
                <w:tcPr>
                  <w:tcW w:w="1178" w:type="dxa"/>
                  <w:shd w:val="clear" w:color="auto" w:fill="auto"/>
                  <w:tcMar>
                    <w:left w:w="113" w:type="dxa"/>
                  </w:tcMar>
                </w:tcPr>
                <w:p w:rsidR="001E6FB8" w:rsidRPr="00E141F1" w:rsidRDefault="001E6FB8" w:rsidP="001E6FB8">
                  <w:pPr>
                    <w:spacing w:before="40" w:after="40" w:line="240" w:lineRule="auto"/>
                    <w:rPr>
                      <w:rFonts w:cs="Arial"/>
                      <w:sz w:val="18"/>
                      <w:szCs w:val="18"/>
                    </w:rPr>
                  </w:pPr>
                  <w:r w:rsidRPr="00E141F1">
                    <w:rPr>
                      <w:rFonts w:cs="Arial"/>
                      <w:sz w:val="18"/>
                      <w:szCs w:val="18"/>
                    </w:rPr>
                    <w:t>Remote</w:t>
                  </w:r>
                </w:p>
              </w:tc>
              <w:tc>
                <w:tcPr>
                  <w:tcW w:w="2082" w:type="dxa"/>
                  <w:tcBorders>
                    <w:right w:val="single" w:sz="4" w:space="0" w:color="C8C8C8"/>
                  </w:tcBorders>
                  <w:shd w:val="clear" w:color="auto" w:fill="auto"/>
                  <w:tcMar>
                    <w:left w:w="113" w:type="dxa"/>
                  </w:tcMar>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2</w:t>
                  </w:r>
                </w:p>
              </w:tc>
              <w:tc>
                <w:tcPr>
                  <w:tcW w:w="2116" w:type="dxa"/>
                  <w:tcBorders>
                    <w:left w:val="single" w:sz="4" w:space="0" w:color="C8C8C8"/>
                  </w:tcBorders>
                  <w:shd w:val="clear" w:color="auto" w:fill="auto"/>
                  <w:tcMar>
                    <w:left w:w="113" w:type="dxa"/>
                  </w:tcMar>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15</w:t>
                  </w:r>
                </w:p>
              </w:tc>
              <w:tc>
                <w:tcPr>
                  <w:tcW w:w="2268" w:type="dxa"/>
                  <w:tcBorders>
                    <w:right w:val="single" w:sz="4" w:space="0" w:color="C8C8C8"/>
                  </w:tcBorders>
                </w:tcPr>
                <w:p w:rsidR="001E6FB8" w:rsidRPr="00E141F1" w:rsidRDefault="001E6FB8" w:rsidP="001E6FB8">
                  <w:pPr>
                    <w:spacing w:before="40" w:after="40" w:line="240" w:lineRule="auto"/>
                    <w:ind w:right="123"/>
                    <w:jc w:val="right"/>
                    <w:rPr>
                      <w:rFonts w:cs="Arial"/>
                      <w:sz w:val="18"/>
                      <w:szCs w:val="18"/>
                    </w:rPr>
                  </w:pPr>
                  <w:r w:rsidRPr="00E141F1">
                    <w:rPr>
                      <w:rFonts w:cs="Arial"/>
                      <w:sz w:val="18"/>
                      <w:szCs w:val="18"/>
                    </w:rPr>
                    <w:t>20</w:t>
                  </w:r>
                </w:p>
              </w:tc>
              <w:tc>
                <w:tcPr>
                  <w:tcW w:w="1985" w:type="dxa"/>
                  <w:tcBorders>
                    <w:left w:val="single" w:sz="4" w:space="0" w:color="C8C8C8"/>
                  </w:tcBorders>
                </w:tcPr>
                <w:p w:rsidR="001E6FB8" w:rsidRPr="00E141F1" w:rsidRDefault="001E6FB8" w:rsidP="001E6FB8">
                  <w:pPr>
                    <w:spacing w:before="40" w:after="40" w:line="240" w:lineRule="auto"/>
                    <w:ind w:right="159"/>
                    <w:jc w:val="right"/>
                    <w:rPr>
                      <w:rFonts w:cs="Arial"/>
                      <w:sz w:val="18"/>
                      <w:szCs w:val="18"/>
                    </w:rPr>
                  </w:pPr>
                  <w:r w:rsidRPr="00E141F1">
                    <w:rPr>
                      <w:rFonts w:cs="Arial"/>
                      <w:sz w:val="18"/>
                      <w:szCs w:val="18"/>
                    </w:rPr>
                    <w:t>3</w:t>
                  </w:r>
                </w:p>
              </w:tc>
            </w:tr>
          </w:tbl>
          <w:p w:rsidR="001E6FB8" w:rsidRPr="00E141F1" w:rsidRDefault="001E6FB8" w:rsidP="001E6FB8">
            <w:pPr>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Note: ‘Urban’ is defined as communities with 10,000 or more people, ‘major rural’ is defined as communities with between 2,500 and 10,000 people, ‘minor rural’ is defined as communities with between 200 and 2,500 people, ‘remote’ is defined as communities with up to 200 people.</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Source: CSG Standard.</w:t>
            </w:r>
          </w:p>
        </w:tc>
      </w:tr>
    </w:tbl>
    <w:p w:rsidR="001E6FB8" w:rsidRPr="00E141F1" w:rsidRDefault="001E6FB8" w:rsidP="001E6FB8">
      <w:pPr>
        <w:spacing w:line="240" w:lineRule="auto"/>
        <w:rPr>
          <w:rFonts w:cs="Arial"/>
        </w:rPr>
      </w:pPr>
    </w:p>
    <w:p w:rsidR="001E6FB8" w:rsidRPr="00E141F1" w:rsidRDefault="001E6FB8" w:rsidP="001E6FB8">
      <w:pPr>
        <w:pStyle w:val="Heading3"/>
      </w:pPr>
      <w:bookmarkStart w:id="343" w:name="_Toc287540189"/>
      <w:bookmarkStart w:id="344" w:name="_Toc308517212"/>
      <w:bookmarkStart w:id="345" w:name="_Toc308523652"/>
      <w:bookmarkStart w:id="346" w:name="_Toc310326869"/>
      <w:bookmarkStart w:id="347" w:name="_Toc341428366"/>
      <w:bookmarkStart w:id="348" w:name="_Toc371589046"/>
      <w:bookmarkStart w:id="349" w:name="_Toc373149108"/>
      <w:r w:rsidRPr="00E141F1">
        <w:t>Connections</w:t>
      </w:r>
      <w:bookmarkEnd w:id="343"/>
      <w:bookmarkEnd w:id="344"/>
      <w:bookmarkEnd w:id="345"/>
      <w:bookmarkEnd w:id="346"/>
      <w:bookmarkEnd w:id="347"/>
      <w:bookmarkEnd w:id="348"/>
      <w:bookmarkEnd w:id="349"/>
    </w:p>
    <w:p w:rsidR="001E6FB8" w:rsidRPr="00E141F1" w:rsidRDefault="001E6FB8" w:rsidP="001E6FB8">
      <w:pPr>
        <w:rPr>
          <w:rFonts w:cs="Arial"/>
        </w:rPr>
      </w:pPr>
      <w:r w:rsidRPr="00E141F1">
        <w:rPr>
          <w:rFonts w:cs="Arial"/>
        </w:rPr>
        <w:t>In 2012–13, the performance of the major CSPs in meeting CSG Standard time frames for new service connections nationally was 89.0 per cent (Telstra), 98.5 per cent (Optus), 94.4 per cent (</w:t>
      </w:r>
      <w:proofErr w:type="spellStart"/>
      <w:r w:rsidRPr="00E141F1">
        <w:rPr>
          <w:rFonts w:cs="Arial"/>
        </w:rPr>
        <w:t>iiNet</w:t>
      </w:r>
      <w:proofErr w:type="spellEnd"/>
      <w:r w:rsidRPr="00E141F1">
        <w:rPr>
          <w:rFonts w:cs="Arial"/>
        </w:rPr>
        <w:t xml:space="preserve">) and 100 per cent (Primus). Table 3.7 shows CSP performance in 2012–13 in meeting CSG Standard time frames for new service connections and for in-place service connections. Any compliance action for non-compliance with </w:t>
      </w:r>
      <w:r>
        <w:rPr>
          <w:rFonts w:cs="Arial"/>
        </w:rPr>
        <w:t xml:space="preserve">annual </w:t>
      </w:r>
      <w:r w:rsidRPr="00E141F1">
        <w:rPr>
          <w:rFonts w:cs="Arial"/>
        </w:rPr>
        <w:t>performance benchmarks is considered by the ACMA after the reporting period.</w:t>
      </w:r>
    </w:p>
    <w:p w:rsidR="001E6FB8" w:rsidRPr="00E141F1" w:rsidRDefault="001E6FB8" w:rsidP="001E6FB8">
      <w:pPr>
        <w:rPr>
          <w:rFonts w:cs="Arial"/>
        </w:rPr>
      </w:pPr>
    </w:p>
    <w:p w:rsidR="001E6FB8" w:rsidRPr="00E141F1" w:rsidRDefault="001E6FB8" w:rsidP="001E6FB8">
      <w:pPr>
        <w:rPr>
          <w:rFonts w:cs="Arial"/>
        </w:rPr>
      </w:pPr>
      <w:r w:rsidRPr="00E141F1">
        <w:rPr>
          <w:rFonts w:cs="Arial"/>
        </w:rPr>
        <w:t>A ‘new service connection’ is the connection of a standard telephone service to premises where there is the need for additional work to be completed (for example, cabling) before a service can be connected. This excludes in-place service connections where there has been a previous working CSG service that is available for reconnection or reactivation by the CSP.</w:t>
      </w:r>
      <w:r>
        <w:rPr>
          <w:rFonts w:cs="Arial"/>
        </w:rPr>
        <w:t xml:space="preserve"> </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spacing w:before="120" w:after="120"/>
              <w:rPr>
                <w:rFonts w:cs="Arial"/>
              </w:rPr>
            </w:pPr>
            <w:r w:rsidRPr="00E141F1">
              <w:rPr>
                <w:rFonts w:cs="Arial"/>
              </w:rPr>
              <w:t xml:space="preserve">Table 3.7 Percentage and number of new service and in-place connections provided within </w:t>
            </w:r>
            <w:r>
              <w:rPr>
                <w:rFonts w:cs="Arial"/>
              </w:rPr>
              <w:br/>
            </w:r>
            <w:r w:rsidRPr="00E141F1">
              <w:rPr>
                <w:rFonts w:cs="Arial"/>
              </w:rPr>
              <w:t>CSG Standard time frames, 2012–13</w:t>
            </w:r>
          </w:p>
        </w:tc>
      </w:tr>
      <w:tr w:rsidR="001E6FB8" w:rsidRPr="00E141F1" w:rsidTr="001E6FB8">
        <w:trPr>
          <w:trHeight w:val="707"/>
        </w:trPr>
        <w:tc>
          <w:tcPr>
            <w:tcW w:w="9645" w:type="dxa"/>
            <w:shd w:val="clear" w:color="auto" w:fill="auto"/>
            <w:tcMar>
              <w:left w:w="28" w:type="dxa"/>
            </w:tcMar>
          </w:tcPr>
          <w:tbl>
            <w:tblPr>
              <w:tblW w:w="964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2382"/>
              <w:gridCol w:w="907"/>
              <w:gridCol w:w="908"/>
              <w:gridCol w:w="907"/>
              <w:gridCol w:w="908"/>
              <w:gridCol w:w="907"/>
              <w:gridCol w:w="908"/>
              <w:gridCol w:w="907"/>
              <w:gridCol w:w="908"/>
            </w:tblGrid>
            <w:tr w:rsidR="001E6FB8" w:rsidRPr="00E141F1" w:rsidTr="001E6FB8">
              <w:trPr>
                <w:trHeight w:val="302"/>
              </w:trPr>
              <w:tc>
                <w:tcPr>
                  <w:tcW w:w="2382" w:type="dxa"/>
                  <w:tcBorders>
                    <w:top w:val="nil"/>
                    <w:left w:val="nil"/>
                    <w:bottom w:val="nil"/>
                    <w:right w:val="nil"/>
                  </w:tcBorders>
                  <w:shd w:val="clear" w:color="auto" w:fill="00709E"/>
                  <w:tcMar>
                    <w:top w:w="34" w:type="dxa"/>
                    <w:left w:w="113" w:type="dxa"/>
                  </w:tcMa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1815" w:type="dxa"/>
                  <w:gridSpan w:val="2"/>
                  <w:tcBorders>
                    <w:top w:val="nil"/>
                    <w:left w:val="nil"/>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pacing w:val="-28"/>
                      <w:sz w:val="18"/>
                      <w:szCs w:val="18"/>
                    </w:rPr>
                  </w:pPr>
                  <w:proofErr w:type="spellStart"/>
                  <w:r w:rsidRPr="00E141F1">
                    <w:rPr>
                      <w:rFonts w:cs="Arial"/>
                      <w:b/>
                      <w:color w:val="FFFFFF" w:themeColor="background1"/>
                      <w:sz w:val="18"/>
                      <w:szCs w:val="18"/>
                    </w:rPr>
                    <w:t>iiNet</w:t>
                  </w:r>
                  <w:proofErr w:type="spellEnd"/>
                </w:p>
              </w:tc>
              <w:tc>
                <w:tcPr>
                  <w:tcW w:w="1815" w:type="dxa"/>
                  <w:gridSpan w:val="2"/>
                  <w:tcBorders>
                    <w:top w:val="nil"/>
                    <w:left w:val="single" w:sz="4" w:space="0" w:color="C8C8C8"/>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pacing w:val="-28"/>
                      <w:sz w:val="18"/>
                      <w:szCs w:val="18"/>
                    </w:rPr>
                  </w:pPr>
                  <w:r w:rsidRPr="00E141F1">
                    <w:rPr>
                      <w:rFonts w:cs="Arial"/>
                      <w:b/>
                      <w:color w:val="FFFFFF" w:themeColor="background1"/>
                      <w:sz w:val="18"/>
                      <w:szCs w:val="18"/>
                    </w:rPr>
                    <w:t>Optus</w:t>
                  </w:r>
                </w:p>
              </w:tc>
              <w:tc>
                <w:tcPr>
                  <w:tcW w:w="1815" w:type="dxa"/>
                  <w:gridSpan w:val="2"/>
                  <w:tcBorders>
                    <w:top w:val="nil"/>
                    <w:left w:val="single" w:sz="4" w:space="0" w:color="C8C8C8"/>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z w:val="18"/>
                      <w:szCs w:val="18"/>
                    </w:rPr>
                  </w:pPr>
                  <w:r w:rsidRPr="00E141F1">
                    <w:rPr>
                      <w:rFonts w:cs="Arial"/>
                      <w:b/>
                      <w:color w:val="FFFFFF" w:themeColor="background1"/>
                      <w:sz w:val="18"/>
                      <w:szCs w:val="18"/>
                    </w:rPr>
                    <w:t>Primus</w:t>
                  </w:r>
                </w:p>
              </w:tc>
              <w:tc>
                <w:tcPr>
                  <w:tcW w:w="1815" w:type="dxa"/>
                  <w:gridSpan w:val="2"/>
                  <w:tcBorders>
                    <w:top w:val="nil"/>
                    <w:left w:val="single" w:sz="4" w:space="0" w:color="C8C8C8"/>
                    <w:bottom w:val="nil"/>
                    <w:right w:val="nil"/>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z w:val="18"/>
                      <w:szCs w:val="18"/>
                    </w:rPr>
                  </w:pPr>
                  <w:r w:rsidRPr="00E141F1">
                    <w:rPr>
                      <w:rFonts w:cs="Arial"/>
                      <w:b/>
                      <w:color w:val="FFFFFF" w:themeColor="background1"/>
                      <w:sz w:val="18"/>
                      <w:szCs w:val="18"/>
                    </w:rPr>
                    <w:t>Telstra</w:t>
                  </w:r>
                </w:p>
              </w:tc>
            </w:tr>
            <w:tr w:rsidR="001E6FB8" w:rsidRPr="00E141F1" w:rsidTr="001E6FB8">
              <w:trPr>
                <w:trHeight w:val="302"/>
              </w:trPr>
              <w:tc>
                <w:tcPr>
                  <w:tcW w:w="2382" w:type="dxa"/>
                  <w:tcBorders>
                    <w:top w:val="nil"/>
                    <w:left w:val="nil"/>
                    <w:bottom w:val="single" w:sz="4" w:space="0" w:color="BFBFBF" w:themeColor="background1" w:themeShade="BF"/>
                    <w:right w:val="nil"/>
                  </w:tcBorders>
                  <w:shd w:val="clear" w:color="auto" w:fill="00709E"/>
                  <w:tcMar>
                    <w:top w:w="34" w:type="dxa"/>
                    <w:left w:w="113" w:type="dxa"/>
                  </w:tcMa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907" w:type="dxa"/>
                  <w:tcBorders>
                    <w:top w:val="nil"/>
                    <w:left w:val="nil"/>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w:t>
                  </w:r>
                </w:p>
              </w:tc>
              <w:tc>
                <w:tcPr>
                  <w:tcW w:w="908" w:type="dxa"/>
                  <w:tcBorders>
                    <w:top w:val="nil"/>
                    <w:left w:val="nil"/>
                    <w:bottom w:val="single" w:sz="4" w:space="0" w:color="BFBFBF" w:themeColor="background1" w:themeShade="BF"/>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No.</w:t>
                  </w:r>
                </w:p>
              </w:tc>
              <w:tc>
                <w:tcPr>
                  <w:tcW w:w="907" w:type="dxa"/>
                  <w:tcBorders>
                    <w:top w:val="nil"/>
                    <w:left w:val="single" w:sz="4" w:space="0" w:color="C8C8C8"/>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w:t>
                  </w:r>
                </w:p>
              </w:tc>
              <w:tc>
                <w:tcPr>
                  <w:tcW w:w="908" w:type="dxa"/>
                  <w:tcBorders>
                    <w:top w:val="nil"/>
                    <w:left w:val="nil"/>
                    <w:bottom w:val="single" w:sz="4" w:space="0" w:color="BFBFBF" w:themeColor="background1" w:themeShade="BF"/>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No.</w:t>
                  </w:r>
                </w:p>
              </w:tc>
              <w:tc>
                <w:tcPr>
                  <w:tcW w:w="907" w:type="dxa"/>
                  <w:tcBorders>
                    <w:top w:val="nil"/>
                    <w:left w:val="single" w:sz="4" w:space="0" w:color="C8C8C8"/>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w:t>
                  </w:r>
                </w:p>
              </w:tc>
              <w:tc>
                <w:tcPr>
                  <w:tcW w:w="908" w:type="dxa"/>
                  <w:tcBorders>
                    <w:top w:val="nil"/>
                    <w:left w:val="nil"/>
                    <w:bottom w:val="single" w:sz="4" w:space="0" w:color="BFBFBF" w:themeColor="background1" w:themeShade="BF"/>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No.</w:t>
                  </w:r>
                </w:p>
              </w:tc>
              <w:tc>
                <w:tcPr>
                  <w:tcW w:w="907" w:type="dxa"/>
                  <w:tcBorders>
                    <w:top w:val="nil"/>
                    <w:left w:val="single" w:sz="4" w:space="0" w:color="C8C8C8"/>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w:t>
                  </w:r>
                </w:p>
              </w:tc>
              <w:tc>
                <w:tcPr>
                  <w:tcW w:w="908" w:type="dxa"/>
                  <w:tcBorders>
                    <w:top w:val="nil"/>
                    <w:left w:val="nil"/>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No.</w:t>
                  </w:r>
                </w:p>
              </w:tc>
            </w:tr>
            <w:tr w:rsidR="001E6FB8" w:rsidRPr="00E141F1" w:rsidTr="001E6FB8">
              <w:trPr>
                <w:trHeight w:val="302"/>
              </w:trPr>
              <w:tc>
                <w:tcPr>
                  <w:tcW w:w="2382" w:type="dxa"/>
                  <w:tcBorders>
                    <w:top w:val="single" w:sz="4" w:space="0" w:color="BFBFBF" w:themeColor="background1" w:themeShade="BF"/>
                    <w:left w:val="nil"/>
                    <w:right w:val="nil"/>
                  </w:tcBorders>
                  <w:shd w:val="clear" w:color="auto" w:fill="auto"/>
                  <w:tcMar>
                    <w:left w:w="113" w:type="dxa"/>
                  </w:tcMar>
                </w:tcPr>
                <w:p w:rsidR="001E6FB8" w:rsidRPr="003E4870" w:rsidRDefault="001E6FB8" w:rsidP="001E6FB8">
                  <w:pPr>
                    <w:keepNext/>
                    <w:keepLines/>
                    <w:spacing w:before="40" w:after="40" w:line="240" w:lineRule="auto"/>
                    <w:ind w:right="11"/>
                    <w:rPr>
                      <w:rFonts w:cs="Arial"/>
                      <w:b/>
                      <w:color w:val="00709E"/>
                      <w:sz w:val="18"/>
                      <w:szCs w:val="18"/>
                    </w:rPr>
                  </w:pPr>
                  <w:r w:rsidRPr="003E4870">
                    <w:rPr>
                      <w:rFonts w:cs="Arial"/>
                      <w:b/>
                      <w:color w:val="00709E"/>
                      <w:sz w:val="18"/>
                      <w:szCs w:val="18"/>
                    </w:rPr>
                    <w:t xml:space="preserve">New service connections </w:t>
                  </w:r>
                </w:p>
              </w:tc>
              <w:tc>
                <w:tcPr>
                  <w:tcW w:w="907" w:type="dxa"/>
                  <w:tcBorders>
                    <w:top w:val="single" w:sz="4" w:space="0" w:color="BFBFBF" w:themeColor="background1" w:themeShade="BF"/>
                    <w:left w:val="nil"/>
                    <w:right w:val="nil"/>
                  </w:tcBorders>
                </w:tcPr>
                <w:p w:rsidR="001E6FB8" w:rsidRPr="00E141F1" w:rsidRDefault="001E6FB8" w:rsidP="001E6FB8">
                  <w:pPr>
                    <w:keepNext/>
                    <w:keepLines/>
                    <w:ind w:right="87"/>
                    <w:jc w:val="right"/>
                    <w:rPr>
                      <w:rFonts w:cs="Arial"/>
                      <w:color w:val="000000"/>
                      <w:sz w:val="18"/>
                      <w:szCs w:val="18"/>
                    </w:rPr>
                  </w:pPr>
                </w:p>
              </w:tc>
              <w:tc>
                <w:tcPr>
                  <w:tcW w:w="908"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p>
              </w:tc>
              <w:tc>
                <w:tcPr>
                  <w:tcW w:w="907"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p>
              </w:tc>
              <w:tc>
                <w:tcPr>
                  <w:tcW w:w="908"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p>
              </w:tc>
              <w:tc>
                <w:tcPr>
                  <w:tcW w:w="907"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p>
              </w:tc>
              <w:tc>
                <w:tcPr>
                  <w:tcW w:w="908"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p>
              </w:tc>
              <w:tc>
                <w:tcPr>
                  <w:tcW w:w="907"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p>
              </w:tc>
              <w:tc>
                <w:tcPr>
                  <w:tcW w:w="908" w:type="dxa"/>
                  <w:tcBorders>
                    <w:top w:val="single" w:sz="4" w:space="0" w:color="BFBFBF" w:themeColor="background1" w:themeShade="BF"/>
                    <w:left w:val="nil"/>
                    <w:right w:val="nil"/>
                  </w:tcBorders>
                </w:tcPr>
                <w:p w:rsidR="001E6FB8" w:rsidRPr="00E141F1" w:rsidRDefault="001E6FB8" w:rsidP="001E6FB8">
                  <w:pPr>
                    <w:keepNext/>
                    <w:keepLines/>
                    <w:ind w:right="87"/>
                    <w:jc w:val="right"/>
                    <w:rPr>
                      <w:rFonts w:cs="Arial"/>
                      <w:color w:val="000000"/>
                      <w:sz w:val="18"/>
                      <w:szCs w:val="18"/>
                    </w:rPr>
                  </w:pPr>
                </w:p>
              </w:tc>
            </w:tr>
            <w:tr w:rsidR="001E6FB8" w:rsidRPr="00E141F1" w:rsidTr="001E6FB8">
              <w:trPr>
                <w:trHeight w:val="302"/>
              </w:trPr>
              <w:tc>
                <w:tcPr>
                  <w:tcW w:w="2382" w:type="dxa"/>
                  <w:tcBorders>
                    <w:top w:val="single" w:sz="4" w:space="0" w:color="BFBFBF" w:themeColor="background1" w:themeShade="BF"/>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Urban areas</w:t>
                  </w:r>
                </w:p>
              </w:tc>
              <w:tc>
                <w:tcPr>
                  <w:tcW w:w="907" w:type="dxa"/>
                  <w:tcBorders>
                    <w:top w:val="single" w:sz="4" w:space="0" w:color="BFBFBF" w:themeColor="background1" w:themeShade="BF"/>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94.4%</w:t>
                  </w:r>
                </w:p>
              </w:tc>
              <w:tc>
                <w:tcPr>
                  <w:tcW w:w="908"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53,097</w:t>
                  </w:r>
                </w:p>
              </w:tc>
              <w:tc>
                <w:tcPr>
                  <w:tcW w:w="907"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98.5%</w:t>
                  </w:r>
                </w:p>
              </w:tc>
              <w:tc>
                <w:tcPr>
                  <w:tcW w:w="908"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161,956</w:t>
                  </w:r>
                </w:p>
              </w:tc>
              <w:tc>
                <w:tcPr>
                  <w:tcW w:w="907"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8"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2,881</w:t>
                  </w:r>
                </w:p>
              </w:tc>
              <w:tc>
                <w:tcPr>
                  <w:tcW w:w="907"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88.6%</w:t>
                  </w:r>
                </w:p>
              </w:tc>
              <w:tc>
                <w:tcPr>
                  <w:tcW w:w="908" w:type="dxa"/>
                  <w:tcBorders>
                    <w:top w:val="single" w:sz="4" w:space="0" w:color="BFBFBF" w:themeColor="background1" w:themeShade="BF"/>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 xml:space="preserve">253,044 </w:t>
                  </w:r>
                </w:p>
              </w:tc>
            </w:tr>
            <w:tr w:rsidR="001E6FB8" w:rsidRPr="00E141F1" w:rsidTr="001E6FB8">
              <w:trPr>
                <w:trHeight w:val="302"/>
              </w:trPr>
              <w:tc>
                <w:tcPr>
                  <w:tcW w:w="2382"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Major rural areas</w:t>
                  </w:r>
                </w:p>
              </w:tc>
              <w:tc>
                <w:tcPr>
                  <w:tcW w:w="907"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95.4%</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2,249</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170</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115</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91.6%</w:t>
                  </w:r>
                </w:p>
              </w:tc>
              <w:tc>
                <w:tcPr>
                  <w:tcW w:w="908"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 xml:space="preserve">25,668 </w:t>
                  </w:r>
                </w:p>
              </w:tc>
            </w:tr>
            <w:tr w:rsidR="001E6FB8" w:rsidRPr="00E141F1" w:rsidTr="001E6FB8">
              <w:trPr>
                <w:trHeight w:val="302"/>
              </w:trPr>
              <w:tc>
                <w:tcPr>
                  <w:tcW w:w="2382"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Minor rural areas</w:t>
                  </w:r>
                </w:p>
              </w:tc>
              <w:tc>
                <w:tcPr>
                  <w:tcW w:w="907"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92.6%</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1,235</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108</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131</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90.4%</w:t>
                  </w:r>
                </w:p>
              </w:tc>
              <w:tc>
                <w:tcPr>
                  <w:tcW w:w="908"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 xml:space="preserve">20,410 </w:t>
                  </w:r>
                </w:p>
              </w:tc>
            </w:tr>
            <w:tr w:rsidR="001E6FB8" w:rsidRPr="00E141F1" w:rsidTr="001E6FB8">
              <w:trPr>
                <w:trHeight w:val="302"/>
              </w:trPr>
              <w:tc>
                <w:tcPr>
                  <w:tcW w:w="2382"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Remote areas</w:t>
                  </w:r>
                </w:p>
              </w:tc>
              <w:tc>
                <w:tcPr>
                  <w:tcW w:w="907"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99.1%</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106</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89.0%</w:t>
                  </w:r>
                </w:p>
              </w:tc>
              <w:tc>
                <w:tcPr>
                  <w:tcW w:w="908"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 xml:space="preserve">701 </w:t>
                  </w:r>
                </w:p>
              </w:tc>
            </w:tr>
            <w:tr w:rsidR="001E6FB8" w:rsidRPr="00E141F1" w:rsidTr="001E6FB8">
              <w:trPr>
                <w:trHeight w:val="302"/>
              </w:trPr>
              <w:tc>
                <w:tcPr>
                  <w:tcW w:w="2382"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 xml:space="preserve">All areas </w:t>
                  </w:r>
                </w:p>
              </w:tc>
              <w:tc>
                <w:tcPr>
                  <w:tcW w:w="907"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94.4%</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56,867</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98.5%</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162,240</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3,128</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89.0%</w:t>
                  </w:r>
                </w:p>
              </w:tc>
              <w:tc>
                <w:tcPr>
                  <w:tcW w:w="908"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 xml:space="preserve">299,823 </w:t>
                  </w:r>
                </w:p>
              </w:tc>
            </w:tr>
            <w:tr w:rsidR="001E6FB8" w:rsidRPr="00E141F1" w:rsidTr="001E6FB8">
              <w:trPr>
                <w:trHeight w:val="302"/>
              </w:trPr>
              <w:tc>
                <w:tcPr>
                  <w:tcW w:w="2382" w:type="dxa"/>
                  <w:tcBorders>
                    <w:left w:val="nil"/>
                    <w:right w:val="nil"/>
                  </w:tcBorders>
                  <w:shd w:val="clear" w:color="auto" w:fill="auto"/>
                  <w:tcMar>
                    <w:left w:w="113" w:type="dxa"/>
                  </w:tcMar>
                </w:tcPr>
                <w:p w:rsidR="001E6FB8" w:rsidRPr="003E4870" w:rsidRDefault="001E6FB8" w:rsidP="001E6FB8">
                  <w:pPr>
                    <w:keepNext/>
                    <w:keepLines/>
                    <w:spacing w:before="40" w:after="40" w:line="240" w:lineRule="auto"/>
                    <w:ind w:right="11"/>
                    <w:rPr>
                      <w:rFonts w:cs="Arial"/>
                      <w:b/>
                      <w:color w:val="00709E"/>
                      <w:sz w:val="18"/>
                      <w:szCs w:val="18"/>
                    </w:rPr>
                  </w:pPr>
                  <w:r w:rsidRPr="003E4870">
                    <w:rPr>
                      <w:rFonts w:cs="Arial"/>
                      <w:b/>
                      <w:color w:val="00709E"/>
                      <w:sz w:val="18"/>
                      <w:szCs w:val="18"/>
                    </w:rPr>
                    <w:t xml:space="preserve">In-place service connections </w:t>
                  </w:r>
                </w:p>
              </w:tc>
              <w:tc>
                <w:tcPr>
                  <w:tcW w:w="907" w:type="dxa"/>
                  <w:tcBorders>
                    <w:left w:val="nil"/>
                    <w:right w:val="nil"/>
                  </w:tcBorders>
                </w:tcPr>
                <w:p w:rsidR="001E6FB8" w:rsidRPr="00E141F1" w:rsidRDefault="001E6FB8" w:rsidP="001E6FB8">
                  <w:pPr>
                    <w:keepNext/>
                    <w:keepLines/>
                    <w:ind w:right="87"/>
                    <w:jc w:val="right"/>
                    <w:rPr>
                      <w:rFonts w:cs="Arial"/>
                      <w:color w:val="000000"/>
                      <w:sz w:val="18"/>
                      <w:szCs w:val="18"/>
                    </w:rPr>
                  </w:pP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p>
              </w:tc>
              <w:tc>
                <w:tcPr>
                  <w:tcW w:w="908" w:type="dxa"/>
                  <w:tcBorders>
                    <w:left w:val="nil"/>
                    <w:right w:val="nil"/>
                  </w:tcBorders>
                </w:tcPr>
                <w:p w:rsidR="001E6FB8" w:rsidRPr="00E141F1" w:rsidRDefault="001E6FB8" w:rsidP="001E6FB8">
                  <w:pPr>
                    <w:keepNext/>
                    <w:keepLines/>
                    <w:ind w:right="87"/>
                    <w:jc w:val="right"/>
                    <w:rPr>
                      <w:rFonts w:cs="Arial"/>
                      <w:color w:val="000000"/>
                      <w:sz w:val="18"/>
                      <w:szCs w:val="18"/>
                    </w:rPr>
                  </w:pPr>
                </w:p>
              </w:tc>
            </w:tr>
            <w:tr w:rsidR="001E6FB8" w:rsidRPr="00E141F1" w:rsidTr="001E6FB8">
              <w:trPr>
                <w:trHeight w:val="302"/>
              </w:trPr>
              <w:tc>
                <w:tcPr>
                  <w:tcW w:w="2382"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 xml:space="preserve">All areas </w:t>
                  </w:r>
                </w:p>
              </w:tc>
              <w:tc>
                <w:tcPr>
                  <w:tcW w:w="907"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97.7%</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67,322</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n/a</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n/a</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8"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8,853</w:t>
                  </w:r>
                </w:p>
              </w:tc>
              <w:tc>
                <w:tcPr>
                  <w:tcW w:w="907"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93.8%</w:t>
                  </w:r>
                </w:p>
              </w:tc>
              <w:tc>
                <w:tcPr>
                  <w:tcW w:w="908"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 xml:space="preserve">321,987 </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n/a=not applicable.</w:t>
            </w:r>
          </w:p>
          <w:p w:rsidR="001E6FB8" w:rsidRPr="00532142" w:rsidRDefault="001E6FB8" w:rsidP="001E6FB8">
            <w:pPr>
              <w:keepNext/>
              <w:keepLines/>
              <w:spacing w:line="240" w:lineRule="auto"/>
              <w:rPr>
                <w:rFonts w:cs="Arial"/>
                <w:i/>
                <w:sz w:val="16"/>
                <w:szCs w:val="16"/>
              </w:rPr>
            </w:pPr>
            <w:r w:rsidRPr="00532142">
              <w:rPr>
                <w:rFonts w:cs="Arial"/>
                <w:i/>
                <w:sz w:val="16"/>
                <w:szCs w:val="16"/>
              </w:rPr>
              <w:t>Note: During 2012–13, qualifying CSPs were required to record the number of requests that were not complied with within the applicable performance time frames and to identify if the CSP’s failure to do so was wholly or partly attributable to one or more acts or omissions by another CSP.</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Source: CSP data.</w:t>
            </w:r>
          </w:p>
        </w:tc>
      </w:tr>
    </w:tbl>
    <w:p w:rsidR="001E6FB8" w:rsidRPr="00E141F1" w:rsidRDefault="001E6FB8" w:rsidP="001E6FB8">
      <w:pPr>
        <w:rPr>
          <w:rFonts w:cs="Arial"/>
        </w:rPr>
      </w:pPr>
    </w:p>
    <w:p w:rsidR="001E6FB8" w:rsidRDefault="001E6FB8" w:rsidP="001E6FB8">
      <w:pPr>
        <w:spacing w:line="240" w:lineRule="auto"/>
        <w:rPr>
          <w:rFonts w:cs="Arial"/>
          <w:b/>
          <w:bCs/>
          <w:szCs w:val="26"/>
        </w:rPr>
      </w:pPr>
      <w:bookmarkStart w:id="350" w:name="_Toc341428367"/>
      <w:r>
        <w:br w:type="page"/>
      </w:r>
    </w:p>
    <w:p w:rsidR="001E6FB8" w:rsidRPr="00E141F1" w:rsidRDefault="001E6FB8" w:rsidP="001E6FB8">
      <w:pPr>
        <w:pStyle w:val="Heading3"/>
      </w:pPr>
      <w:bookmarkStart w:id="351" w:name="_Toc371589047"/>
      <w:bookmarkStart w:id="352" w:name="_Toc373149109"/>
      <w:r w:rsidRPr="00E141F1">
        <w:t>Appointments</w:t>
      </w:r>
      <w:bookmarkEnd w:id="350"/>
      <w:bookmarkEnd w:id="351"/>
      <w:bookmarkEnd w:id="352"/>
    </w:p>
    <w:p w:rsidR="001E6FB8" w:rsidRDefault="001E6FB8" w:rsidP="001E6FB8">
      <w:pPr>
        <w:rPr>
          <w:rFonts w:cs="Arial"/>
        </w:rPr>
      </w:pPr>
      <w:r w:rsidRPr="00E141F1">
        <w:rPr>
          <w:rFonts w:cs="Arial"/>
        </w:rPr>
        <w:t xml:space="preserve">During 2012–13, Telstra made 389,972 CSG Standard-related appointments and did not meet 2.7 per cent (or 10,346) within the CSG Standard appointment-keeping time frames. During the same period, Optus did not meet </w:t>
      </w:r>
      <w:r>
        <w:rPr>
          <w:rFonts w:cs="Arial"/>
        </w:rPr>
        <w:t>four</w:t>
      </w:r>
      <w:r w:rsidRPr="00E141F1">
        <w:rPr>
          <w:rFonts w:cs="Arial"/>
        </w:rPr>
        <w:t xml:space="preserve"> per cent of appointments, </w:t>
      </w:r>
      <w:proofErr w:type="spellStart"/>
      <w:r w:rsidRPr="00E141F1">
        <w:rPr>
          <w:rFonts w:cs="Arial"/>
        </w:rPr>
        <w:t>iiNet</w:t>
      </w:r>
      <w:proofErr w:type="spellEnd"/>
      <w:r w:rsidRPr="00E141F1">
        <w:rPr>
          <w:rFonts w:cs="Arial"/>
        </w:rPr>
        <w:t xml:space="preserve"> did not meet 0.2 per cent of appointments and Primus met all appointments. Table 3.8 shows CSP performance in 2012–13 in meeting CSG Standard for appointment-keeping time frames.</w:t>
      </w:r>
    </w:p>
    <w:p w:rsidR="001E6FB8" w:rsidRDefault="001E6FB8" w:rsidP="001E6FB8">
      <w:pPr>
        <w:rPr>
          <w:rFonts w:cs="Arial"/>
        </w:rPr>
      </w:pPr>
    </w:p>
    <w:p w:rsidR="001E6FB8" w:rsidRDefault="001E6FB8" w:rsidP="001E6FB8">
      <w:pPr>
        <w:pStyle w:val="Heading3"/>
      </w:pPr>
      <w:bookmarkStart w:id="353" w:name="_Toc341428368"/>
      <w:bookmarkStart w:id="354" w:name="_Toc371589048"/>
      <w:bookmarkStart w:id="355" w:name="_Toc373149110"/>
      <w:r w:rsidRPr="00E141F1">
        <w:t>Fault repairs</w:t>
      </w:r>
      <w:bookmarkEnd w:id="353"/>
      <w:bookmarkEnd w:id="354"/>
      <w:bookmarkEnd w:id="355"/>
    </w:p>
    <w:p w:rsidR="001E6FB8" w:rsidRPr="00E141F1" w:rsidRDefault="001E6FB8" w:rsidP="001E6FB8">
      <w:pPr>
        <w:rPr>
          <w:rFonts w:cs="Arial"/>
        </w:rPr>
      </w:pPr>
      <w:r w:rsidRPr="00E141F1">
        <w:rPr>
          <w:rFonts w:cs="Arial"/>
        </w:rPr>
        <w:t>In 2012–13, the performance of the major CSPs in meeting CSG Standard time frames for fault repairs nationally was 90.9 per cent (Telstra), 96.9 per cent (Optus), 91.3 per cent (</w:t>
      </w:r>
      <w:proofErr w:type="spellStart"/>
      <w:r w:rsidRPr="00E141F1">
        <w:rPr>
          <w:rFonts w:cs="Arial"/>
        </w:rPr>
        <w:t>iiNet</w:t>
      </w:r>
      <w:proofErr w:type="spellEnd"/>
      <w:r w:rsidRPr="00E141F1">
        <w:rPr>
          <w:rFonts w:cs="Arial"/>
        </w:rPr>
        <w:t>) and 98.5 per cent (Primus).</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spacing w:before="120" w:after="120"/>
              <w:rPr>
                <w:rFonts w:cs="Arial"/>
              </w:rPr>
            </w:pPr>
            <w:bookmarkStart w:id="356" w:name="_Toc287540191"/>
            <w:bookmarkStart w:id="357" w:name="_Toc308517215"/>
            <w:bookmarkStart w:id="358" w:name="_Toc308523655"/>
            <w:bookmarkStart w:id="359" w:name="_Toc310326872"/>
            <w:r w:rsidRPr="00E141F1">
              <w:rPr>
                <w:rFonts w:cs="Arial"/>
              </w:rPr>
              <w:t>Table 3.8 Percentage and number of faults repaired within CSG Standard time frames and appointment-keeping performance, 2012–13</w:t>
            </w:r>
          </w:p>
        </w:tc>
      </w:tr>
      <w:tr w:rsidR="001E6FB8" w:rsidRPr="00E141F1" w:rsidTr="001E6FB8">
        <w:trPr>
          <w:trHeight w:val="864"/>
        </w:trPr>
        <w:tc>
          <w:tcPr>
            <w:tcW w:w="9645" w:type="dxa"/>
            <w:shd w:val="clear" w:color="auto" w:fill="auto"/>
            <w:tcMar>
              <w:left w:w="28" w:type="dxa"/>
            </w:tcMar>
          </w:tcPr>
          <w:tbl>
            <w:tblPr>
              <w:tblW w:w="964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2399"/>
              <w:gridCol w:w="905"/>
              <w:gridCol w:w="905"/>
              <w:gridCol w:w="906"/>
              <w:gridCol w:w="905"/>
              <w:gridCol w:w="905"/>
              <w:gridCol w:w="906"/>
              <w:gridCol w:w="905"/>
              <w:gridCol w:w="906"/>
            </w:tblGrid>
            <w:tr w:rsidR="001E6FB8" w:rsidRPr="00E141F1" w:rsidTr="001E6FB8">
              <w:trPr>
                <w:trHeight w:val="302"/>
              </w:trPr>
              <w:tc>
                <w:tcPr>
                  <w:tcW w:w="2399" w:type="dxa"/>
                  <w:tcBorders>
                    <w:top w:val="nil"/>
                    <w:left w:val="nil"/>
                    <w:bottom w:val="nil"/>
                    <w:right w:val="nil"/>
                  </w:tcBorders>
                  <w:shd w:val="clear" w:color="auto" w:fill="00709E"/>
                  <w:tcMar>
                    <w:top w:w="34" w:type="dxa"/>
                    <w:left w:w="113" w:type="dxa"/>
                  </w:tcMa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1810" w:type="dxa"/>
                  <w:gridSpan w:val="2"/>
                  <w:tcBorders>
                    <w:top w:val="nil"/>
                    <w:left w:val="nil"/>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pacing w:val="-28"/>
                      <w:sz w:val="18"/>
                      <w:szCs w:val="18"/>
                    </w:rPr>
                  </w:pPr>
                  <w:proofErr w:type="spellStart"/>
                  <w:r w:rsidRPr="00E141F1">
                    <w:rPr>
                      <w:rFonts w:cs="Arial"/>
                      <w:b/>
                      <w:color w:val="FFFFFF" w:themeColor="background1"/>
                      <w:sz w:val="18"/>
                      <w:szCs w:val="18"/>
                    </w:rPr>
                    <w:t>iiNet</w:t>
                  </w:r>
                  <w:proofErr w:type="spellEnd"/>
                </w:p>
              </w:tc>
              <w:tc>
                <w:tcPr>
                  <w:tcW w:w="1811" w:type="dxa"/>
                  <w:gridSpan w:val="2"/>
                  <w:tcBorders>
                    <w:top w:val="nil"/>
                    <w:left w:val="single" w:sz="4" w:space="0" w:color="C8C8C8"/>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pacing w:val="-28"/>
                      <w:sz w:val="18"/>
                      <w:szCs w:val="18"/>
                    </w:rPr>
                  </w:pPr>
                  <w:r w:rsidRPr="00E141F1">
                    <w:rPr>
                      <w:rFonts w:cs="Arial"/>
                      <w:b/>
                      <w:color w:val="FFFFFF" w:themeColor="background1"/>
                      <w:sz w:val="18"/>
                      <w:szCs w:val="18"/>
                    </w:rPr>
                    <w:t>Optus</w:t>
                  </w:r>
                </w:p>
              </w:tc>
              <w:tc>
                <w:tcPr>
                  <w:tcW w:w="1811" w:type="dxa"/>
                  <w:gridSpan w:val="2"/>
                  <w:tcBorders>
                    <w:top w:val="nil"/>
                    <w:left w:val="single" w:sz="4" w:space="0" w:color="C8C8C8"/>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z w:val="18"/>
                      <w:szCs w:val="18"/>
                    </w:rPr>
                  </w:pPr>
                  <w:r w:rsidRPr="00E141F1">
                    <w:rPr>
                      <w:rFonts w:cs="Arial"/>
                      <w:b/>
                      <w:color w:val="FFFFFF" w:themeColor="background1"/>
                      <w:sz w:val="18"/>
                      <w:szCs w:val="18"/>
                    </w:rPr>
                    <w:t>Primus</w:t>
                  </w:r>
                </w:p>
              </w:tc>
              <w:tc>
                <w:tcPr>
                  <w:tcW w:w="1811" w:type="dxa"/>
                  <w:gridSpan w:val="2"/>
                  <w:tcBorders>
                    <w:top w:val="nil"/>
                    <w:left w:val="single" w:sz="4" w:space="0" w:color="C8C8C8"/>
                    <w:bottom w:val="nil"/>
                    <w:right w:val="nil"/>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z w:val="18"/>
                      <w:szCs w:val="18"/>
                    </w:rPr>
                  </w:pPr>
                  <w:r w:rsidRPr="00E141F1">
                    <w:rPr>
                      <w:rFonts w:cs="Arial"/>
                      <w:b/>
                      <w:color w:val="FFFFFF" w:themeColor="background1"/>
                      <w:sz w:val="18"/>
                      <w:szCs w:val="18"/>
                    </w:rPr>
                    <w:t>Telstra</w:t>
                  </w:r>
                </w:p>
              </w:tc>
            </w:tr>
            <w:tr w:rsidR="001E6FB8" w:rsidRPr="00E141F1" w:rsidTr="001E6FB8">
              <w:trPr>
                <w:trHeight w:val="302"/>
              </w:trPr>
              <w:tc>
                <w:tcPr>
                  <w:tcW w:w="2399" w:type="dxa"/>
                  <w:tcBorders>
                    <w:top w:val="nil"/>
                    <w:left w:val="nil"/>
                    <w:bottom w:val="single" w:sz="4" w:space="0" w:color="BFBFBF" w:themeColor="background1" w:themeShade="BF"/>
                    <w:right w:val="nil"/>
                  </w:tcBorders>
                  <w:shd w:val="clear" w:color="auto" w:fill="00709E"/>
                  <w:tcMar>
                    <w:top w:w="34" w:type="dxa"/>
                    <w:left w:w="113" w:type="dxa"/>
                  </w:tcMa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905" w:type="dxa"/>
                  <w:tcBorders>
                    <w:top w:val="nil"/>
                    <w:left w:val="nil"/>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w:t>
                  </w:r>
                </w:p>
              </w:tc>
              <w:tc>
                <w:tcPr>
                  <w:tcW w:w="905" w:type="dxa"/>
                  <w:tcBorders>
                    <w:top w:val="nil"/>
                    <w:left w:val="nil"/>
                    <w:bottom w:val="single" w:sz="4" w:space="0" w:color="BFBFBF" w:themeColor="background1" w:themeShade="BF"/>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No.</w:t>
                  </w:r>
                </w:p>
              </w:tc>
              <w:tc>
                <w:tcPr>
                  <w:tcW w:w="906" w:type="dxa"/>
                  <w:tcBorders>
                    <w:top w:val="nil"/>
                    <w:left w:val="single" w:sz="4" w:space="0" w:color="C8C8C8"/>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w:t>
                  </w:r>
                </w:p>
              </w:tc>
              <w:tc>
                <w:tcPr>
                  <w:tcW w:w="905" w:type="dxa"/>
                  <w:tcBorders>
                    <w:top w:val="nil"/>
                    <w:left w:val="nil"/>
                    <w:bottom w:val="single" w:sz="4" w:space="0" w:color="BFBFBF" w:themeColor="background1" w:themeShade="BF"/>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No.</w:t>
                  </w:r>
                </w:p>
              </w:tc>
              <w:tc>
                <w:tcPr>
                  <w:tcW w:w="905" w:type="dxa"/>
                  <w:tcBorders>
                    <w:top w:val="nil"/>
                    <w:left w:val="single" w:sz="4" w:space="0" w:color="C8C8C8"/>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w:t>
                  </w:r>
                </w:p>
              </w:tc>
              <w:tc>
                <w:tcPr>
                  <w:tcW w:w="906" w:type="dxa"/>
                  <w:tcBorders>
                    <w:top w:val="nil"/>
                    <w:left w:val="nil"/>
                    <w:bottom w:val="single" w:sz="4" w:space="0" w:color="BFBFBF" w:themeColor="background1" w:themeShade="BF"/>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No.</w:t>
                  </w:r>
                </w:p>
              </w:tc>
              <w:tc>
                <w:tcPr>
                  <w:tcW w:w="905" w:type="dxa"/>
                  <w:tcBorders>
                    <w:top w:val="nil"/>
                    <w:left w:val="single" w:sz="4" w:space="0" w:color="C8C8C8"/>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w:t>
                  </w:r>
                </w:p>
              </w:tc>
              <w:tc>
                <w:tcPr>
                  <w:tcW w:w="906" w:type="dxa"/>
                  <w:tcBorders>
                    <w:top w:val="nil"/>
                    <w:left w:val="nil"/>
                    <w:bottom w:val="single" w:sz="4" w:space="0" w:color="BFBFBF" w:themeColor="background1" w:themeShade="BF"/>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No.</w:t>
                  </w:r>
                </w:p>
              </w:tc>
            </w:tr>
            <w:tr w:rsidR="001E6FB8" w:rsidRPr="00E141F1" w:rsidTr="001E6FB8">
              <w:trPr>
                <w:trHeight w:val="302"/>
              </w:trPr>
              <w:tc>
                <w:tcPr>
                  <w:tcW w:w="2399" w:type="dxa"/>
                  <w:tcBorders>
                    <w:top w:val="single" w:sz="4" w:space="0" w:color="BFBFBF" w:themeColor="background1" w:themeShade="BF"/>
                    <w:left w:val="nil"/>
                    <w:right w:val="nil"/>
                  </w:tcBorders>
                  <w:shd w:val="clear" w:color="auto" w:fill="auto"/>
                  <w:tcMar>
                    <w:left w:w="113" w:type="dxa"/>
                  </w:tcMar>
                </w:tcPr>
                <w:p w:rsidR="001E6FB8" w:rsidRPr="003E4870" w:rsidRDefault="001E6FB8" w:rsidP="001E6FB8">
                  <w:pPr>
                    <w:keepNext/>
                    <w:keepLines/>
                    <w:spacing w:before="40" w:after="40" w:line="240" w:lineRule="auto"/>
                    <w:ind w:right="11"/>
                    <w:rPr>
                      <w:rFonts w:cs="Arial"/>
                      <w:b/>
                      <w:color w:val="00709E"/>
                      <w:sz w:val="18"/>
                      <w:szCs w:val="18"/>
                    </w:rPr>
                  </w:pPr>
                  <w:r w:rsidRPr="003E4870">
                    <w:rPr>
                      <w:rFonts w:cs="Arial"/>
                      <w:b/>
                      <w:color w:val="00709E"/>
                      <w:sz w:val="18"/>
                      <w:szCs w:val="18"/>
                    </w:rPr>
                    <w:t xml:space="preserve">Fault repairs </w:t>
                  </w:r>
                </w:p>
              </w:tc>
              <w:tc>
                <w:tcPr>
                  <w:tcW w:w="905" w:type="dxa"/>
                  <w:tcBorders>
                    <w:top w:val="single" w:sz="4" w:space="0" w:color="BFBFBF" w:themeColor="background1" w:themeShade="BF"/>
                    <w:left w:val="nil"/>
                    <w:right w:val="nil"/>
                  </w:tcBorders>
                </w:tcPr>
                <w:p w:rsidR="001E6FB8" w:rsidRPr="00E141F1" w:rsidRDefault="001E6FB8" w:rsidP="001E6FB8">
                  <w:pPr>
                    <w:keepNext/>
                    <w:keepLines/>
                    <w:ind w:right="87"/>
                    <w:jc w:val="right"/>
                    <w:rPr>
                      <w:rFonts w:cs="Arial"/>
                      <w:color w:val="000000"/>
                      <w:sz w:val="18"/>
                      <w:szCs w:val="18"/>
                    </w:rPr>
                  </w:pPr>
                </w:p>
              </w:tc>
              <w:tc>
                <w:tcPr>
                  <w:tcW w:w="905"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p>
              </w:tc>
              <w:tc>
                <w:tcPr>
                  <w:tcW w:w="906"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p>
              </w:tc>
              <w:tc>
                <w:tcPr>
                  <w:tcW w:w="905"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p>
              </w:tc>
              <w:tc>
                <w:tcPr>
                  <w:tcW w:w="905"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p>
              </w:tc>
              <w:tc>
                <w:tcPr>
                  <w:tcW w:w="906"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p>
              </w:tc>
              <w:tc>
                <w:tcPr>
                  <w:tcW w:w="905"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p>
              </w:tc>
              <w:tc>
                <w:tcPr>
                  <w:tcW w:w="906" w:type="dxa"/>
                  <w:tcBorders>
                    <w:top w:val="single" w:sz="4" w:space="0" w:color="BFBFBF" w:themeColor="background1" w:themeShade="BF"/>
                    <w:left w:val="nil"/>
                    <w:right w:val="nil"/>
                  </w:tcBorders>
                </w:tcPr>
                <w:p w:rsidR="001E6FB8" w:rsidRPr="00E141F1" w:rsidRDefault="001E6FB8" w:rsidP="001E6FB8">
                  <w:pPr>
                    <w:keepNext/>
                    <w:keepLines/>
                    <w:ind w:right="87"/>
                    <w:jc w:val="right"/>
                    <w:rPr>
                      <w:rFonts w:cs="Arial"/>
                      <w:color w:val="000000"/>
                      <w:sz w:val="18"/>
                      <w:szCs w:val="18"/>
                    </w:rPr>
                  </w:pPr>
                </w:p>
              </w:tc>
            </w:tr>
            <w:tr w:rsidR="001E6FB8" w:rsidRPr="00E141F1" w:rsidTr="001E6FB8">
              <w:trPr>
                <w:trHeight w:val="302"/>
              </w:trPr>
              <w:tc>
                <w:tcPr>
                  <w:tcW w:w="2399" w:type="dxa"/>
                  <w:tcBorders>
                    <w:top w:val="single" w:sz="4" w:space="0" w:color="BFBFBF" w:themeColor="background1" w:themeShade="BF"/>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Urban areas</w:t>
                  </w:r>
                </w:p>
              </w:tc>
              <w:tc>
                <w:tcPr>
                  <w:tcW w:w="905" w:type="dxa"/>
                  <w:tcBorders>
                    <w:top w:val="single" w:sz="4" w:space="0" w:color="BFBFBF" w:themeColor="background1" w:themeShade="BF"/>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91.5%</w:t>
                  </w:r>
                </w:p>
              </w:tc>
              <w:tc>
                <w:tcPr>
                  <w:tcW w:w="905"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46,475</w:t>
                  </w:r>
                </w:p>
              </w:tc>
              <w:tc>
                <w:tcPr>
                  <w:tcW w:w="906"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96.9%</w:t>
                  </w:r>
                </w:p>
              </w:tc>
              <w:tc>
                <w:tcPr>
                  <w:tcW w:w="905"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147,896</w:t>
                  </w:r>
                </w:p>
              </w:tc>
              <w:tc>
                <w:tcPr>
                  <w:tcW w:w="905"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98.4%</w:t>
                  </w:r>
                </w:p>
              </w:tc>
              <w:tc>
                <w:tcPr>
                  <w:tcW w:w="906" w:type="dxa"/>
                  <w:tcBorders>
                    <w:top w:val="single" w:sz="4" w:space="0" w:color="BFBFBF" w:themeColor="background1" w:themeShade="BF"/>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22,186</w:t>
                  </w:r>
                </w:p>
              </w:tc>
              <w:tc>
                <w:tcPr>
                  <w:tcW w:w="905" w:type="dxa"/>
                  <w:tcBorders>
                    <w:top w:val="single" w:sz="4" w:space="0" w:color="BFBFBF" w:themeColor="background1" w:themeShade="BF"/>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90.6%</w:t>
                  </w:r>
                </w:p>
              </w:tc>
              <w:tc>
                <w:tcPr>
                  <w:tcW w:w="906" w:type="dxa"/>
                  <w:tcBorders>
                    <w:top w:val="single" w:sz="4" w:space="0" w:color="BFBFBF" w:themeColor="background1" w:themeShade="BF"/>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629,391</w:t>
                  </w:r>
                </w:p>
              </w:tc>
            </w:tr>
            <w:tr w:rsidR="001E6FB8" w:rsidRPr="00E141F1" w:rsidTr="001E6FB8">
              <w:trPr>
                <w:trHeight w:val="302"/>
              </w:trPr>
              <w:tc>
                <w:tcPr>
                  <w:tcW w:w="2399"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Rural areas</w:t>
                  </w:r>
                </w:p>
              </w:tc>
              <w:tc>
                <w:tcPr>
                  <w:tcW w:w="905"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90.1%</w:t>
                  </w:r>
                </w:p>
              </w:tc>
              <w:tc>
                <w:tcPr>
                  <w:tcW w:w="905"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7,568</w:t>
                  </w:r>
                </w:p>
              </w:tc>
              <w:tc>
                <w:tcPr>
                  <w:tcW w:w="90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99.2%</w:t>
                  </w:r>
                </w:p>
              </w:tc>
              <w:tc>
                <w:tcPr>
                  <w:tcW w:w="905"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309</w:t>
                  </w:r>
                </w:p>
              </w:tc>
              <w:tc>
                <w:tcPr>
                  <w:tcW w:w="905"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99.9%</w:t>
                  </w:r>
                </w:p>
              </w:tc>
              <w:tc>
                <w:tcPr>
                  <w:tcW w:w="906"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2,625</w:t>
                  </w:r>
                </w:p>
              </w:tc>
              <w:tc>
                <w:tcPr>
                  <w:tcW w:w="905"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91.7%</w:t>
                  </w:r>
                </w:p>
              </w:tc>
              <w:tc>
                <w:tcPr>
                  <w:tcW w:w="906"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215,238</w:t>
                  </w:r>
                </w:p>
              </w:tc>
            </w:tr>
            <w:tr w:rsidR="001E6FB8" w:rsidRPr="00E141F1" w:rsidTr="001E6FB8">
              <w:trPr>
                <w:trHeight w:val="302"/>
              </w:trPr>
              <w:tc>
                <w:tcPr>
                  <w:tcW w:w="2399"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Remote areas</w:t>
                  </w:r>
                </w:p>
              </w:tc>
              <w:tc>
                <w:tcPr>
                  <w:tcW w:w="905"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5"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75</w:t>
                  </w:r>
                </w:p>
              </w:tc>
              <w:tc>
                <w:tcPr>
                  <w:tcW w:w="90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5"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w:t>
                  </w:r>
                </w:p>
              </w:tc>
              <w:tc>
                <w:tcPr>
                  <w:tcW w:w="905"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6"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w:t>
                  </w:r>
                </w:p>
              </w:tc>
              <w:tc>
                <w:tcPr>
                  <w:tcW w:w="905"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92.3%</w:t>
                  </w:r>
                </w:p>
              </w:tc>
              <w:tc>
                <w:tcPr>
                  <w:tcW w:w="906"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3,126</w:t>
                  </w:r>
                </w:p>
              </w:tc>
            </w:tr>
            <w:tr w:rsidR="001E6FB8" w:rsidRPr="00E141F1" w:rsidTr="001E6FB8">
              <w:trPr>
                <w:trHeight w:val="302"/>
              </w:trPr>
              <w:tc>
                <w:tcPr>
                  <w:tcW w:w="2399"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 xml:space="preserve">All areas </w:t>
                  </w:r>
                </w:p>
              </w:tc>
              <w:tc>
                <w:tcPr>
                  <w:tcW w:w="905"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91.3%</w:t>
                  </w:r>
                </w:p>
              </w:tc>
              <w:tc>
                <w:tcPr>
                  <w:tcW w:w="905"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54,118</w:t>
                  </w:r>
                </w:p>
              </w:tc>
              <w:tc>
                <w:tcPr>
                  <w:tcW w:w="90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96.9%</w:t>
                  </w:r>
                </w:p>
              </w:tc>
              <w:tc>
                <w:tcPr>
                  <w:tcW w:w="905"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148,207</w:t>
                  </w:r>
                </w:p>
              </w:tc>
              <w:tc>
                <w:tcPr>
                  <w:tcW w:w="905"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98.5%</w:t>
                  </w:r>
                </w:p>
              </w:tc>
              <w:tc>
                <w:tcPr>
                  <w:tcW w:w="906"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24,817</w:t>
                  </w:r>
                </w:p>
              </w:tc>
              <w:tc>
                <w:tcPr>
                  <w:tcW w:w="905"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90.9%</w:t>
                  </w:r>
                </w:p>
              </w:tc>
              <w:tc>
                <w:tcPr>
                  <w:tcW w:w="906"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847,755</w:t>
                  </w:r>
                </w:p>
              </w:tc>
            </w:tr>
            <w:tr w:rsidR="001E6FB8" w:rsidRPr="00E141F1" w:rsidTr="001E6FB8">
              <w:trPr>
                <w:trHeight w:val="302"/>
              </w:trPr>
              <w:tc>
                <w:tcPr>
                  <w:tcW w:w="2399" w:type="dxa"/>
                  <w:tcBorders>
                    <w:left w:val="nil"/>
                    <w:right w:val="nil"/>
                  </w:tcBorders>
                  <w:shd w:val="clear" w:color="auto" w:fill="auto"/>
                  <w:tcMar>
                    <w:left w:w="113" w:type="dxa"/>
                  </w:tcMar>
                </w:tcPr>
                <w:p w:rsidR="001E6FB8" w:rsidRPr="003E4870" w:rsidRDefault="001E6FB8" w:rsidP="001E6FB8">
                  <w:pPr>
                    <w:keepNext/>
                    <w:keepLines/>
                    <w:spacing w:before="40" w:after="40" w:line="240" w:lineRule="auto"/>
                    <w:ind w:right="11"/>
                    <w:rPr>
                      <w:rFonts w:cs="Arial"/>
                      <w:b/>
                      <w:color w:val="00709E"/>
                      <w:sz w:val="18"/>
                      <w:szCs w:val="18"/>
                    </w:rPr>
                  </w:pPr>
                  <w:r w:rsidRPr="003E4870">
                    <w:rPr>
                      <w:rFonts w:cs="Arial"/>
                      <w:b/>
                      <w:color w:val="00709E"/>
                      <w:sz w:val="18"/>
                      <w:szCs w:val="18"/>
                    </w:rPr>
                    <w:t>Appointments (new service connections and fault repair)</w:t>
                  </w:r>
                </w:p>
              </w:tc>
              <w:tc>
                <w:tcPr>
                  <w:tcW w:w="905"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99.8%</w:t>
                  </w:r>
                </w:p>
              </w:tc>
              <w:tc>
                <w:tcPr>
                  <w:tcW w:w="905"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8,636</w:t>
                  </w:r>
                </w:p>
              </w:tc>
              <w:tc>
                <w:tcPr>
                  <w:tcW w:w="90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96.0%</w:t>
                  </w:r>
                </w:p>
              </w:tc>
              <w:tc>
                <w:tcPr>
                  <w:tcW w:w="905"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64,524</w:t>
                  </w:r>
                </w:p>
              </w:tc>
              <w:tc>
                <w:tcPr>
                  <w:tcW w:w="905"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w:t>
                  </w:r>
                </w:p>
              </w:tc>
              <w:tc>
                <w:tcPr>
                  <w:tcW w:w="906"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10,740</w:t>
                  </w:r>
                </w:p>
              </w:tc>
              <w:tc>
                <w:tcPr>
                  <w:tcW w:w="905"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97.3%</w:t>
                  </w:r>
                </w:p>
              </w:tc>
              <w:tc>
                <w:tcPr>
                  <w:tcW w:w="906"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379,626</w:t>
                  </w:r>
                </w:p>
              </w:tc>
            </w:tr>
          </w:tbl>
          <w:p w:rsidR="001E6FB8" w:rsidRPr="00E141F1" w:rsidRDefault="001E6FB8" w:rsidP="001E6FB8">
            <w:pPr>
              <w:keepNext/>
              <w:keepLines/>
              <w:rPr>
                <w:rFonts w:cs="Arial"/>
                <w:szCs w:val="20"/>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532142">
              <w:rPr>
                <w:rFonts w:cs="Arial"/>
                <w:i/>
                <w:sz w:val="16"/>
                <w:szCs w:val="16"/>
              </w:rPr>
              <w:t>Note: During 2012–13, qualifying CSPs were required to record the number of requests that were not complied with within the applicable performance timeframes and to identify if the CSP’s failure to do so was wholly or partly attributable to one or more acts or omissions by another CSP.</w:t>
            </w:r>
          </w:p>
          <w:p w:rsidR="001E6FB8" w:rsidRPr="00532142" w:rsidRDefault="001E6FB8" w:rsidP="001E6FB8">
            <w:pPr>
              <w:keepNext/>
              <w:keepLines/>
              <w:spacing w:after="60" w:line="240" w:lineRule="auto"/>
              <w:rPr>
                <w:rFonts w:cs="Arial"/>
                <w:i/>
                <w:sz w:val="16"/>
                <w:szCs w:val="16"/>
              </w:rPr>
            </w:pPr>
            <w:r w:rsidRPr="00E141F1">
              <w:rPr>
                <w:rFonts w:cs="Arial"/>
                <w:i/>
                <w:sz w:val="16"/>
                <w:szCs w:val="16"/>
              </w:rPr>
              <w:t>Source: CSP data.</w:t>
            </w:r>
          </w:p>
        </w:tc>
      </w:tr>
    </w:tbl>
    <w:p w:rsidR="001E6FB8" w:rsidRDefault="001E6FB8" w:rsidP="001E6FB8"/>
    <w:p w:rsidR="001E6FB8" w:rsidRPr="00E141F1" w:rsidRDefault="001E6FB8" w:rsidP="001E6FB8">
      <w:pPr>
        <w:rPr>
          <w:rFonts w:cs="Arial"/>
        </w:rPr>
      </w:pPr>
      <w:r w:rsidRPr="00E141F1">
        <w:rPr>
          <w:rFonts w:cs="Arial"/>
        </w:rPr>
        <w:t>Table 3.9 shows CSP performance in 2012–13 in meeting CSG Standard time frames for fault repairs.</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spacing w:before="120" w:after="120"/>
              <w:rPr>
                <w:rFonts w:cs="Arial"/>
              </w:rPr>
            </w:pPr>
            <w:r w:rsidRPr="00E141F1">
              <w:rPr>
                <w:rFonts w:cs="Arial"/>
              </w:rPr>
              <w:t>Table 3.9 Number of new service connections, in-place connections and fault repairs requested at the national level and appointment-keeping performance, 2011–12 and 2012–13.</w:t>
            </w:r>
          </w:p>
        </w:tc>
      </w:tr>
      <w:tr w:rsidR="001E6FB8" w:rsidRPr="00E141F1" w:rsidTr="001E6FB8">
        <w:trPr>
          <w:trHeight w:val="864"/>
        </w:trPr>
        <w:tc>
          <w:tcPr>
            <w:tcW w:w="9645" w:type="dxa"/>
            <w:shd w:val="clear" w:color="auto" w:fill="auto"/>
            <w:tcMar>
              <w:left w:w="28" w:type="dxa"/>
            </w:tcMar>
          </w:tcPr>
          <w:tbl>
            <w:tblPr>
              <w:tblW w:w="9642"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2240"/>
              <w:gridCol w:w="851"/>
              <w:gridCol w:w="850"/>
              <w:gridCol w:w="993"/>
              <w:gridCol w:w="850"/>
              <w:gridCol w:w="851"/>
              <w:gridCol w:w="850"/>
              <w:gridCol w:w="1134"/>
              <w:gridCol w:w="1023"/>
            </w:tblGrid>
            <w:tr w:rsidR="001E6FB8" w:rsidRPr="00E141F1" w:rsidTr="001E6FB8">
              <w:trPr>
                <w:trHeight w:val="302"/>
              </w:trPr>
              <w:tc>
                <w:tcPr>
                  <w:tcW w:w="2240" w:type="dxa"/>
                  <w:tcBorders>
                    <w:top w:val="nil"/>
                    <w:left w:val="nil"/>
                    <w:bottom w:val="nil"/>
                    <w:right w:val="nil"/>
                  </w:tcBorders>
                  <w:shd w:val="clear" w:color="auto" w:fill="00709E"/>
                  <w:tcMar>
                    <w:top w:w="34" w:type="dxa"/>
                    <w:left w:w="113" w:type="dxa"/>
                  </w:tcMa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1701" w:type="dxa"/>
                  <w:gridSpan w:val="2"/>
                  <w:tcBorders>
                    <w:top w:val="nil"/>
                    <w:left w:val="nil"/>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pacing w:val="-28"/>
                      <w:sz w:val="18"/>
                      <w:szCs w:val="18"/>
                    </w:rPr>
                  </w:pPr>
                  <w:proofErr w:type="spellStart"/>
                  <w:r w:rsidRPr="00E141F1">
                    <w:rPr>
                      <w:rFonts w:cs="Arial"/>
                      <w:b/>
                      <w:color w:val="FFFFFF" w:themeColor="background1"/>
                      <w:sz w:val="18"/>
                      <w:szCs w:val="18"/>
                    </w:rPr>
                    <w:t>iiNet</w:t>
                  </w:r>
                  <w:proofErr w:type="spellEnd"/>
                </w:p>
              </w:tc>
              <w:tc>
                <w:tcPr>
                  <w:tcW w:w="1843" w:type="dxa"/>
                  <w:gridSpan w:val="2"/>
                  <w:tcBorders>
                    <w:top w:val="nil"/>
                    <w:left w:val="single" w:sz="4" w:space="0" w:color="C8C8C8"/>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pacing w:val="-28"/>
                      <w:sz w:val="18"/>
                      <w:szCs w:val="18"/>
                    </w:rPr>
                  </w:pPr>
                  <w:r w:rsidRPr="00E141F1">
                    <w:rPr>
                      <w:rFonts w:cs="Arial"/>
                      <w:b/>
                      <w:color w:val="FFFFFF" w:themeColor="background1"/>
                      <w:sz w:val="18"/>
                      <w:szCs w:val="18"/>
                    </w:rPr>
                    <w:t>Optus</w:t>
                  </w:r>
                </w:p>
              </w:tc>
              <w:tc>
                <w:tcPr>
                  <w:tcW w:w="1701" w:type="dxa"/>
                  <w:gridSpan w:val="2"/>
                  <w:tcBorders>
                    <w:top w:val="nil"/>
                    <w:left w:val="single" w:sz="4" w:space="0" w:color="C8C8C8"/>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z w:val="18"/>
                      <w:szCs w:val="18"/>
                    </w:rPr>
                  </w:pPr>
                  <w:r w:rsidRPr="00E141F1">
                    <w:rPr>
                      <w:rFonts w:cs="Arial"/>
                      <w:b/>
                      <w:color w:val="FFFFFF" w:themeColor="background1"/>
                      <w:sz w:val="18"/>
                      <w:szCs w:val="18"/>
                    </w:rPr>
                    <w:t>Primus</w:t>
                  </w:r>
                </w:p>
              </w:tc>
              <w:tc>
                <w:tcPr>
                  <w:tcW w:w="2157" w:type="dxa"/>
                  <w:gridSpan w:val="2"/>
                  <w:tcBorders>
                    <w:top w:val="nil"/>
                    <w:left w:val="single" w:sz="4" w:space="0" w:color="C8C8C8"/>
                    <w:bottom w:val="nil"/>
                    <w:right w:val="nil"/>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z w:val="18"/>
                      <w:szCs w:val="18"/>
                    </w:rPr>
                  </w:pPr>
                  <w:r w:rsidRPr="00E141F1">
                    <w:rPr>
                      <w:rFonts w:cs="Arial"/>
                      <w:b/>
                      <w:color w:val="FFFFFF" w:themeColor="background1"/>
                      <w:sz w:val="18"/>
                      <w:szCs w:val="18"/>
                    </w:rPr>
                    <w:t>Telstra</w:t>
                  </w:r>
                </w:p>
              </w:tc>
            </w:tr>
            <w:tr w:rsidR="001E6FB8" w:rsidRPr="00E141F1" w:rsidTr="001E6FB8">
              <w:trPr>
                <w:trHeight w:val="302"/>
              </w:trPr>
              <w:tc>
                <w:tcPr>
                  <w:tcW w:w="2240" w:type="dxa"/>
                  <w:tcBorders>
                    <w:top w:val="nil"/>
                    <w:left w:val="nil"/>
                    <w:bottom w:val="single" w:sz="4" w:space="0" w:color="C8C8C8"/>
                    <w:right w:val="nil"/>
                  </w:tcBorders>
                  <w:shd w:val="clear" w:color="auto" w:fill="00709E"/>
                  <w:tcMar>
                    <w:top w:w="34" w:type="dxa"/>
                    <w:left w:w="113" w:type="dxa"/>
                  </w:tcMa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851" w:type="dxa"/>
                  <w:tcBorders>
                    <w:top w:val="nil"/>
                    <w:left w:val="nil"/>
                    <w:bottom w:val="single" w:sz="4" w:space="0" w:color="C8C8C8"/>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2012</w:t>
                  </w:r>
                </w:p>
              </w:tc>
              <w:tc>
                <w:tcPr>
                  <w:tcW w:w="850" w:type="dxa"/>
                  <w:tcBorders>
                    <w:top w:val="nil"/>
                    <w:left w:val="nil"/>
                    <w:bottom w:val="single" w:sz="4" w:space="0" w:color="C8C8C8"/>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2013</w:t>
                  </w:r>
                </w:p>
              </w:tc>
              <w:tc>
                <w:tcPr>
                  <w:tcW w:w="993" w:type="dxa"/>
                  <w:tcBorders>
                    <w:top w:val="nil"/>
                    <w:left w:val="single" w:sz="4" w:space="0" w:color="C8C8C8"/>
                    <w:bottom w:val="single" w:sz="4" w:space="0" w:color="C8C8C8"/>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2012</w:t>
                  </w:r>
                </w:p>
              </w:tc>
              <w:tc>
                <w:tcPr>
                  <w:tcW w:w="850" w:type="dxa"/>
                  <w:tcBorders>
                    <w:top w:val="nil"/>
                    <w:left w:val="nil"/>
                    <w:bottom w:val="single" w:sz="4" w:space="0" w:color="C8C8C8"/>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2013</w:t>
                  </w:r>
                </w:p>
              </w:tc>
              <w:tc>
                <w:tcPr>
                  <w:tcW w:w="851" w:type="dxa"/>
                  <w:tcBorders>
                    <w:top w:val="nil"/>
                    <w:left w:val="single" w:sz="4" w:space="0" w:color="C8C8C8"/>
                    <w:bottom w:val="single" w:sz="4" w:space="0" w:color="C8C8C8"/>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2012</w:t>
                  </w:r>
                </w:p>
              </w:tc>
              <w:tc>
                <w:tcPr>
                  <w:tcW w:w="850" w:type="dxa"/>
                  <w:tcBorders>
                    <w:top w:val="nil"/>
                    <w:left w:val="nil"/>
                    <w:bottom w:val="single" w:sz="4" w:space="0" w:color="C8C8C8"/>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2013</w:t>
                  </w:r>
                </w:p>
              </w:tc>
              <w:tc>
                <w:tcPr>
                  <w:tcW w:w="1134" w:type="dxa"/>
                  <w:tcBorders>
                    <w:top w:val="nil"/>
                    <w:left w:val="single" w:sz="4" w:space="0" w:color="C8C8C8"/>
                    <w:bottom w:val="single" w:sz="4" w:space="0" w:color="C8C8C8"/>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2012</w:t>
                  </w:r>
                </w:p>
              </w:tc>
              <w:tc>
                <w:tcPr>
                  <w:tcW w:w="1023" w:type="dxa"/>
                  <w:tcBorders>
                    <w:top w:val="nil"/>
                    <w:left w:val="nil"/>
                    <w:bottom w:val="single" w:sz="4" w:space="0" w:color="C8C8C8"/>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2013</w:t>
                  </w:r>
                </w:p>
              </w:tc>
            </w:tr>
            <w:tr w:rsidR="001E6FB8" w:rsidRPr="00E141F1" w:rsidTr="001E6FB8">
              <w:trPr>
                <w:trHeight w:val="302"/>
              </w:trPr>
              <w:tc>
                <w:tcPr>
                  <w:tcW w:w="2240" w:type="dxa"/>
                  <w:tcBorders>
                    <w:top w:val="single" w:sz="4" w:space="0" w:color="C8C8C8"/>
                    <w:left w:val="nil"/>
                    <w:right w:val="nil"/>
                  </w:tcBorders>
                  <w:shd w:val="clear" w:color="auto" w:fill="auto"/>
                  <w:tcMar>
                    <w:left w:w="113" w:type="dxa"/>
                  </w:tcMar>
                </w:tcPr>
                <w:p w:rsidR="001E6FB8" w:rsidRPr="003E4870" w:rsidRDefault="001E6FB8" w:rsidP="001E6FB8">
                  <w:pPr>
                    <w:keepNext/>
                    <w:keepLines/>
                    <w:spacing w:before="40" w:after="40" w:line="240" w:lineRule="auto"/>
                    <w:ind w:right="11"/>
                    <w:rPr>
                      <w:rFonts w:cs="Arial"/>
                      <w:color w:val="00709E"/>
                      <w:sz w:val="18"/>
                      <w:szCs w:val="18"/>
                    </w:rPr>
                  </w:pPr>
                  <w:r w:rsidRPr="003E4870">
                    <w:rPr>
                      <w:rFonts w:cs="Arial"/>
                      <w:b/>
                      <w:color w:val="00709E"/>
                      <w:sz w:val="18"/>
                      <w:szCs w:val="18"/>
                    </w:rPr>
                    <w:t>New service connections</w:t>
                  </w:r>
                </w:p>
              </w:tc>
              <w:tc>
                <w:tcPr>
                  <w:tcW w:w="851" w:type="dxa"/>
                  <w:tcBorders>
                    <w:top w:val="single" w:sz="4" w:space="0" w:color="C8C8C8"/>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48,493</w:t>
                  </w:r>
                </w:p>
              </w:tc>
              <w:tc>
                <w:tcPr>
                  <w:tcW w:w="850" w:type="dxa"/>
                  <w:tcBorders>
                    <w:top w:val="single" w:sz="4" w:space="0" w:color="C8C8C8"/>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60,232</w:t>
                  </w:r>
                </w:p>
              </w:tc>
              <w:tc>
                <w:tcPr>
                  <w:tcW w:w="993" w:type="dxa"/>
                  <w:tcBorders>
                    <w:top w:val="single" w:sz="4" w:space="0" w:color="C8C8C8"/>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181,724</w:t>
                  </w:r>
                </w:p>
              </w:tc>
              <w:tc>
                <w:tcPr>
                  <w:tcW w:w="850" w:type="dxa"/>
                  <w:tcBorders>
                    <w:top w:val="single" w:sz="4" w:space="0" w:color="C8C8C8"/>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165,099</w:t>
                  </w:r>
                </w:p>
              </w:tc>
              <w:tc>
                <w:tcPr>
                  <w:tcW w:w="851" w:type="dxa"/>
                  <w:tcBorders>
                    <w:top w:val="single" w:sz="4" w:space="0" w:color="C8C8C8"/>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2,964</w:t>
                  </w:r>
                </w:p>
              </w:tc>
              <w:tc>
                <w:tcPr>
                  <w:tcW w:w="850" w:type="dxa"/>
                  <w:tcBorders>
                    <w:top w:val="single" w:sz="4" w:space="0" w:color="C8C8C8"/>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3,223</w:t>
                  </w:r>
                </w:p>
              </w:tc>
              <w:tc>
                <w:tcPr>
                  <w:tcW w:w="1134" w:type="dxa"/>
                  <w:tcBorders>
                    <w:top w:val="single" w:sz="4" w:space="0" w:color="C8C8C8"/>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342,750</w:t>
                  </w:r>
                </w:p>
              </w:tc>
              <w:tc>
                <w:tcPr>
                  <w:tcW w:w="1023" w:type="dxa"/>
                  <w:tcBorders>
                    <w:top w:val="single" w:sz="4" w:space="0" w:color="C8C8C8"/>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336,944</w:t>
                  </w:r>
                </w:p>
              </w:tc>
            </w:tr>
            <w:tr w:rsidR="001E6FB8" w:rsidRPr="00E141F1" w:rsidTr="001E6FB8">
              <w:trPr>
                <w:trHeight w:val="302"/>
              </w:trPr>
              <w:tc>
                <w:tcPr>
                  <w:tcW w:w="2240" w:type="dxa"/>
                  <w:tcBorders>
                    <w:left w:val="nil"/>
                    <w:right w:val="nil"/>
                  </w:tcBorders>
                  <w:shd w:val="clear" w:color="auto" w:fill="auto"/>
                  <w:tcMar>
                    <w:left w:w="113" w:type="dxa"/>
                  </w:tcMar>
                </w:tcPr>
                <w:p w:rsidR="001E6FB8" w:rsidRPr="003E4870" w:rsidRDefault="001E6FB8" w:rsidP="001E6FB8">
                  <w:pPr>
                    <w:keepNext/>
                    <w:keepLines/>
                    <w:spacing w:before="40" w:after="40" w:line="240" w:lineRule="auto"/>
                    <w:ind w:right="11"/>
                    <w:rPr>
                      <w:rFonts w:cs="Arial"/>
                      <w:color w:val="00709E"/>
                      <w:sz w:val="18"/>
                      <w:szCs w:val="18"/>
                    </w:rPr>
                  </w:pPr>
                  <w:r w:rsidRPr="003E4870">
                    <w:rPr>
                      <w:rFonts w:cs="Arial"/>
                      <w:b/>
                      <w:color w:val="00709E"/>
                      <w:sz w:val="18"/>
                      <w:szCs w:val="18"/>
                    </w:rPr>
                    <w:t>In-place connections</w:t>
                  </w:r>
                </w:p>
              </w:tc>
              <w:tc>
                <w:tcPr>
                  <w:tcW w:w="851"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87,766</w:t>
                  </w:r>
                </w:p>
              </w:tc>
              <w:tc>
                <w:tcPr>
                  <w:tcW w:w="850"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68,964</w:t>
                  </w:r>
                </w:p>
              </w:tc>
              <w:tc>
                <w:tcPr>
                  <w:tcW w:w="993"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n/a</w:t>
                  </w:r>
                </w:p>
              </w:tc>
              <w:tc>
                <w:tcPr>
                  <w:tcW w:w="850"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n/a</w:t>
                  </w:r>
                </w:p>
              </w:tc>
              <w:tc>
                <w:tcPr>
                  <w:tcW w:w="851"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8,279</w:t>
                  </w:r>
                </w:p>
              </w:tc>
              <w:tc>
                <w:tcPr>
                  <w:tcW w:w="850"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8,937</w:t>
                  </w:r>
                </w:p>
              </w:tc>
              <w:tc>
                <w:tcPr>
                  <w:tcW w:w="1134"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440,750</w:t>
                  </w:r>
                </w:p>
              </w:tc>
              <w:tc>
                <w:tcPr>
                  <w:tcW w:w="1023"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343,274</w:t>
                  </w:r>
                </w:p>
              </w:tc>
            </w:tr>
            <w:tr w:rsidR="001E6FB8" w:rsidRPr="00E141F1" w:rsidTr="001E6FB8">
              <w:trPr>
                <w:trHeight w:val="302"/>
              </w:trPr>
              <w:tc>
                <w:tcPr>
                  <w:tcW w:w="2240" w:type="dxa"/>
                  <w:tcBorders>
                    <w:left w:val="nil"/>
                    <w:right w:val="nil"/>
                  </w:tcBorders>
                  <w:shd w:val="clear" w:color="auto" w:fill="auto"/>
                  <w:tcMar>
                    <w:left w:w="113" w:type="dxa"/>
                  </w:tcMar>
                </w:tcPr>
                <w:p w:rsidR="001E6FB8" w:rsidRPr="003E4870" w:rsidRDefault="001E6FB8" w:rsidP="001E6FB8">
                  <w:pPr>
                    <w:keepNext/>
                    <w:keepLines/>
                    <w:spacing w:before="40" w:after="40" w:line="240" w:lineRule="auto"/>
                    <w:ind w:right="11"/>
                    <w:rPr>
                      <w:rFonts w:cs="Arial"/>
                      <w:color w:val="00709E"/>
                      <w:sz w:val="18"/>
                      <w:szCs w:val="18"/>
                    </w:rPr>
                  </w:pPr>
                  <w:r w:rsidRPr="003E4870">
                    <w:rPr>
                      <w:rFonts w:cs="Arial"/>
                      <w:b/>
                      <w:color w:val="00709E"/>
                      <w:sz w:val="18"/>
                      <w:szCs w:val="18"/>
                    </w:rPr>
                    <w:t>Fault repairs</w:t>
                  </w:r>
                </w:p>
              </w:tc>
              <w:tc>
                <w:tcPr>
                  <w:tcW w:w="851"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78,559</w:t>
                  </w:r>
                </w:p>
              </w:tc>
              <w:tc>
                <w:tcPr>
                  <w:tcW w:w="850"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63,436</w:t>
                  </w:r>
                </w:p>
              </w:tc>
              <w:tc>
                <w:tcPr>
                  <w:tcW w:w="993"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176,349</w:t>
                  </w:r>
                </w:p>
              </w:tc>
              <w:tc>
                <w:tcPr>
                  <w:tcW w:w="850"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163,425</w:t>
                  </w:r>
                </w:p>
              </w:tc>
              <w:tc>
                <w:tcPr>
                  <w:tcW w:w="851"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22,967</w:t>
                  </w:r>
                </w:p>
              </w:tc>
              <w:tc>
                <w:tcPr>
                  <w:tcW w:w="850"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26,001</w:t>
                  </w:r>
                </w:p>
              </w:tc>
              <w:tc>
                <w:tcPr>
                  <w:tcW w:w="1134"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1,008,832</w:t>
                  </w:r>
                </w:p>
              </w:tc>
              <w:tc>
                <w:tcPr>
                  <w:tcW w:w="1023"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933,052</w:t>
                  </w:r>
                </w:p>
              </w:tc>
            </w:tr>
            <w:tr w:rsidR="001E6FB8" w:rsidRPr="00E141F1" w:rsidTr="001E6FB8">
              <w:trPr>
                <w:trHeight w:val="302"/>
              </w:trPr>
              <w:tc>
                <w:tcPr>
                  <w:tcW w:w="2240" w:type="dxa"/>
                  <w:tcBorders>
                    <w:left w:val="nil"/>
                    <w:right w:val="nil"/>
                  </w:tcBorders>
                  <w:shd w:val="clear" w:color="auto" w:fill="auto"/>
                  <w:tcMar>
                    <w:left w:w="113" w:type="dxa"/>
                  </w:tcMar>
                </w:tcPr>
                <w:p w:rsidR="001E6FB8" w:rsidRPr="003E4870" w:rsidRDefault="001E6FB8" w:rsidP="001E6FB8">
                  <w:pPr>
                    <w:keepNext/>
                    <w:keepLines/>
                    <w:spacing w:before="40" w:after="40" w:line="240" w:lineRule="auto"/>
                    <w:ind w:right="11"/>
                    <w:rPr>
                      <w:rFonts w:cs="Arial"/>
                      <w:b/>
                      <w:color w:val="00709E"/>
                      <w:sz w:val="18"/>
                      <w:szCs w:val="18"/>
                    </w:rPr>
                  </w:pPr>
                  <w:r w:rsidRPr="003E4870">
                    <w:rPr>
                      <w:rFonts w:cs="Arial"/>
                      <w:b/>
                      <w:color w:val="00709E"/>
                      <w:sz w:val="18"/>
                      <w:szCs w:val="18"/>
                    </w:rPr>
                    <w:t>Appointments (new service connections and fault repair)</w:t>
                  </w:r>
                </w:p>
              </w:tc>
              <w:tc>
                <w:tcPr>
                  <w:tcW w:w="851"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n/p</w:t>
                  </w:r>
                </w:p>
              </w:tc>
              <w:tc>
                <w:tcPr>
                  <w:tcW w:w="850"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8,657</w:t>
                  </w:r>
                </w:p>
              </w:tc>
              <w:tc>
                <w:tcPr>
                  <w:tcW w:w="993"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66,816</w:t>
                  </w:r>
                </w:p>
              </w:tc>
              <w:tc>
                <w:tcPr>
                  <w:tcW w:w="850"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67,214</w:t>
                  </w:r>
                </w:p>
              </w:tc>
              <w:tc>
                <w:tcPr>
                  <w:tcW w:w="851"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n/p</w:t>
                  </w:r>
                </w:p>
              </w:tc>
              <w:tc>
                <w:tcPr>
                  <w:tcW w:w="850"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10,814</w:t>
                  </w:r>
                </w:p>
              </w:tc>
              <w:tc>
                <w:tcPr>
                  <w:tcW w:w="1134"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450,972</w:t>
                  </w:r>
                </w:p>
              </w:tc>
              <w:tc>
                <w:tcPr>
                  <w:tcW w:w="1023"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color w:val="000000"/>
                      <w:sz w:val="18"/>
                      <w:szCs w:val="18"/>
                    </w:rPr>
                    <w:t>389,972</w:t>
                  </w:r>
                </w:p>
              </w:tc>
            </w:tr>
          </w:tbl>
          <w:p w:rsidR="001E6FB8" w:rsidRPr="00E141F1" w:rsidRDefault="001E6FB8" w:rsidP="001E6FB8">
            <w:pPr>
              <w:keepNext/>
              <w:keepLines/>
              <w:rPr>
                <w:rFonts w:cs="Arial"/>
                <w:szCs w:val="20"/>
              </w:rPr>
            </w:pPr>
          </w:p>
        </w:tc>
      </w:tr>
      <w:tr w:rsidR="001E6FB8" w:rsidRPr="00E141F1" w:rsidTr="001E6FB8">
        <w:trPr>
          <w:trHeight w:val="291"/>
        </w:trPr>
        <w:tc>
          <w:tcPr>
            <w:tcW w:w="9645" w:type="dxa"/>
            <w:tcBorders>
              <w:bottom w:val="single" w:sz="2" w:space="0" w:color="505050"/>
            </w:tcBorders>
            <w:shd w:val="clear" w:color="auto" w:fill="auto"/>
          </w:tcPr>
          <w:p w:rsidR="001E6FB8" w:rsidRPr="00532142" w:rsidRDefault="001E6FB8" w:rsidP="001E6FB8">
            <w:pPr>
              <w:keepNext/>
              <w:keepLines/>
              <w:spacing w:before="120" w:line="240" w:lineRule="auto"/>
              <w:rPr>
                <w:rFonts w:cs="Arial"/>
                <w:i/>
                <w:sz w:val="16"/>
                <w:szCs w:val="16"/>
              </w:rPr>
            </w:pPr>
            <w:r w:rsidRPr="00532142">
              <w:rPr>
                <w:rFonts w:cs="Arial"/>
                <w:i/>
                <w:sz w:val="16"/>
                <w:szCs w:val="16"/>
              </w:rPr>
              <w:t>n/p=not provided.</w:t>
            </w:r>
            <w:r>
              <w:rPr>
                <w:rFonts w:cs="Arial"/>
                <w:i/>
                <w:sz w:val="16"/>
                <w:szCs w:val="16"/>
              </w:rPr>
              <w:t xml:space="preserve"> n/a=not available.</w:t>
            </w:r>
          </w:p>
          <w:p w:rsidR="001E6FB8" w:rsidRPr="00E141F1" w:rsidRDefault="001E6FB8" w:rsidP="001E6FB8">
            <w:pPr>
              <w:keepNext/>
              <w:keepLines/>
              <w:spacing w:after="60" w:line="240" w:lineRule="auto"/>
              <w:rPr>
                <w:rFonts w:cs="Arial"/>
                <w:i/>
                <w:szCs w:val="20"/>
              </w:rPr>
            </w:pPr>
            <w:r w:rsidRPr="00E141F1">
              <w:rPr>
                <w:rFonts w:cs="Arial"/>
                <w:i/>
                <w:sz w:val="16"/>
                <w:szCs w:val="16"/>
              </w:rPr>
              <w:t>Source: CSP data.</w:t>
            </w:r>
          </w:p>
        </w:tc>
      </w:tr>
    </w:tbl>
    <w:p w:rsidR="001E6FB8" w:rsidRDefault="001E6FB8" w:rsidP="001E6FB8"/>
    <w:p w:rsidR="001E6FB8" w:rsidRPr="00E141F1" w:rsidRDefault="001E6FB8" w:rsidP="001E6FB8">
      <w:pPr>
        <w:pStyle w:val="Heading3"/>
      </w:pPr>
      <w:bookmarkStart w:id="360" w:name="_Toc371589049"/>
      <w:bookmarkStart w:id="361" w:name="_Toc373149111"/>
      <w:bookmarkEnd w:id="356"/>
      <w:bookmarkEnd w:id="357"/>
      <w:bookmarkEnd w:id="358"/>
      <w:bookmarkEnd w:id="359"/>
      <w:r w:rsidRPr="00E141F1">
        <w:t>CSG Standard payments</w:t>
      </w:r>
      <w:bookmarkEnd w:id="360"/>
      <w:bookmarkEnd w:id="361"/>
    </w:p>
    <w:p w:rsidR="001E6FB8" w:rsidRDefault="001E6FB8" w:rsidP="001E6FB8">
      <w:pPr>
        <w:spacing w:after="240"/>
        <w:rPr>
          <w:rFonts w:cs="Arial"/>
        </w:rPr>
      </w:pPr>
      <w:r w:rsidRPr="00E141F1">
        <w:rPr>
          <w:rFonts w:cs="Arial"/>
        </w:rPr>
        <w:t>As a result of failing to meet CSG Standard time frames during 2012–13, CSPs made compensation pay</w:t>
      </w:r>
      <w:r>
        <w:rPr>
          <w:rFonts w:cs="Arial"/>
        </w:rPr>
        <w:t>ments to customers as shown in T</w:t>
      </w:r>
      <w:r w:rsidRPr="00E141F1">
        <w:rPr>
          <w:rFonts w:cs="Arial"/>
        </w:rPr>
        <w:t>able 3.10.</w:t>
      </w: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spacing w:before="120" w:after="120"/>
              <w:rPr>
                <w:rFonts w:cs="Arial"/>
              </w:rPr>
            </w:pPr>
            <w:r w:rsidRPr="00E141F1">
              <w:rPr>
                <w:rFonts w:cs="Arial"/>
              </w:rPr>
              <w:t xml:space="preserve">Table 3.10 Volume and value of compensation payments made by CSPs to customers, </w:t>
            </w:r>
            <w:r>
              <w:rPr>
                <w:rFonts w:cs="Arial"/>
              </w:rPr>
              <w:br/>
            </w:r>
            <w:r w:rsidRPr="00E141F1">
              <w:rPr>
                <w:rFonts w:cs="Arial"/>
              </w:rPr>
              <w:t>2011–12 and 2012–13.</w:t>
            </w:r>
          </w:p>
        </w:tc>
      </w:tr>
      <w:tr w:rsidR="001E6FB8" w:rsidRPr="00E141F1" w:rsidTr="001E6FB8">
        <w:trPr>
          <w:trHeight w:val="864"/>
        </w:trPr>
        <w:tc>
          <w:tcPr>
            <w:tcW w:w="9645" w:type="dxa"/>
            <w:shd w:val="clear" w:color="auto" w:fill="auto"/>
            <w:tcMar>
              <w:left w:w="28" w:type="dxa"/>
            </w:tcMar>
          </w:tcPr>
          <w:tbl>
            <w:tblPr>
              <w:tblW w:w="9551"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3805"/>
              <w:gridCol w:w="1436"/>
              <w:gridCol w:w="1437"/>
              <w:gridCol w:w="1436"/>
              <w:gridCol w:w="1437"/>
            </w:tblGrid>
            <w:tr w:rsidR="001E6FB8" w:rsidRPr="00E141F1" w:rsidTr="001E6FB8">
              <w:trPr>
                <w:trHeight w:val="318"/>
              </w:trPr>
              <w:tc>
                <w:tcPr>
                  <w:tcW w:w="3805" w:type="dxa"/>
                  <w:tcBorders>
                    <w:top w:val="nil"/>
                    <w:left w:val="nil"/>
                    <w:bottom w:val="nil"/>
                    <w:right w:val="nil"/>
                  </w:tcBorders>
                  <w:shd w:val="clear" w:color="auto" w:fill="00709E"/>
                  <w:tcMar>
                    <w:top w:w="34" w:type="dxa"/>
                    <w:left w:w="113" w:type="dxa"/>
                  </w:tcMa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2873" w:type="dxa"/>
                  <w:gridSpan w:val="2"/>
                  <w:tcBorders>
                    <w:top w:val="nil"/>
                    <w:left w:val="single" w:sz="4" w:space="0" w:color="C8C8C8"/>
                    <w:bottom w:val="nil"/>
                    <w:right w:val="single" w:sz="4" w:space="0" w:color="C8C8C8"/>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pacing w:val="-28"/>
                      <w:sz w:val="18"/>
                      <w:szCs w:val="18"/>
                    </w:rPr>
                  </w:pPr>
                  <w:r w:rsidRPr="00E141F1">
                    <w:rPr>
                      <w:rFonts w:cs="Arial"/>
                      <w:b/>
                      <w:color w:val="FFFFFF" w:themeColor="background1"/>
                      <w:sz w:val="18"/>
                      <w:szCs w:val="18"/>
                    </w:rPr>
                    <w:t>2011–12</w:t>
                  </w:r>
                </w:p>
              </w:tc>
              <w:tc>
                <w:tcPr>
                  <w:tcW w:w="2873" w:type="dxa"/>
                  <w:gridSpan w:val="2"/>
                  <w:tcBorders>
                    <w:top w:val="nil"/>
                    <w:left w:val="single" w:sz="4" w:space="0" w:color="C8C8C8"/>
                    <w:bottom w:val="nil"/>
                    <w:right w:val="nil"/>
                  </w:tcBorders>
                  <w:shd w:val="clear" w:color="auto" w:fill="00709E"/>
                </w:tcPr>
                <w:p w:rsidR="001E6FB8" w:rsidRPr="00E141F1" w:rsidRDefault="001E6FB8" w:rsidP="001E6FB8">
                  <w:pPr>
                    <w:keepNext/>
                    <w:keepLines/>
                    <w:spacing w:before="40" w:after="40" w:line="240" w:lineRule="auto"/>
                    <w:ind w:right="87"/>
                    <w:jc w:val="center"/>
                    <w:rPr>
                      <w:rFonts w:cs="Arial"/>
                      <w:b/>
                      <w:color w:val="FFFFFF" w:themeColor="background1"/>
                      <w:sz w:val="18"/>
                      <w:szCs w:val="18"/>
                    </w:rPr>
                  </w:pPr>
                  <w:r w:rsidRPr="00E141F1">
                    <w:rPr>
                      <w:rFonts w:cs="Arial"/>
                      <w:b/>
                      <w:color w:val="FFFFFF" w:themeColor="background1"/>
                      <w:sz w:val="18"/>
                      <w:szCs w:val="18"/>
                    </w:rPr>
                    <w:t>2012–13</w:t>
                  </w:r>
                </w:p>
              </w:tc>
            </w:tr>
            <w:tr w:rsidR="001E6FB8" w:rsidRPr="00E141F1" w:rsidTr="001E6FB8">
              <w:trPr>
                <w:trHeight w:val="318"/>
              </w:trPr>
              <w:tc>
                <w:tcPr>
                  <w:tcW w:w="3805" w:type="dxa"/>
                  <w:tcBorders>
                    <w:top w:val="nil"/>
                    <w:left w:val="nil"/>
                    <w:bottom w:val="single" w:sz="4" w:space="0" w:color="C8C8C8"/>
                    <w:right w:val="nil"/>
                  </w:tcBorders>
                  <w:shd w:val="clear" w:color="auto" w:fill="00709E"/>
                  <w:tcMar>
                    <w:top w:w="34" w:type="dxa"/>
                    <w:left w:w="113" w:type="dxa"/>
                  </w:tcMa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1436" w:type="dxa"/>
                  <w:tcBorders>
                    <w:top w:val="nil"/>
                    <w:left w:val="single" w:sz="4" w:space="0" w:color="C8C8C8"/>
                    <w:bottom w:val="single" w:sz="4" w:space="0" w:color="C8C8C8"/>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Volume</w:t>
                  </w:r>
                </w:p>
              </w:tc>
              <w:tc>
                <w:tcPr>
                  <w:tcW w:w="1437" w:type="dxa"/>
                  <w:tcBorders>
                    <w:top w:val="nil"/>
                    <w:left w:val="nil"/>
                    <w:bottom w:val="single" w:sz="4" w:space="0" w:color="C8C8C8"/>
                    <w:right w:val="single" w:sz="4" w:space="0" w:color="C8C8C8"/>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 (million)</w:t>
                  </w:r>
                </w:p>
              </w:tc>
              <w:tc>
                <w:tcPr>
                  <w:tcW w:w="1436" w:type="dxa"/>
                  <w:tcBorders>
                    <w:top w:val="nil"/>
                    <w:left w:val="single" w:sz="4" w:space="0" w:color="C8C8C8"/>
                    <w:bottom w:val="single" w:sz="4" w:space="0" w:color="C8C8C8"/>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Volume</w:t>
                  </w:r>
                </w:p>
              </w:tc>
              <w:tc>
                <w:tcPr>
                  <w:tcW w:w="1437" w:type="dxa"/>
                  <w:tcBorders>
                    <w:top w:val="nil"/>
                    <w:left w:val="nil"/>
                    <w:bottom w:val="single" w:sz="4" w:space="0" w:color="C8C8C8"/>
                    <w:right w:val="nil"/>
                  </w:tcBorders>
                  <w:shd w:val="clear" w:color="auto" w:fill="00709E"/>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r w:rsidRPr="00E141F1">
                    <w:rPr>
                      <w:rFonts w:cs="Arial"/>
                      <w:b/>
                      <w:color w:val="FFFFFF" w:themeColor="background1"/>
                      <w:sz w:val="18"/>
                      <w:szCs w:val="18"/>
                    </w:rPr>
                    <w:t>$ (million)</w:t>
                  </w:r>
                </w:p>
              </w:tc>
            </w:tr>
            <w:tr w:rsidR="001E6FB8" w:rsidRPr="00E141F1" w:rsidTr="001E6FB8">
              <w:trPr>
                <w:trHeight w:val="318"/>
              </w:trPr>
              <w:tc>
                <w:tcPr>
                  <w:tcW w:w="3805" w:type="dxa"/>
                  <w:tcBorders>
                    <w:top w:val="single" w:sz="4" w:space="0" w:color="C8C8C8"/>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proofErr w:type="spellStart"/>
                  <w:r w:rsidRPr="00E141F1">
                    <w:rPr>
                      <w:rFonts w:cs="Arial"/>
                      <w:sz w:val="18"/>
                      <w:szCs w:val="18"/>
                    </w:rPr>
                    <w:t>iiNet</w:t>
                  </w:r>
                  <w:proofErr w:type="spellEnd"/>
                </w:p>
              </w:tc>
              <w:tc>
                <w:tcPr>
                  <w:tcW w:w="1436" w:type="dxa"/>
                  <w:tcBorders>
                    <w:top w:val="single" w:sz="4" w:space="0" w:color="C8C8C8"/>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6,725</w:t>
                  </w:r>
                </w:p>
              </w:tc>
              <w:tc>
                <w:tcPr>
                  <w:tcW w:w="1437" w:type="dxa"/>
                  <w:tcBorders>
                    <w:top w:val="single" w:sz="4" w:space="0" w:color="C8C8C8"/>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 xml:space="preserve">0.52 </w:t>
                  </w:r>
                </w:p>
              </w:tc>
              <w:tc>
                <w:tcPr>
                  <w:tcW w:w="1436" w:type="dxa"/>
                  <w:tcBorders>
                    <w:top w:val="single" w:sz="4" w:space="0" w:color="C8C8C8"/>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9,504</w:t>
                  </w:r>
                </w:p>
              </w:tc>
              <w:tc>
                <w:tcPr>
                  <w:tcW w:w="1437" w:type="dxa"/>
                  <w:tcBorders>
                    <w:top w:val="single" w:sz="4" w:space="0" w:color="C8C8C8"/>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0.80</w:t>
                  </w:r>
                </w:p>
              </w:tc>
            </w:tr>
            <w:tr w:rsidR="001E6FB8" w:rsidRPr="00E141F1" w:rsidTr="001E6FB8">
              <w:trPr>
                <w:trHeight w:val="318"/>
              </w:trPr>
              <w:tc>
                <w:tcPr>
                  <w:tcW w:w="3805"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Optus</w:t>
                  </w:r>
                </w:p>
              </w:tc>
              <w:tc>
                <w:tcPr>
                  <w:tcW w:w="143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20,701</w:t>
                  </w:r>
                </w:p>
              </w:tc>
              <w:tc>
                <w:tcPr>
                  <w:tcW w:w="1437"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0.62</w:t>
                  </w:r>
                </w:p>
              </w:tc>
              <w:tc>
                <w:tcPr>
                  <w:tcW w:w="143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20,767</w:t>
                  </w:r>
                </w:p>
              </w:tc>
              <w:tc>
                <w:tcPr>
                  <w:tcW w:w="1437"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0.92</w:t>
                  </w:r>
                </w:p>
              </w:tc>
            </w:tr>
            <w:tr w:rsidR="001E6FB8" w:rsidRPr="00E141F1" w:rsidTr="001E6FB8">
              <w:trPr>
                <w:trHeight w:val="318"/>
              </w:trPr>
              <w:tc>
                <w:tcPr>
                  <w:tcW w:w="3805"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Primus</w:t>
                  </w:r>
                </w:p>
              </w:tc>
              <w:tc>
                <w:tcPr>
                  <w:tcW w:w="143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826</w:t>
                  </w:r>
                </w:p>
              </w:tc>
              <w:tc>
                <w:tcPr>
                  <w:tcW w:w="1437"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0.06</w:t>
                  </w:r>
                </w:p>
              </w:tc>
              <w:tc>
                <w:tcPr>
                  <w:tcW w:w="143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1,411</w:t>
                  </w:r>
                </w:p>
              </w:tc>
              <w:tc>
                <w:tcPr>
                  <w:tcW w:w="1437"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0.03</w:t>
                  </w:r>
                </w:p>
              </w:tc>
            </w:tr>
            <w:tr w:rsidR="001E6FB8" w:rsidRPr="00E141F1" w:rsidTr="001E6FB8">
              <w:trPr>
                <w:trHeight w:val="318"/>
              </w:trPr>
              <w:tc>
                <w:tcPr>
                  <w:tcW w:w="3805"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Telstra</w:t>
                  </w:r>
                </w:p>
              </w:tc>
              <w:tc>
                <w:tcPr>
                  <w:tcW w:w="143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137,348</w:t>
                  </w:r>
                </w:p>
              </w:tc>
              <w:tc>
                <w:tcPr>
                  <w:tcW w:w="1437" w:type="dxa"/>
                  <w:tcBorders>
                    <w:left w:val="nil"/>
                    <w:right w:val="single" w:sz="4" w:space="0" w:color="C8C8C8"/>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4.57</w:t>
                  </w:r>
                </w:p>
              </w:tc>
              <w:tc>
                <w:tcPr>
                  <w:tcW w:w="1436" w:type="dxa"/>
                  <w:tcBorders>
                    <w:left w:val="single" w:sz="4" w:space="0" w:color="C8C8C8"/>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143,294</w:t>
                  </w:r>
                </w:p>
              </w:tc>
              <w:tc>
                <w:tcPr>
                  <w:tcW w:w="1437" w:type="dxa"/>
                  <w:tcBorders>
                    <w:left w:val="nil"/>
                    <w:right w:val="nil"/>
                  </w:tcBorders>
                </w:tcPr>
                <w:p w:rsidR="001E6FB8" w:rsidRPr="00E141F1" w:rsidRDefault="001E6FB8" w:rsidP="001E6FB8">
                  <w:pPr>
                    <w:keepNext/>
                    <w:keepLines/>
                    <w:ind w:right="87"/>
                    <w:jc w:val="right"/>
                    <w:rPr>
                      <w:rFonts w:cs="Arial"/>
                      <w:color w:val="000000"/>
                      <w:sz w:val="18"/>
                      <w:szCs w:val="18"/>
                    </w:rPr>
                  </w:pPr>
                  <w:r w:rsidRPr="00E141F1">
                    <w:rPr>
                      <w:rFonts w:cs="Arial"/>
                      <w:sz w:val="18"/>
                      <w:szCs w:val="18"/>
                    </w:rPr>
                    <w:t>6.14</w:t>
                  </w:r>
                </w:p>
              </w:tc>
            </w:tr>
            <w:tr w:rsidR="001E6FB8" w:rsidRPr="00E141F1" w:rsidTr="001E6FB8">
              <w:trPr>
                <w:trHeight w:val="318"/>
              </w:trPr>
              <w:tc>
                <w:tcPr>
                  <w:tcW w:w="3805" w:type="dxa"/>
                  <w:tcBorders>
                    <w:left w:val="nil"/>
                    <w:right w:val="nil"/>
                  </w:tcBorders>
                  <w:shd w:val="clear" w:color="auto" w:fill="auto"/>
                  <w:tcMar>
                    <w:left w:w="113" w:type="dxa"/>
                  </w:tcMar>
                </w:tcPr>
                <w:p w:rsidR="001E6FB8" w:rsidRPr="00E141F1" w:rsidRDefault="001E6FB8" w:rsidP="001E6FB8">
                  <w:pPr>
                    <w:keepNext/>
                    <w:keepLines/>
                    <w:spacing w:before="40" w:after="40" w:line="240" w:lineRule="auto"/>
                    <w:ind w:right="11"/>
                    <w:rPr>
                      <w:rFonts w:cs="Arial"/>
                      <w:sz w:val="18"/>
                      <w:szCs w:val="18"/>
                    </w:rPr>
                  </w:pPr>
                  <w:r w:rsidRPr="00E141F1">
                    <w:rPr>
                      <w:rFonts w:cs="Arial"/>
                      <w:sz w:val="18"/>
                      <w:szCs w:val="18"/>
                    </w:rPr>
                    <w:t>Total</w:t>
                  </w:r>
                </w:p>
              </w:tc>
              <w:tc>
                <w:tcPr>
                  <w:tcW w:w="1436" w:type="dxa"/>
                  <w:tcBorders>
                    <w:left w:val="single" w:sz="4" w:space="0" w:color="C8C8C8"/>
                    <w:right w:val="nil"/>
                  </w:tcBorders>
                </w:tcPr>
                <w:p w:rsidR="001E6FB8" w:rsidRPr="00E141F1" w:rsidRDefault="001E6FB8" w:rsidP="001E6FB8">
                  <w:pPr>
                    <w:keepNext/>
                    <w:keepLines/>
                    <w:ind w:right="87"/>
                    <w:jc w:val="right"/>
                    <w:rPr>
                      <w:rFonts w:cs="Arial"/>
                      <w:sz w:val="18"/>
                      <w:szCs w:val="18"/>
                    </w:rPr>
                  </w:pPr>
                  <w:r w:rsidRPr="00E141F1">
                    <w:rPr>
                      <w:rFonts w:cs="Arial"/>
                      <w:sz w:val="18"/>
                      <w:szCs w:val="18"/>
                    </w:rPr>
                    <w:t>165,600</w:t>
                  </w:r>
                </w:p>
              </w:tc>
              <w:tc>
                <w:tcPr>
                  <w:tcW w:w="1437" w:type="dxa"/>
                  <w:tcBorders>
                    <w:left w:val="nil"/>
                    <w:right w:val="single" w:sz="4" w:space="0" w:color="C8C8C8"/>
                  </w:tcBorders>
                </w:tcPr>
                <w:p w:rsidR="001E6FB8" w:rsidRPr="00E141F1" w:rsidRDefault="001E6FB8" w:rsidP="001E6FB8">
                  <w:pPr>
                    <w:keepNext/>
                    <w:keepLines/>
                    <w:ind w:right="87"/>
                    <w:jc w:val="right"/>
                    <w:rPr>
                      <w:rFonts w:cs="Arial"/>
                      <w:sz w:val="18"/>
                      <w:szCs w:val="18"/>
                    </w:rPr>
                  </w:pPr>
                  <w:r w:rsidRPr="00E141F1">
                    <w:rPr>
                      <w:rFonts w:cs="Arial"/>
                      <w:sz w:val="18"/>
                      <w:szCs w:val="18"/>
                    </w:rPr>
                    <w:t>5.77</w:t>
                  </w:r>
                </w:p>
              </w:tc>
              <w:tc>
                <w:tcPr>
                  <w:tcW w:w="1436" w:type="dxa"/>
                  <w:tcBorders>
                    <w:left w:val="single" w:sz="4" w:space="0" w:color="C8C8C8"/>
                    <w:right w:val="nil"/>
                  </w:tcBorders>
                </w:tcPr>
                <w:p w:rsidR="001E6FB8" w:rsidRPr="00E141F1" w:rsidRDefault="001E6FB8" w:rsidP="001E6FB8">
                  <w:pPr>
                    <w:keepNext/>
                    <w:keepLines/>
                    <w:ind w:right="87"/>
                    <w:jc w:val="right"/>
                    <w:rPr>
                      <w:rFonts w:cs="Arial"/>
                      <w:sz w:val="18"/>
                      <w:szCs w:val="18"/>
                    </w:rPr>
                  </w:pPr>
                  <w:r w:rsidRPr="00E141F1">
                    <w:rPr>
                      <w:rFonts w:cs="Arial"/>
                      <w:sz w:val="18"/>
                      <w:szCs w:val="18"/>
                    </w:rPr>
                    <w:t>174,976</w:t>
                  </w:r>
                </w:p>
              </w:tc>
              <w:tc>
                <w:tcPr>
                  <w:tcW w:w="1437" w:type="dxa"/>
                  <w:tcBorders>
                    <w:left w:val="nil"/>
                    <w:right w:val="nil"/>
                  </w:tcBorders>
                </w:tcPr>
                <w:p w:rsidR="001E6FB8" w:rsidRPr="00E141F1" w:rsidRDefault="001E6FB8" w:rsidP="001E6FB8">
                  <w:pPr>
                    <w:keepNext/>
                    <w:keepLines/>
                    <w:ind w:right="87"/>
                    <w:jc w:val="right"/>
                    <w:rPr>
                      <w:rFonts w:cs="Arial"/>
                      <w:sz w:val="18"/>
                      <w:szCs w:val="18"/>
                    </w:rPr>
                  </w:pPr>
                  <w:r w:rsidRPr="00E141F1">
                    <w:rPr>
                      <w:rFonts w:cs="Arial"/>
                      <w:sz w:val="18"/>
                      <w:szCs w:val="18"/>
                    </w:rPr>
                    <w:t>7.89</w:t>
                  </w:r>
                </w:p>
              </w:tc>
            </w:tr>
          </w:tbl>
          <w:p w:rsidR="001E6FB8" w:rsidRPr="00E141F1" w:rsidRDefault="001E6FB8" w:rsidP="001E6FB8">
            <w:pPr>
              <w:keepNext/>
              <w:keepLines/>
              <w:rPr>
                <w:rFonts w:cs="Arial"/>
                <w:szCs w:val="20"/>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532142">
              <w:rPr>
                <w:rFonts w:cs="Arial"/>
                <w:i/>
                <w:sz w:val="16"/>
                <w:szCs w:val="16"/>
              </w:rPr>
              <w:t>Note: During 2012–13, qualifying CSPs were required to record the number of requests that were not complied with within the applicable performance timeframes and to identify if the CSP’s failure to do so was wholly or partly attributable to one or more acts or omissions by another CSP.</w:t>
            </w:r>
          </w:p>
          <w:p w:rsidR="001E6FB8" w:rsidRPr="00E141F1" w:rsidRDefault="001E6FB8" w:rsidP="001E6FB8">
            <w:pPr>
              <w:keepNext/>
              <w:keepLines/>
              <w:spacing w:after="60" w:line="240" w:lineRule="auto"/>
              <w:rPr>
                <w:rFonts w:cs="Arial"/>
                <w:i/>
                <w:szCs w:val="20"/>
              </w:rPr>
            </w:pPr>
            <w:r w:rsidRPr="00E141F1">
              <w:rPr>
                <w:rFonts w:cs="Arial"/>
                <w:i/>
                <w:sz w:val="16"/>
                <w:szCs w:val="16"/>
              </w:rPr>
              <w:t>Source: CSP data.</w:t>
            </w:r>
          </w:p>
        </w:tc>
      </w:tr>
    </w:tbl>
    <w:p w:rsidR="001E6FB8" w:rsidRPr="00E141F1" w:rsidRDefault="001E6FB8" w:rsidP="001E6FB8">
      <w:pPr>
        <w:spacing w:line="240" w:lineRule="auto"/>
        <w:rPr>
          <w:rFonts w:cs="Arial"/>
        </w:rPr>
      </w:pPr>
    </w:p>
    <w:p w:rsidR="001E6FB8" w:rsidRDefault="001E6FB8" w:rsidP="001E6FB8">
      <w:r w:rsidRPr="00E141F1">
        <w:t>Payments totalled $7.89 million for 2012–13, compared to a total of $5.77 million made during 2011–12—an increase of 37 per cent.</w:t>
      </w:r>
    </w:p>
    <w:p w:rsidR="001E6FB8" w:rsidRPr="00E141F1" w:rsidRDefault="001E6FB8" w:rsidP="001E6FB8"/>
    <w:p w:rsidR="001E6FB8" w:rsidRPr="00E141F1" w:rsidRDefault="001E6FB8" w:rsidP="001E6FB8">
      <w:pPr>
        <w:pStyle w:val="Heading3"/>
      </w:pPr>
      <w:bookmarkStart w:id="362" w:name="_Toc287540192"/>
      <w:bookmarkStart w:id="363" w:name="_Toc308517216"/>
      <w:bookmarkStart w:id="364" w:name="_Toc308523656"/>
      <w:bookmarkStart w:id="365" w:name="_Toc310326873"/>
      <w:bookmarkStart w:id="366" w:name="_Toc341428370"/>
      <w:bookmarkStart w:id="367" w:name="_Toc371589050"/>
      <w:bookmarkStart w:id="368" w:name="_Toc373149112"/>
      <w:r w:rsidRPr="00E141F1">
        <w:t>Exemptions from the CSG Standard</w:t>
      </w:r>
      <w:bookmarkEnd w:id="362"/>
      <w:bookmarkEnd w:id="363"/>
      <w:bookmarkEnd w:id="364"/>
      <w:bookmarkEnd w:id="365"/>
      <w:bookmarkEnd w:id="366"/>
      <w:bookmarkEnd w:id="367"/>
      <w:bookmarkEnd w:id="368"/>
    </w:p>
    <w:p w:rsidR="001E6FB8" w:rsidRPr="00E141F1" w:rsidRDefault="001E6FB8" w:rsidP="001E6FB8">
      <w:pPr>
        <w:rPr>
          <w:rFonts w:cs="Arial"/>
        </w:rPr>
      </w:pPr>
      <w:r w:rsidRPr="00E141F1">
        <w:rPr>
          <w:rFonts w:cs="Arial"/>
        </w:rPr>
        <w:t xml:space="preserve">A CSP is exempt from complying with a performance standard in certain situations that are specified in Part 3 of the CSG Standard. For example, a CSP </w:t>
      </w:r>
      <w:r>
        <w:rPr>
          <w:rFonts w:cs="Arial"/>
        </w:rPr>
        <w:t>may be</w:t>
      </w:r>
      <w:r w:rsidRPr="00E141F1">
        <w:rPr>
          <w:rFonts w:cs="Arial"/>
        </w:rPr>
        <w:t xml:space="preserve"> exempt from compliance with the CSG Standard for the period when circumstances beyond its control affect its ability to comply</w:t>
      </w:r>
      <w:r>
        <w:rPr>
          <w:rFonts w:cs="Arial"/>
        </w:rPr>
        <w:t xml:space="preserve"> with the CSG Standard. A CSP</w:t>
      </w:r>
      <w:r w:rsidRPr="00E141F1">
        <w:rPr>
          <w:rFonts w:cs="Arial"/>
        </w:rPr>
        <w:t xml:space="preserve"> also </w:t>
      </w:r>
      <w:r>
        <w:rPr>
          <w:rFonts w:cs="Arial"/>
        </w:rPr>
        <w:t xml:space="preserve">may be </w:t>
      </w:r>
      <w:r w:rsidRPr="00E141F1">
        <w:rPr>
          <w:rFonts w:cs="Arial"/>
        </w:rPr>
        <w:t>exempt if there is a need to move staff or equipment to an area affected by circumstances beyond its control. Many exemptions are a result of extreme weather events or natural disasters.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CSPs must notify affected customers of an exemption. The CSP can choose to notify customers either individually or publicly (via a public notice published in a newspaper circulating in the affected area). If a CSP’s performance is exempt as a result of extreme weather conditions, the notice must identify evidence that the extreme weather conditions outlined in the notice meet the definitions set out in the CSG Standard. The numbers of exemptions for the major CSPs for 2012–13 are shown in Table 3.11.</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number of CSG exemptions claimed in 2012–13 is similar to that claimed in previous years. However, the number of services estimated to be affected and the duration for which CSG exemptions applied increased in 2012–13 compared to previous years</w:t>
      </w:r>
      <w:r>
        <w:rPr>
          <w:rFonts w:cs="Arial"/>
        </w:rPr>
        <w:t>, as a result of significant weather events during 2012–13</w:t>
      </w:r>
      <w:r w:rsidRPr="00E141F1">
        <w:rPr>
          <w:rFonts w:cs="Arial"/>
        </w:rPr>
        <w:t>.</w:t>
      </w:r>
    </w:p>
    <w:p w:rsidR="001E6FB8" w:rsidRPr="00E141F1" w:rsidRDefault="001E6FB8" w:rsidP="001E6FB8">
      <w:pPr>
        <w:rPr>
          <w:rFonts w:cs="Arial"/>
        </w:rPr>
      </w:pPr>
    </w:p>
    <w:tbl>
      <w:tblPr>
        <w:tblW w:w="9639" w:type="dxa"/>
        <w:tblLayout w:type="fixed"/>
        <w:tblCellMar>
          <w:left w:w="0" w:type="dxa"/>
          <w:right w:w="0" w:type="dxa"/>
        </w:tblCellMar>
        <w:tblLook w:val="01E0"/>
      </w:tblPr>
      <w:tblGrid>
        <w:gridCol w:w="9639"/>
      </w:tblGrid>
      <w:tr w:rsidR="001E6FB8" w:rsidRPr="00E141F1" w:rsidTr="001E6FB8">
        <w:tc>
          <w:tcPr>
            <w:tcW w:w="9639" w:type="dxa"/>
            <w:shd w:val="clear" w:color="auto" w:fill="auto"/>
            <w:vAlign w:val="center"/>
          </w:tcPr>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Table 3.11 Numbers of CSG exemptions for the major CSPs, 2012–13</w:t>
                  </w:r>
                </w:p>
              </w:tc>
            </w:tr>
            <w:tr w:rsidR="001E6FB8" w:rsidRPr="00E141F1" w:rsidTr="001E6FB8">
              <w:trPr>
                <w:trHeight w:val="864"/>
              </w:trPr>
              <w:tc>
                <w:tcPr>
                  <w:tcW w:w="9645" w:type="dxa"/>
                  <w:shd w:val="clear" w:color="auto" w:fill="auto"/>
                  <w:tcMar>
                    <w:left w:w="28" w:type="dxa"/>
                  </w:tcMar>
                </w:tcPr>
                <w:tbl>
                  <w:tblPr>
                    <w:tblW w:w="9666" w:type="dxa"/>
                    <w:tblInd w:w="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2217"/>
                    <w:gridCol w:w="1118"/>
                    <w:gridCol w:w="1132"/>
                    <w:gridCol w:w="1001"/>
                    <w:gridCol w:w="1001"/>
                    <w:gridCol w:w="1004"/>
                    <w:gridCol w:w="1192"/>
                    <w:gridCol w:w="1001"/>
                  </w:tblGrid>
                  <w:tr w:rsidR="001E6FB8" w:rsidRPr="00E141F1" w:rsidTr="001E6FB8">
                    <w:trPr>
                      <w:trHeight w:val="354"/>
                    </w:trPr>
                    <w:tc>
                      <w:tcPr>
                        <w:tcW w:w="2540" w:type="dxa"/>
                        <w:shd w:val="clear" w:color="auto" w:fill="00709E"/>
                        <w:tcMar>
                          <w:top w:w="34" w:type="dxa"/>
                          <w:left w:w="113" w:type="dxa"/>
                        </w:tcMar>
                      </w:tcPr>
                      <w:p w:rsidR="001E6FB8" w:rsidRPr="00E141F1" w:rsidRDefault="001E6FB8" w:rsidP="001E6FB8">
                        <w:pPr>
                          <w:pStyle w:val="TableHeading"/>
                          <w:keepNext/>
                          <w:keepLines/>
                          <w:spacing w:before="60" w:after="60"/>
                          <w:outlineLvl w:val="1"/>
                          <w:rPr>
                            <w:rFonts w:cs="Arial"/>
                            <w:color w:val="FFFFFF" w:themeColor="background1"/>
                            <w:sz w:val="18"/>
                            <w:szCs w:val="18"/>
                          </w:rPr>
                        </w:pPr>
                        <w:r w:rsidRPr="00E141F1">
                          <w:rPr>
                            <w:rFonts w:cs="Arial"/>
                            <w:color w:val="FFFFFF" w:themeColor="background1"/>
                            <w:sz w:val="18"/>
                            <w:szCs w:val="18"/>
                          </w:rPr>
                          <w:t>Reason for exemption</w:t>
                        </w:r>
                      </w:p>
                    </w:tc>
                    <w:tc>
                      <w:tcPr>
                        <w:tcW w:w="1276" w:type="dxa"/>
                        <w:shd w:val="clear" w:color="auto" w:fill="00709E"/>
                      </w:tcPr>
                      <w:p w:rsidR="001E6FB8" w:rsidRPr="00E141F1" w:rsidRDefault="001E6FB8" w:rsidP="001E6FB8">
                        <w:pPr>
                          <w:pStyle w:val="TableHeading"/>
                          <w:keepNext/>
                          <w:keepLines/>
                          <w:spacing w:before="60" w:after="60"/>
                          <w:ind w:right="156"/>
                          <w:jc w:val="center"/>
                          <w:outlineLvl w:val="1"/>
                          <w:rPr>
                            <w:rFonts w:cs="Arial"/>
                            <w:color w:val="FFFFFF" w:themeColor="background1"/>
                            <w:sz w:val="18"/>
                            <w:szCs w:val="18"/>
                          </w:rPr>
                        </w:pPr>
                        <w:proofErr w:type="spellStart"/>
                        <w:r w:rsidRPr="00E141F1">
                          <w:rPr>
                            <w:rFonts w:cs="Arial"/>
                            <w:color w:val="FFFFFF" w:themeColor="background1"/>
                            <w:sz w:val="18"/>
                            <w:szCs w:val="18"/>
                          </w:rPr>
                          <w:t>Eftel</w:t>
                        </w:r>
                        <w:proofErr w:type="spellEnd"/>
                        <w:r w:rsidRPr="00E141F1">
                          <w:rPr>
                            <w:rFonts w:cs="Arial"/>
                            <w:color w:val="FFFFFF" w:themeColor="background1"/>
                            <w:sz w:val="18"/>
                            <w:szCs w:val="18"/>
                          </w:rPr>
                          <w:t xml:space="preserve"> group</w:t>
                        </w:r>
                      </w:p>
                    </w:tc>
                    <w:tc>
                      <w:tcPr>
                        <w:tcW w:w="1288" w:type="dxa"/>
                        <w:shd w:val="clear" w:color="auto" w:fill="00709E"/>
                        <w:tcMar>
                          <w:left w:w="113" w:type="dxa"/>
                        </w:tcMar>
                      </w:tcPr>
                      <w:p w:rsidR="001E6FB8" w:rsidRPr="00E141F1" w:rsidRDefault="001E6FB8" w:rsidP="001E6FB8">
                        <w:pPr>
                          <w:pStyle w:val="TableHeading"/>
                          <w:keepNext/>
                          <w:keepLines/>
                          <w:spacing w:before="60" w:after="60"/>
                          <w:ind w:right="156"/>
                          <w:jc w:val="center"/>
                          <w:outlineLvl w:val="1"/>
                          <w:rPr>
                            <w:rFonts w:cs="Arial"/>
                            <w:color w:val="FFFFFF" w:themeColor="background1"/>
                            <w:sz w:val="18"/>
                            <w:szCs w:val="18"/>
                          </w:rPr>
                        </w:pPr>
                        <w:proofErr w:type="spellStart"/>
                        <w:r w:rsidRPr="00E141F1">
                          <w:rPr>
                            <w:rFonts w:cs="Arial"/>
                            <w:color w:val="FFFFFF" w:themeColor="background1"/>
                            <w:sz w:val="18"/>
                            <w:szCs w:val="18"/>
                          </w:rPr>
                          <w:t>iiNet</w:t>
                        </w:r>
                        <w:proofErr w:type="spellEnd"/>
                        <w:r w:rsidRPr="00E141F1">
                          <w:rPr>
                            <w:rFonts w:cs="Arial"/>
                            <w:color w:val="FFFFFF" w:themeColor="background1"/>
                            <w:sz w:val="18"/>
                            <w:szCs w:val="18"/>
                          </w:rPr>
                          <w:t xml:space="preserve"> group</w:t>
                        </w:r>
                      </w:p>
                    </w:tc>
                    <w:tc>
                      <w:tcPr>
                        <w:tcW w:w="1141" w:type="dxa"/>
                        <w:shd w:val="clear" w:color="auto" w:fill="00709E"/>
                      </w:tcPr>
                      <w:p w:rsidR="001E6FB8" w:rsidRPr="00E141F1" w:rsidRDefault="001E6FB8" w:rsidP="001E6FB8">
                        <w:pPr>
                          <w:pStyle w:val="TableHeading"/>
                          <w:keepNext/>
                          <w:keepLines/>
                          <w:spacing w:before="60" w:after="60"/>
                          <w:ind w:right="156"/>
                          <w:jc w:val="center"/>
                          <w:outlineLvl w:val="1"/>
                          <w:rPr>
                            <w:rFonts w:cs="Arial"/>
                            <w:color w:val="FFFFFF" w:themeColor="background1"/>
                            <w:sz w:val="18"/>
                            <w:szCs w:val="18"/>
                          </w:rPr>
                        </w:pPr>
                        <w:r w:rsidRPr="00E141F1">
                          <w:rPr>
                            <w:rFonts w:cs="Arial"/>
                            <w:color w:val="FFFFFF" w:themeColor="background1"/>
                            <w:sz w:val="18"/>
                            <w:szCs w:val="18"/>
                          </w:rPr>
                          <w:t>Optus</w:t>
                        </w:r>
                      </w:p>
                    </w:tc>
                    <w:tc>
                      <w:tcPr>
                        <w:tcW w:w="1140" w:type="dxa"/>
                        <w:shd w:val="clear" w:color="auto" w:fill="00709E"/>
                      </w:tcPr>
                      <w:p w:rsidR="001E6FB8" w:rsidRPr="00E141F1" w:rsidRDefault="001E6FB8" w:rsidP="001E6FB8">
                        <w:pPr>
                          <w:pStyle w:val="TableHeading"/>
                          <w:keepNext/>
                          <w:keepLines/>
                          <w:spacing w:before="60" w:after="60"/>
                          <w:ind w:right="156"/>
                          <w:jc w:val="center"/>
                          <w:outlineLvl w:val="1"/>
                          <w:rPr>
                            <w:rFonts w:cs="Arial"/>
                            <w:color w:val="FFFFFF" w:themeColor="background1"/>
                            <w:sz w:val="18"/>
                            <w:szCs w:val="18"/>
                          </w:rPr>
                        </w:pPr>
                        <w:r w:rsidRPr="00E141F1">
                          <w:rPr>
                            <w:rFonts w:cs="Arial"/>
                            <w:color w:val="FFFFFF" w:themeColor="background1"/>
                            <w:sz w:val="18"/>
                            <w:szCs w:val="18"/>
                          </w:rPr>
                          <w:t>Dodo</w:t>
                        </w:r>
                      </w:p>
                    </w:tc>
                    <w:tc>
                      <w:tcPr>
                        <w:tcW w:w="1140" w:type="dxa"/>
                        <w:shd w:val="clear" w:color="auto" w:fill="00709E"/>
                        <w:tcMar>
                          <w:left w:w="113" w:type="dxa"/>
                        </w:tcMar>
                      </w:tcPr>
                      <w:p w:rsidR="001E6FB8" w:rsidRPr="00E141F1" w:rsidRDefault="001E6FB8" w:rsidP="001E6FB8">
                        <w:pPr>
                          <w:pStyle w:val="TableHeading"/>
                          <w:keepNext/>
                          <w:keepLines/>
                          <w:spacing w:before="60" w:after="60"/>
                          <w:ind w:left="-113" w:right="156"/>
                          <w:jc w:val="center"/>
                          <w:outlineLvl w:val="1"/>
                          <w:rPr>
                            <w:rFonts w:cs="Arial"/>
                            <w:color w:val="FFFFFF" w:themeColor="background1"/>
                            <w:sz w:val="18"/>
                            <w:szCs w:val="18"/>
                          </w:rPr>
                        </w:pPr>
                        <w:r w:rsidRPr="00E141F1">
                          <w:rPr>
                            <w:rFonts w:cs="Arial"/>
                            <w:color w:val="FFFFFF" w:themeColor="background1"/>
                            <w:sz w:val="18"/>
                            <w:szCs w:val="18"/>
                          </w:rPr>
                          <w:t>Telstra</w:t>
                        </w:r>
                      </w:p>
                    </w:tc>
                    <w:tc>
                      <w:tcPr>
                        <w:tcW w:w="1361" w:type="dxa"/>
                        <w:shd w:val="clear" w:color="auto" w:fill="00709E"/>
                      </w:tcPr>
                      <w:p w:rsidR="001E6FB8" w:rsidRPr="00E141F1" w:rsidRDefault="001E6FB8" w:rsidP="001E6FB8">
                        <w:pPr>
                          <w:pStyle w:val="TableHeading"/>
                          <w:keepNext/>
                          <w:keepLines/>
                          <w:spacing w:before="60" w:after="60"/>
                          <w:ind w:left="-203" w:right="156"/>
                          <w:jc w:val="center"/>
                          <w:outlineLvl w:val="1"/>
                          <w:rPr>
                            <w:rFonts w:cs="Arial"/>
                            <w:color w:val="FFFFFF" w:themeColor="background1"/>
                            <w:sz w:val="18"/>
                            <w:szCs w:val="18"/>
                          </w:rPr>
                        </w:pPr>
                        <w:r w:rsidRPr="00E141F1">
                          <w:rPr>
                            <w:rFonts w:cs="Arial"/>
                            <w:color w:val="FFFFFF" w:themeColor="background1"/>
                            <w:sz w:val="18"/>
                            <w:szCs w:val="18"/>
                          </w:rPr>
                          <w:t>M2 Group</w:t>
                        </w:r>
                      </w:p>
                    </w:tc>
                    <w:tc>
                      <w:tcPr>
                        <w:tcW w:w="1141" w:type="dxa"/>
                        <w:shd w:val="clear" w:color="auto" w:fill="00709E"/>
                      </w:tcPr>
                      <w:p w:rsidR="001E6FB8" w:rsidRPr="00E141F1" w:rsidRDefault="001E6FB8" w:rsidP="001E6FB8">
                        <w:pPr>
                          <w:pStyle w:val="TableHeading"/>
                          <w:keepNext/>
                          <w:keepLines/>
                          <w:spacing w:before="60" w:after="60"/>
                          <w:ind w:left="-203" w:right="156"/>
                          <w:jc w:val="center"/>
                          <w:outlineLvl w:val="1"/>
                          <w:rPr>
                            <w:rFonts w:cs="Arial"/>
                            <w:color w:val="FFFFFF" w:themeColor="background1"/>
                            <w:sz w:val="18"/>
                            <w:szCs w:val="18"/>
                          </w:rPr>
                        </w:pPr>
                        <w:r w:rsidRPr="00E141F1">
                          <w:rPr>
                            <w:rFonts w:cs="Arial"/>
                            <w:color w:val="FFFFFF" w:themeColor="background1"/>
                            <w:sz w:val="18"/>
                            <w:szCs w:val="18"/>
                          </w:rPr>
                          <w:t>Primus*</w:t>
                        </w:r>
                      </w:p>
                    </w:tc>
                  </w:tr>
                  <w:tr w:rsidR="001E6FB8" w:rsidRPr="00E141F1" w:rsidTr="001E6FB8">
                    <w:trPr>
                      <w:trHeight w:val="313"/>
                    </w:trPr>
                    <w:tc>
                      <w:tcPr>
                        <w:tcW w:w="2540" w:type="dxa"/>
                        <w:shd w:val="clear" w:color="auto" w:fill="auto"/>
                        <w:tcMar>
                          <w:left w:w="113" w:type="dxa"/>
                        </w:tcMar>
                        <w:vAlign w:val="center"/>
                      </w:tcPr>
                      <w:p w:rsidR="001E6FB8" w:rsidRPr="00E141F1" w:rsidRDefault="001E6FB8" w:rsidP="001E6FB8">
                        <w:pPr>
                          <w:keepNext/>
                          <w:keepLines/>
                          <w:spacing w:line="240" w:lineRule="auto"/>
                          <w:outlineLvl w:val="1"/>
                          <w:rPr>
                            <w:rFonts w:cs="Arial"/>
                            <w:sz w:val="18"/>
                            <w:szCs w:val="18"/>
                          </w:rPr>
                        </w:pPr>
                        <w:r w:rsidRPr="00E141F1">
                          <w:rPr>
                            <w:rFonts w:cs="Arial"/>
                            <w:sz w:val="18"/>
                            <w:szCs w:val="18"/>
                          </w:rPr>
                          <w:t>Extreme weather conditions</w:t>
                        </w:r>
                      </w:p>
                    </w:tc>
                    <w:tc>
                      <w:tcPr>
                        <w:tcW w:w="1276" w:type="dxa"/>
                        <w:shd w:val="clear" w:color="auto" w:fill="auto"/>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bCs/>
                            <w:color w:val="000000"/>
                            <w:sz w:val="18"/>
                            <w:szCs w:val="18"/>
                          </w:rPr>
                          <w:t>34</w:t>
                        </w:r>
                      </w:p>
                    </w:tc>
                    <w:tc>
                      <w:tcPr>
                        <w:tcW w:w="1288" w:type="dxa"/>
                        <w:tcMar>
                          <w:left w:w="113" w:type="dxa"/>
                        </w:tcMar>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color w:val="000000"/>
                            <w:sz w:val="18"/>
                            <w:szCs w:val="18"/>
                          </w:rPr>
                          <w:t>42</w:t>
                        </w:r>
                      </w:p>
                    </w:tc>
                    <w:tc>
                      <w:tcPr>
                        <w:tcW w:w="1141" w:type="dxa"/>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color w:val="000000"/>
                            <w:sz w:val="18"/>
                            <w:szCs w:val="18"/>
                          </w:rPr>
                          <w:t>39</w:t>
                        </w:r>
                      </w:p>
                    </w:tc>
                    <w:tc>
                      <w:tcPr>
                        <w:tcW w:w="1140" w:type="dxa"/>
                        <w:shd w:val="clear" w:color="auto" w:fill="auto"/>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color w:val="000000"/>
                            <w:sz w:val="18"/>
                            <w:szCs w:val="18"/>
                          </w:rPr>
                          <w:t>27</w:t>
                        </w:r>
                      </w:p>
                    </w:tc>
                    <w:tc>
                      <w:tcPr>
                        <w:tcW w:w="1140" w:type="dxa"/>
                        <w:tcMar>
                          <w:left w:w="113" w:type="dxa"/>
                        </w:tcMar>
                        <w:vAlign w:val="center"/>
                      </w:tcPr>
                      <w:p w:rsidR="001E6FB8" w:rsidRPr="00E141F1" w:rsidRDefault="001E6FB8" w:rsidP="001E6FB8">
                        <w:pPr>
                          <w:keepNext/>
                          <w:keepLines/>
                          <w:spacing w:line="240" w:lineRule="auto"/>
                          <w:ind w:left="-113" w:right="156"/>
                          <w:jc w:val="center"/>
                          <w:outlineLvl w:val="1"/>
                          <w:rPr>
                            <w:rFonts w:cs="Arial"/>
                            <w:sz w:val="18"/>
                            <w:szCs w:val="18"/>
                          </w:rPr>
                        </w:pPr>
                        <w:r w:rsidRPr="00E141F1">
                          <w:rPr>
                            <w:rFonts w:cs="Arial"/>
                            <w:color w:val="000000"/>
                            <w:sz w:val="18"/>
                            <w:szCs w:val="18"/>
                          </w:rPr>
                          <w:t>42</w:t>
                        </w:r>
                      </w:p>
                    </w:tc>
                    <w:tc>
                      <w:tcPr>
                        <w:tcW w:w="1361" w:type="dxa"/>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color w:val="000000"/>
                            <w:sz w:val="18"/>
                            <w:szCs w:val="18"/>
                          </w:rPr>
                          <w:t>21</w:t>
                        </w:r>
                      </w:p>
                    </w:tc>
                    <w:tc>
                      <w:tcPr>
                        <w:tcW w:w="1141" w:type="dxa"/>
                        <w:vAlign w:val="center"/>
                      </w:tcPr>
                      <w:p w:rsidR="001E6FB8" w:rsidRPr="00E141F1" w:rsidRDefault="001E6FB8" w:rsidP="001E6FB8">
                        <w:pPr>
                          <w:keepNext/>
                          <w:keepLines/>
                          <w:spacing w:line="240" w:lineRule="auto"/>
                          <w:ind w:right="156"/>
                          <w:jc w:val="center"/>
                          <w:outlineLvl w:val="1"/>
                          <w:rPr>
                            <w:rFonts w:cs="Arial"/>
                            <w:color w:val="000000"/>
                            <w:sz w:val="18"/>
                            <w:szCs w:val="18"/>
                          </w:rPr>
                        </w:pPr>
                        <w:r w:rsidRPr="00E141F1">
                          <w:rPr>
                            <w:rFonts w:cs="Arial"/>
                            <w:color w:val="000000"/>
                            <w:sz w:val="18"/>
                            <w:szCs w:val="18"/>
                          </w:rPr>
                          <w:t>2</w:t>
                        </w:r>
                      </w:p>
                    </w:tc>
                  </w:tr>
                  <w:tr w:rsidR="001E6FB8" w:rsidRPr="00E141F1" w:rsidTr="001E6FB8">
                    <w:trPr>
                      <w:trHeight w:val="313"/>
                    </w:trPr>
                    <w:tc>
                      <w:tcPr>
                        <w:tcW w:w="2540" w:type="dxa"/>
                        <w:shd w:val="clear" w:color="auto" w:fill="auto"/>
                        <w:tcMar>
                          <w:left w:w="113" w:type="dxa"/>
                        </w:tcMar>
                        <w:vAlign w:val="center"/>
                      </w:tcPr>
                      <w:p w:rsidR="001E6FB8" w:rsidRPr="00E141F1" w:rsidRDefault="001E6FB8" w:rsidP="001E6FB8">
                        <w:pPr>
                          <w:keepNext/>
                          <w:keepLines/>
                          <w:spacing w:line="240" w:lineRule="auto"/>
                          <w:outlineLvl w:val="1"/>
                          <w:rPr>
                            <w:rFonts w:cs="Arial"/>
                            <w:color w:val="808285"/>
                            <w:spacing w:val="-28"/>
                            <w:sz w:val="18"/>
                            <w:szCs w:val="18"/>
                          </w:rPr>
                        </w:pPr>
                        <w:r w:rsidRPr="00E141F1">
                          <w:rPr>
                            <w:rFonts w:cs="Arial"/>
                            <w:sz w:val="18"/>
                            <w:szCs w:val="18"/>
                          </w:rPr>
                          <w:t>Natural disasters</w:t>
                        </w:r>
                      </w:p>
                    </w:tc>
                    <w:tc>
                      <w:tcPr>
                        <w:tcW w:w="1276" w:type="dxa"/>
                        <w:shd w:val="clear" w:color="auto" w:fill="auto"/>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bCs/>
                            <w:color w:val="000000"/>
                            <w:sz w:val="18"/>
                            <w:szCs w:val="18"/>
                          </w:rPr>
                          <w:t>3</w:t>
                        </w:r>
                      </w:p>
                    </w:tc>
                    <w:tc>
                      <w:tcPr>
                        <w:tcW w:w="1288" w:type="dxa"/>
                        <w:tcMar>
                          <w:left w:w="113" w:type="dxa"/>
                        </w:tcMar>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color w:val="000000"/>
                            <w:sz w:val="18"/>
                            <w:szCs w:val="18"/>
                          </w:rPr>
                          <w:t>3</w:t>
                        </w:r>
                      </w:p>
                    </w:tc>
                    <w:tc>
                      <w:tcPr>
                        <w:tcW w:w="1141" w:type="dxa"/>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color w:val="000000"/>
                            <w:sz w:val="18"/>
                            <w:szCs w:val="18"/>
                          </w:rPr>
                          <w:t>3</w:t>
                        </w:r>
                      </w:p>
                    </w:tc>
                    <w:tc>
                      <w:tcPr>
                        <w:tcW w:w="1140" w:type="dxa"/>
                        <w:shd w:val="clear" w:color="auto" w:fill="auto"/>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color w:val="000000"/>
                            <w:sz w:val="18"/>
                            <w:szCs w:val="18"/>
                          </w:rPr>
                          <w:t>3</w:t>
                        </w:r>
                      </w:p>
                    </w:tc>
                    <w:tc>
                      <w:tcPr>
                        <w:tcW w:w="1140" w:type="dxa"/>
                        <w:tcMar>
                          <w:left w:w="113" w:type="dxa"/>
                        </w:tcMar>
                        <w:vAlign w:val="center"/>
                      </w:tcPr>
                      <w:p w:rsidR="001E6FB8" w:rsidRPr="00E141F1" w:rsidRDefault="001E6FB8" w:rsidP="001E6FB8">
                        <w:pPr>
                          <w:keepNext/>
                          <w:keepLines/>
                          <w:spacing w:line="240" w:lineRule="auto"/>
                          <w:ind w:left="-113" w:right="156"/>
                          <w:jc w:val="center"/>
                          <w:outlineLvl w:val="1"/>
                          <w:rPr>
                            <w:rFonts w:cs="Arial"/>
                            <w:sz w:val="18"/>
                            <w:szCs w:val="18"/>
                          </w:rPr>
                        </w:pPr>
                        <w:r w:rsidRPr="00E141F1">
                          <w:rPr>
                            <w:rFonts w:cs="Arial"/>
                            <w:color w:val="000000"/>
                            <w:sz w:val="18"/>
                            <w:szCs w:val="18"/>
                          </w:rPr>
                          <w:t>3</w:t>
                        </w:r>
                      </w:p>
                    </w:tc>
                    <w:tc>
                      <w:tcPr>
                        <w:tcW w:w="1361" w:type="dxa"/>
                        <w:vAlign w:val="center"/>
                      </w:tcPr>
                      <w:p w:rsidR="001E6FB8" w:rsidRPr="00E141F1" w:rsidRDefault="001E6FB8" w:rsidP="001E6FB8">
                        <w:pPr>
                          <w:keepNext/>
                          <w:keepLines/>
                          <w:spacing w:line="240" w:lineRule="auto"/>
                          <w:ind w:right="156"/>
                          <w:jc w:val="center"/>
                          <w:outlineLvl w:val="1"/>
                          <w:rPr>
                            <w:rFonts w:cs="Arial"/>
                            <w:sz w:val="18"/>
                            <w:szCs w:val="18"/>
                          </w:rPr>
                        </w:pPr>
                        <w:r w:rsidRPr="00E141F1">
                          <w:rPr>
                            <w:rFonts w:cs="Arial"/>
                            <w:color w:val="000000"/>
                            <w:sz w:val="18"/>
                            <w:szCs w:val="18"/>
                          </w:rPr>
                          <w:t>1</w:t>
                        </w:r>
                      </w:p>
                    </w:tc>
                    <w:tc>
                      <w:tcPr>
                        <w:tcW w:w="1141" w:type="dxa"/>
                        <w:vAlign w:val="center"/>
                      </w:tcPr>
                      <w:p w:rsidR="001E6FB8" w:rsidRPr="00E141F1" w:rsidRDefault="001E6FB8" w:rsidP="001E6FB8">
                        <w:pPr>
                          <w:keepNext/>
                          <w:keepLines/>
                          <w:spacing w:line="240" w:lineRule="auto"/>
                          <w:ind w:right="156"/>
                          <w:jc w:val="center"/>
                          <w:outlineLvl w:val="1"/>
                          <w:rPr>
                            <w:rFonts w:cs="Arial"/>
                            <w:color w:val="000000"/>
                            <w:sz w:val="18"/>
                            <w:szCs w:val="18"/>
                          </w:rPr>
                        </w:pPr>
                        <w:r w:rsidRPr="00E141F1">
                          <w:rPr>
                            <w:rFonts w:cs="Arial"/>
                            <w:color w:val="000000"/>
                            <w:sz w:val="18"/>
                            <w:szCs w:val="18"/>
                          </w:rPr>
                          <w:t>0</w:t>
                        </w:r>
                      </w:p>
                    </w:tc>
                  </w:tr>
                  <w:tr w:rsidR="001E6FB8" w:rsidRPr="00E141F1" w:rsidTr="001E6FB8">
                    <w:trPr>
                      <w:trHeight w:val="313"/>
                    </w:trPr>
                    <w:tc>
                      <w:tcPr>
                        <w:tcW w:w="2540" w:type="dxa"/>
                        <w:shd w:val="clear" w:color="auto" w:fill="auto"/>
                        <w:tcMar>
                          <w:left w:w="113" w:type="dxa"/>
                        </w:tcMar>
                        <w:vAlign w:val="center"/>
                      </w:tcPr>
                      <w:p w:rsidR="001E6FB8" w:rsidRPr="00E141F1" w:rsidRDefault="001E6FB8" w:rsidP="001E6FB8">
                        <w:pPr>
                          <w:keepNext/>
                          <w:keepLines/>
                          <w:spacing w:line="240" w:lineRule="auto"/>
                          <w:outlineLvl w:val="1"/>
                          <w:rPr>
                            <w:rFonts w:cs="Arial"/>
                            <w:sz w:val="18"/>
                            <w:szCs w:val="18"/>
                          </w:rPr>
                        </w:pPr>
                        <w:r w:rsidRPr="00E141F1">
                          <w:rPr>
                            <w:rFonts w:cs="Arial"/>
                            <w:sz w:val="18"/>
                            <w:szCs w:val="18"/>
                          </w:rPr>
                          <w:t>Other</w:t>
                        </w:r>
                      </w:p>
                    </w:tc>
                    <w:tc>
                      <w:tcPr>
                        <w:tcW w:w="1276" w:type="dxa"/>
                        <w:shd w:val="clear" w:color="auto" w:fill="auto"/>
                        <w:vAlign w:val="center"/>
                      </w:tcPr>
                      <w:p w:rsidR="001E6FB8" w:rsidRPr="00E141F1" w:rsidRDefault="001E6FB8" w:rsidP="001E6FB8">
                        <w:pPr>
                          <w:keepNext/>
                          <w:keepLines/>
                          <w:spacing w:line="240" w:lineRule="auto"/>
                          <w:ind w:right="156"/>
                          <w:jc w:val="center"/>
                          <w:outlineLvl w:val="1"/>
                          <w:rPr>
                            <w:rFonts w:cs="Arial"/>
                            <w:bCs/>
                            <w:color w:val="000000"/>
                            <w:sz w:val="18"/>
                            <w:szCs w:val="18"/>
                          </w:rPr>
                        </w:pPr>
                        <w:r w:rsidRPr="00E141F1">
                          <w:rPr>
                            <w:rFonts w:cs="Arial"/>
                            <w:bCs/>
                            <w:color w:val="000000"/>
                            <w:sz w:val="18"/>
                            <w:szCs w:val="18"/>
                          </w:rPr>
                          <w:t>7</w:t>
                        </w:r>
                      </w:p>
                    </w:tc>
                    <w:tc>
                      <w:tcPr>
                        <w:tcW w:w="1288" w:type="dxa"/>
                        <w:tcMar>
                          <w:left w:w="113" w:type="dxa"/>
                        </w:tcMar>
                        <w:vAlign w:val="center"/>
                      </w:tcPr>
                      <w:p w:rsidR="001E6FB8" w:rsidRPr="00E141F1" w:rsidRDefault="001E6FB8" w:rsidP="001E6FB8">
                        <w:pPr>
                          <w:keepNext/>
                          <w:keepLines/>
                          <w:spacing w:line="240" w:lineRule="auto"/>
                          <w:ind w:right="156"/>
                          <w:jc w:val="center"/>
                          <w:outlineLvl w:val="1"/>
                          <w:rPr>
                            <w:rFonts w:cs="Arial"/>
                            <w:bCs/>
                            <w:color w:val="000000"/>
                            <w:sz w:val="18"/>
                            <w:szCs w:val="18"/>
                          </w:rPr>
                        </w:pPr>
                        <w:r w:rsidRPr="00E141F1">
                          <w:rPr>
                            <w:rFonts w:cs="Arial"/>
                            <w:bCs/>
                            <w:color w:val="000000"/>
                            <w:sz w:val="18"/>
                            <w:szCs w:val="18"/>
                          </w:rPr>
                          <w:t>7</w:t>
                        </w:r>
                      </w:p>
                    </w:tc>
                    <w:tc>
                      <w:tcPr>
                        <w:tcW w:w="1141" w:type="dxa"/>
                        <w:vAlign w:val="center"/>
                      </w:tcPr>
                      <w:p w:rsidR="001E6FB8" w:rsidRPr="00E141F1" w:rsidRDefault="001E6FB8" w:rsidP="001E6FB8">
                        <w:pPr>
                          <w:keepNext/>
                          <w:keepLines/>
                          <w:spacing w:line="240" w:lineRule="auto"/>
                          <w:ind w:right="156"/>
                          <w:jc w:val="center"/>
                          <w:outlineLvl w:val="1"/>
                          <w:rPr>
                            <w:rFonts w:cs="Arial"/>
                            <w:bCs/>
                            <w:color w:val="000000"/>
                            <w:sz w:val="18"/>
                            <w:szCs w:val="18"/>
                          </w:rPr>
                        </w:pPr>
                        <w:r w:rsidRPr="00E141F1">
                          <w:rPr>
                            <w:rFonts w:cs="Arial"/>
                            <w:bCs/>
                            <w:color w:val="000000"/>
                            <w:sz w:val="18"/>
                            <w:szCs w:val="18"/>
                          </w:rPr>
                          <w:t>7</w:t>
                        </w:r>
                      </w:p>
                    </w:tc>
                    <w:tc>
                      <w:tcPr>
                        <w:tcW w:w="1140" w:type="dxa"/>
                        <w:shd w:val="clear" w:color="auto" w:fill="auto"/>
                        <w:vAlign w:val="center"/>
                      </w:tcPr>
                      <w:p w:rsidR="001E6FB8" w:rsidRPr="00E141F1" w:rsidRDefault="001E6FB8" w:rsidP="001E6FB8">
                        <w:pPr>
                          <w:keepNext/>
                          <w:keepLines/>
                          <w:spacing w:line="240" w:lineRule="auto"/>
                          <w:ind w:right="156"/>
                          <w:jc w:val="center"/>
                          <w:outlineLvl w:val="1"/>
                          <w:rPr>
                            <w:rFonts w:cs="Arial"/>
                            <w:bCs/>
                            <w:color w:val="000000"/>
                            <w:sz w:val="18"/>
                            <w:szCs w:val="18"/>
                          </w:rPr>
                        </w:pPr>
                        <w:r w:rsidRPr="00E141F1">
                          <w:rPr>
                            <w:rFonts w:cs="Arial"/>
                            <w:bCs/>
                            <w:color w:val="000000"/>
                            <w:sz w:val="18"/>
                            <w:szCs w:val="18"/>
                          </w:rPr>
                          <w:t>7</w:t>
                        </w:r>
                      </w:p>
                    </w:tc>
                    <w:tc>
                      <w:tcPr>
                        <w:tcW w:w="1140" w:type="dxa"/>
                        <w:tcMar>
                          <w:left w:w="113" w:type="dxa"/>
                        </w:tcMar>
                        <w:vAlign w:val="center"/>
                      </w:tcPr>
                      <w:p w:rsidR="001E6FB8" w:rsidRPr="00E141F1" w:rsidRDefault="001E6FB8" w:rsidP="001E6FB8">
                        <w:pPr>
                          <w:keepNext/>
                          <w:keepLines/>
                          <w:spacing w:line="240" w:lineRule="auto"/>
                          <w:ind w:left="-113" w:right="156"/>
                          <w:jc w:val="center"/>
                          <w:outlineLvl w:val="1"/>
                          <w:rPr>
                            <w:rFonts w:cs="Arial"/>
                            <w:bCs/>
                            <w:color w:val="000000"/>
                            <w:sz w:val="18"/>
                            <w:szCs w:val="18"/>
                          </w:rPr>
                        </w:pPr>
                        <w:r w:rsidRPr="00E141F1">
                          <w:rPr>
                            <w:rFonts w:cs="Arial"/>
                            <w:bCs/>
                            <w:color w:val="000000"/>
                            <w:sz w:val="18"/>
                            <w:szCs w:val="18"/>
                          </w:rPr>
                          <w:t>7</w:t>
                        </w:r>
                      </w:p>
                    </w:tc>
                    <w:tc>
                      <w:tcPr>
                        <w:tcW w:w="1361" w:type="dxa"/>
                        <w:vAlign w:val="center"/>
                      </w:tcPr>
                      <w:p w:rsidR="001E6FB8" w:rsidRPr="00E141F1" w:rsidRDefault="001E6FB8" w:rsidP="001E6FB8">
                        <w:pPr>
                          <w:keepNext/>
                          <w:keepLines/>
                          <w:spacing w:line="240" w:lineRule="auto"/>
                          <w:ind w:right="156"/>
                          <w:jc w:val="center"/>
                          <w:outlineLvl w:val="1"/>
                          <w:rPr>
                            <w:rFonts w:cs="Arial"/>
                            <w:bCs/>
                            <w:color w:val="000000"/>
                            <w:sz w:val="18"/>
                            <w:szCs w:val="18"/>
                          </w:rPr>
                        </w:pPr>
                        <w:r w:rsidRPr="00E141F1">
                          <w:rPr>
                            <w:rFonts w:cs="Arial"/>
                            <w:bCs/>
                            <w:color w:val="000000"/>
                            <w:sz w:val="18"/>
                            <w:szCs w:val="18"/>
                          </w:rPr>
                          <w:t>7</w:t>
                        </w:r>
                      </w:p>
                    </w:tc>
                    <w:tc>
                      <w:tcPr>
                        <w:tcW w:w="1141" w:type="dxa"/>
                        <w:vAlign w:val="center"/>
                      </w:tcPr>
                      <w:p w:rsidR="001E6FB8" w:rsidRPr="00E141F1" w:rsidRDefault="001E6FB8" w:rsidP="001E6FB8">
                        <w:pPr>
                          <w:keepNext/>
                          <w:keepLines/>
                          <w:spacing w:line="240" w:lineRule="auto"/>
                          <w:ind w:right="156"/>
                          <w:jc w:val="center"/>
                          <w:outlineLvl w:val="1"/>
                          <w:rPr>
                            <w:rFonts w:cs="Arial"/>
                            <w:bCs/>
                            <w:color w:val="000000"/>
                            <w:sz w:val="18"/>
                            <w:szCs w:val="18"/>
                          </w:rPr>
                        </w:pPr>
                        <w:r w:rsidRPr="00E141F1">
                          <w:rPr>
                            <w:rFonts w:cs="Arial"/>
                            <w:bCs/>
                            <w:color w:val="000000"/>
                            <w:sz w:val="18"/>
                            <w:szCs w:val="18"/>
                          </w:rPr>
                          <w:t>0</w:t>
                        </w:r>
                      </w:p>
                    </w:tc>
                  </w:tr>
                  <w:tr w:rsidR="001E6FB8" w:rsidRPr="00E141F1" w:rsidTr="001E6FB8">
                    <w:trPr>
                      <w:trHeight w:val="313"/>
                    </w:trPr>
                    <w:tc>
                      <w:tcPr>
                        <w:tcW w:w="2540" w:type="dxa"/>
                        <w:shd w:val="clear" w:color="auto" w:fill="auto"/>
                        <w:tcMar>
                          <w:left w:w="113" w:type="dxa"/>
                        </w:tcMar>
                        <w:vAlign w:val="center"/>
                      </w:tcPr>
                      <w:p w:rsidR="001E6FB8" w:rsidRPr="00E141F1" w:rsidRDefault="001E6FB8" w:rsidP="001E6FB8">
                        <w:pPr>
                          <w:keepNext/>
                          <w:keepLines/>
                          <w:spacing w:line="240" w:lineRule="auto"/>
                          <w:outlineLvl w:val="1"/>
                          <w:rPr>
                            <w:rFonts w:cs="Arial"/>
                            <w:color w:val="808285"/>
                            <w:spacing w:val="-28"/>
                            <w:sz w:val="18"/>
                            <w:szCs w:val="18"/>
                          </w:rPr>
                        </w:pPr>
                        <w:r w:rsidRPr="00E141F1">
                          <w:rPr>
                            <w:rFonts w:cs="Arial"/>
                            <w:b/>
                            <w:sz w:val="18"/>
                            <w:szCs w:val="18"/>
                          </w:rPr>
                          <w:t xml:space="preserve">Total </w:t>
                        </w:r>
                      </w:p>
                    </w:tc>
                    <w:tc>
                      <w:tcPr>
                        <w:tcW w:w="1276" w:type="dxa"/>
                        <w:shd w:val="clear" w:color="auto" w:fill="auto"/>
                        <w:vAlign w:val="center"/>
                      </w:tcPr>
                      <w:p w:rsidR="001E6FB8" w:rsidRPr="00E141F1" w:rsidRDefault="001E6FB8" w:rsidP="001E6FB8">
                        <w:pPr>
                          <w:keepNext/>
                          <w:keepLines/>
                          <w:spacing w:line="240" w:lineRule="auto"/>
                          <w:ind w:right="156"/>
                          <w:jc w:val="center"/>
                          <w:outlineLvl w:val="1"/>
                          <w:rPr>
                            <w:rFonts w:cs="Arial"/>
                            <w:bCs/>
                            <w:color w:val="000000"/>
                            <w:sz w:val="18"/>
                            <w:szCs w:val="18"/>
                          </w:rPr>
                        </w:pPr>
                        <w:r w:rsidRPr="00E141F1">
                          <w:rPr>
                            <w:rFonts w:cs="Arial"/>
                            <w:b/>
                            <w:bCs/>
                            <w:color w:val="000000"/>
                            <w:sz w:val="18"/>
                            <w:szCs w:val="18"/>
                          </w:rPr>
                          <w:t>44</w:t>
                        </w:r>
                      </w:p>
                    </w:tc>
                    <w:tc>
                      <w:tcPr>
                        <w:tcW w:w="1288" w:type="dxa"/>
                        <w:tcMar>
                          <w:left w:w="113" w:type="dxa"/>
                        </w:tcMar>
                        <w:vAlign w:val="center"/>
                      </w:tcPr>
                      <w:p w:rsidR="001E6FB8" w:rsidRPr="00E141F1" w:rsidRDefault="001E6FB8" w:rsidP="001E6FB8">
                        <w:pPr>
                          <w:keepNext/>
                          <w:keepLines/>
                          <w:spacing w:line="240" w:lineRule="auto"/>
                          <w:ind w:right="156"/>
                          <w:jc w:val="center"/>
                          <w:outlineLvl w:val="1"/>
                          <w:rPr>
                            <w:rFonts w:cs="Arial"/>
                            <w:color w:val="000000"/>
                            <w:sz w:val="18"/>
                            <w:szCs w:val="18"/>
                          </w:rPr>
                        </w:pPr>
                        <w:r w:rsidRPr="00E141F1">
                          <w:rPr>
                            <w:rFonts w:cs="Arial"/>
                            <w:b/>
                            <w:bCs/>
                            <w:color w:val="000000"/>
                            <w:sz w:val="18"/>
                            <w:szCs w:val="18"/>
                          </w:rPr>
                          <w:t>52</w:t>
                        </w:r>
                      </w:p>
                    </w:tc>
                    <w:tc>
                      <w:tcPr>
                        <w:tcW w:w="1141" w:type="dxa"/>
                        <w:vAlign w:val="center"/>
                      </w:tcPr>
                      <w:p w:rsidR="001E6FB8" w:rsidRPr="00E141F1" w:rsidRDefault="001E6FB8" w:rsidP="001E6FB8">
                        <w:pPr>
                          <w:keepNext/>
                          <w:keepLines/>
                          <w:spacing w:line="240" w:lineRule="auto"/>
                          <w:ind w:right="156"/>
                          <w:jc w:val="center"/>
                          <w:outlineLvl w:val="1"/>
                          <w:rPr>
                            <w:rFonts w:cs="Arial"/>
                            <w:color w:val="000000"/>
                            <w:sz w:val="18"/>
                            <w:szCs w:val="18"/>
                          </w:rPr>
                        </w:pPr>
                        <w:r w:rsidRPr="00E141F1">
                          <w:rPr>
                            <w:rFonts w:cs="Arial"/>
                            <w:b/>
                            <w:bCs/>
                            <w:color w:val="000000"/>
                            <w:sz w:val="18"/>
                            <w:szCs w:val="18"/>
                          </w:rPr>
                          <w:t>49</w:t>
                        </w:r>
                      </w:p>
                    </w:tc>
                    <w:tc>
                      <w:tcPr>
                        <w:tcW w:w="1140" w:type="dxa"/>
                        <w:shd w:val="clear" w:color="auto" w:fill="auto"/>
                        <w:vAlign w:val="center"/>
                      </w:tcPr>
                      <w:p w:rsidR="001E6FB8" w:rsidRPr="00E141F1" w:rsidRDefault="001E6FB8" w:rsidP="001E6FB8">
                        <w:pPr>
                          <w:keepNext/>
                          <w:keepLines/>
                          <w:spacing w:line="240" w:lineRule="auto"/>
                          <w:ind w:right="156"/>
                          <w:jc w:val="center"/>
                          <w:outlineLvl w:val="1"/>
                          <w:rPr>
                            <w:rFonts w:cs="Arial"/>
                            <w:color w:val="000000"/>
                            <w:sz w:val="18"/>
                            <w:szCs w:val="18"/>
                          </w:rPr>
                        </w:pPr>
                        <w:r w:rsidRPr="00E141F1">
                          <w:rPr>
                            <w:rFonts w:cs="Arial"/>
                            <w:b/>
                            <w:bCs/>
                            <w:color w:val="000000"/>
                            <w:sz w:val="18"/>
                            <w:szCs w:val="18"/>
                          </w:rPr>
                          <w:t>37</w:t>
                        </w:r>
                      </w:p>
                    </w:tc>
                    <w:tc>
                      <w:tcPr>
                        <w:tcW w:w="1140" w:type="dxa"/>
                        <w:tcMar>
                          <w:left w:w="113" w:type="dxa"/>
                        </w:tcMar>
                        <w:vAlign w:val="center"/>
                      </w:tcPr>
                      <w:p w:rsidR="001E6FB8" w:rsidRPr="00E141F1" w:rsidRDefault="001E6FB8" w:rsidP="001E6FB8">
                        <w:pPr>
                          <w:keepNext/>
                          <w:keepLines/>
                          <w:spacing w:line="240" w:lineRule="auto"/>
                          <w:ind w:left="-113" w:right="156"/>
                          <w:jc w:val="center"/>
                          <w:outlineLvl w:val="1"/>
                          <w:rPr>
                            <w:rFonts w:cs="Arial"/>
                            <w:color w:val="000000"/>
                            <w:sz w:val="18"/>
                            <w:szCs w:val="18"/>
                          </w:rPr>
                        </w:pPr>
                        <w:r w:rsidRPr="00E141F1">
                          <w:rPr>
                            <w:rFonts w:cs="Arial"/>
                            <w:b/>
                            <w:bCs/>
                            <w:color w:val="000000"/>
                            <w:sz w:val="18"/>
                            <w:szCs w:val="18"/>
                          </w:rPr>
                          <w:t>52</w:t>
                        </w:r>
                      </w:p>
                    </w:tc>
                    <w:tc>
                      <w:tcPr>
                        <w:tcW w:w="1361" w:type="dxa"/>
                        <w:vAlign w:val="center"/>
                      </w:tcPr>
                      <w:p w:rsidR="001E6FB8" w:rsidRPr="00E141F1" w:rsidRDefault="001E6FB8" w:rsidP="001E6FB8">
                        <w:pPr>
                          <w:keepNext/>
                          <w:keepLines/>
                          <w:spacing w:line="240" w:lineRule="auto"/>
                          <w:ind w:right="156"/>
                          <w:jc w:val="center"/>
                          <w:outlineLvl w:val="1"/>
                          <w:rPr>
                            <w:rFonts w:cs="Arial"/>
                            <w:color w:val="000000"/>
                            <w:sz w:val="18"/>
                            <w:szCs w:val="18"/>
                          </w:rPr>
                        </w:pPr>
                        <w:r w:rsidRPr="00E141F1">
                          <w:rPr>
                            <w:rFonts w:cs="Arial"/>
                            <w:b/>
                            <w:bCs/>
                            <w:color w:val="000000"/>
                            <w:sz w:val="18"/>
                            <w:szCs w:val="18"/>
                          </w:rPr>
                          <w:t>29</w:t>
                        </w:r>
                      </w:p>
                    </w:tc>
                    <w:tc>
                      <w:tcPr>
                        <w:tcW w:w="1141" w:type="dxa"/>
                        <w:vAlign w:val="center"/>
                      </w:tcPr>
                      <w:p w:rsidR="001E6FB8" w:rsidRPr="00E141F1" w:rsidRDefault="001E6FB8" w:rsidP="001E6FB8">
                        <w:pPr>
                          <w:keepNext/>
                          <w:keepLines/>
                          <w:spacing w:line="240" w:lineRule="auto"/>
                          <w:ind w:right="156"/>
                          <w:jc w:val="center"/>
                          <w:outlineLvl w:val="1"/>
                          <w:rPr>
                            <w:rFonts w:cs="Arial"/>
                            <w:b/>
                            <w:bCs/>
                            <w:color w:val="000000"/>
                            <w:sz w:val="18"/>
                            <w:szCs w:val="18"/>
                          </w:rPr>
                        </w:pPr>
                        <w:r w:rsidRPr="00E141F1">
                          <w:rPr>
                            <w:rFonts w:cs="Arial"/>
                            <w:b/>
                            <w:bCs/>
                            <w:color w:val="000000"/>
                            <w:sz w:val="18"/>
                            <w:szCs w:val="18"/>
                          </w:rPr>
                          <w:t>2</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*Primus was acquired by the M2 Group, effective 1 June 2012. Since December 2012, Primus exemption notifications have been included in M2 Group notifications.</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Source: CSP data.</w:t>
                  </w:r>
                </w:p>
              </w:tc>
            </w:tr>
          </w:tbl>
          <w:p w:rsidR="001E6FB8" w:rsidRPr="00E141F1" w:rsidRDefault="001E6FB8" w:rsidP="001E6FB8">
            <w:pPr>
              <w:spacing w:line="240" w:lineRule="auto"/>
              <w:rPr>
                <w:rFonts w:cs="Arial"/>
              </w:rPr>
            </w:pPr>
          </w:p>
        </w:tc>
      </w:tr>
    </w:tbl>
    <w:p w:rsidR="001E6FB8" w:rsidRDefault="001E6FB8" w:rsidP="001E6FB8">
      <w:bookmarkStart w:id="369" w:name="_Toc287540193"/>
      <w:bookmarkStart w:id="370" w:name="_Toc308517217"/>
      <w:bookmarkStart w:id="371" w:name="_Toc308523657"/>
      <w:bookmarkStart w:id="372" w:name="_Toc310326874"/>
    </w:p>
    <w:p w:rsidR="001E6FB8" w:rsidRPr="00E141F1" w:rsidRDefault="001E6FB8" w:rsidP="001E6FB8">
      <w:pPr>
        <w:pStyle w:val="Heading2"/>
      </w:pPr>
      <w:bookmarkStart w:id="373" w:name="_Toc341428371"/>
      <w:bookmarkStart w:id="374" w:name="_Toc371589051"/>
      <w:bookmarkStart w:id="375" w:name="_Toc373149113"/>
      <w:bookmarkEnd w:id="369"/>
      <w:bookmarkEnd w:id="370"/>
      <w:bookmarkEnd w:id="371"/>
      <w:bookmarkEnd w:id="372"/>
      <w:r w:rsidRPr="00E141F1">
        <w:t>Network Reliability Framewor</w:t>
      </w:r>
      <w:bookmarkEnd w:id="373"/>
      <w:r>
        <w:t>k</w:t>
      </w:r>
      <w:bookmarkEnd w:id="374"/>
      <w:bookmarkEnd w:id="375"/>
    </w:p>
    <w:p w:rsidR="001E6FB8" w:rsidRPr="00E141F1" w:rsidRDefault="001E6FB8" w:rsidP="001E6FB8">
      <w:pPr>
        <w:rPr>
          <w:rFonts w:cs="Arial"/>
        </w:rPr>
      </w:pPr>
      <w:r w:rsidRPr="00E141F1">
        <w:rPr>
          <w:rFonts w:cs="Arial"/>
        </w:rPr>
        <w:t xml:space="preserve">The ACMA monitors the reliability of Telstra’s fixed-line telephone service network under the NRF. Compliance with the NRF is a condition of Telstra’s carrier licence. The NRF applies only to services Telstra provides to its CSG Standard-eligible customers—residential and small-business fixed-line customers with </w:t>
      </w:r>
      <w:r>
        <w:rPr>
          <w:rFonts w:cs="Arial"/>
        </w:rPr>
        <w:t>no more than</w:t>
      </w:r>
      <w:r w:rsidRPr="00E141F1">
        <w:rPr>
          <w:rFonts w:cs="Arial"/>
        </w:rPr>
        <w:t xml:space="preserve"> five telephone services. Telstra is required to report to the ACMA on the performance of its network and to fix poorly performing cable runs and individual services, as triggered.</w:t>
      </w:r>
    </w:p>
    <w:p w:rsidR="001E6FB8" w:rsidRPr="00E141F1" w:rsidRDefault="001E6FB8" w:rsidP="001E6FB8">
      <w:pPr>
        <w:rPr>
          <w:rFonts w:cs="Arial"/>
        </w:rPr>
      </w:pPr>
    </w:p>
    <w:p w:rsidR="001E6FB8" w:rsidRDefault="001E6FB8" w:rsidP="001E6FB8">
      <w:pPr>
        <w:spacing w:after="80"/>
        <w:rPr>
          <w:rFonts w:cs="Arial"/>
        </w:rPr>
      </w:pPr>
      <w:r w:rsidRPr="00E141F1">
        <w:rPr>
          <w:rFonts w:cs="Arial"/>
        </w:rPr>
        <w:t>The NRF requires monitoring and/or remedying network reliability performance at three levels:</w:t>
      </w:r>
    </w:p>
    <w:p w:rsidR="001E6FB8" w:rsidRPr="00E141F1" w:rsidRDefault="001E6FB8" w:rsidP="001E6FB8">
      <w:pPr>
        <w:pStyle w:val="ListBullet"/>
        <w:tabs>
          <w:tab w:val="clear" w:pos="295"/>
        </w:tabs>
        <w:rPr>
          <w:rFonts w:cs="Arial"/>
        </w:rPr>
      </w:pPr>
      <w:r w:rsidRPr="00E141F1">
        <w:rPr>
          <w:rFonts w:cs="Arial"/>
        </w:rPr>
        <w:t>1—National and geographical area level, based on Telstra’s 44 field service areas (FSAs)</w:t>
      </w:r>
    </w:p>
    <w:p w:rsidR="001E6FB8" w:rsidRPr="00E141F1" w:rsidRDefault="001E6FB8" w:rsidP="001E6FB8">
      <w:pPr>
        <w:pStyle w:val="ListBullet"/>
        <w:rPr>
          <w:rFonts w:cs="Arial"/>
        </w:rPr>
      </w:pPr>
      <w:r w:rsidRPr="00E141F1">
        <w:rPr>
          <w:rFonts w:cs="Arial"/>
        </w:rPr>
        <w:t>2—Local level, cable runs in disaggregated parts of the network</w:t>
      </w:r>
    </w:p>
    <w:p w:rsidR="001E6FB8" w:rsidRPr="00E141F1" w:rsidRDefault="001E6FB8" w:rsidP="001E6FB8">
      <w:pPr>
        <w:pStyle w:val="ListBullet"/>
        <w:spacing w:after="240"/>
        <w:rPr>
          <w:rFonts w:cs="Arial"/>
        </w:rPr>
      </w:pPr>
      <w:r w:rsidRPr="00E141F1">
        <w:rPr>
          <w:rFonts w:cs="Arial"/>
        </w:rPr>
        <w:t>3—Individual service level, which includes all Telstra services covered by the CSG Standard.</w:t>
      </w:r>
    </w:p>
    <w:p w:rsidR="001E6FB8" w:rsidRPr="00E141F1" w:rsidRDefault="001E6FB8" w:rsidP="001E6FB8">
      <w:pPr>
        <w:rPr>
          <w:rFonts w:cs="Arial"/>
        </w:rPr>
      </w:pPr>
      <w:r w:rsidRPr="00E141F1">
        <w:rPr>
          <w:rFonts w:cs="Arial"/>
        </w:rPr>
        <w:t>Level 1 is designed to inform the public about overall network reliability performance. Under levels 2 and 3, Telstra is required to remediate poorly performing parts of its network as a priority.</w:t>
      </w:r>
    </w:p>
    <w:p w:rsidR="001E6FB8" w:rsidRPr="00E141F1" w:rsidRDefault="001E6FB8" w:rsidP="001E6FB8">
      <w:pPr>
        <w:rPr>
          <w:rFonts w:cs="Arial"/>
        </w:rPr>
      </w:pPr>
    </w:p>
    <w:p w:rsidR="001E6FB8" w:rsidRPr="00E141F1" w:rsidRDefault="001E6FB8" w:rsidP="001E6FB8">
      <w:pPr>
        <w:pStyle w:val="Heading3"/>
      </w:pPr>
      <w:bookmarkStart w:id="376" w:name="_Toc287540194"/>
      <w:bookmarkStart w:id="377" w:name="_Toc308517218"/>
      <w:bookmarkStart w:id="378" w:name="_Toc308523658"/>
      <w:bookmarkStart w:id="379" w:name="_Toc310326875"/>
      <w:bookmarkStart w:id="380" w:name="_Toc341428372"/>
      <w:bookmarkStart w:id="381" w:name="_Toc371589052"/>
      <w:bookmarkStart w:id="382" w:name="_Toc373149114"/>
      <w:r w:rsidRPr="00E141F1">
        <w:t>Level 1—national and field service area performance</w:t>
      </w:r>
      <w:bookmarkEnd w:id="376"/>
      <w:bookmarkEnd w:id="377"/>
      <w:bookmarkEnd w:id="378"/>
      <w:bookmarkEnd w:id="379"/>
      <w:bookmarkEnd w:id="380"/>
      <w:bookmarkEnd w:id="381"/>
      <w:bookmarkEnd w:id="382"/>
    </w:p>
    <w:p w:rsidR="001E6FB8" w:rsidRDefault="001E6FB8" w:rsidP="001E6FB8">
      <w:pPr>
        <w:spacing w:after="80"/>
        <w:rPr>
          <w:rFonts w:cs="Arial"/>
        </w:rPr>
      </w:pPr>
      <w:r w:rsidRPr="00E141F1">
        <w:rPr>
          <w:rFonts w:cs="Arial"/>
        </w:rPr>
        <w:t xml:space="preserve">Level 1 of the NRF requires Telstra to publish monthly data showing the reliability of services nationally and in 44 FSAs across Australia. Telstra’s national Level 1 performance data is presented in Figure 3.2. The reliability measures under this </w:t>
      </w:r>
      <w:r>
        <w:rPr>
          <w:rFonts w:cs="Arial"/>
        </w:rPr>
        <w:br/>
      </w:r>
      <w:r w:rsidRPr="00E141F1">
        <w:rPr>
          <w:rFonts w:cs="Arial"/>
        </w:rPr>
        <w:t>level are:</w:t>
      </w:r>
    </w:p>
    <w:p w:rsidR="001E6FB8" w:rsidRPr="00E141F1" w:rsidRDefault="001E6FB8" w:rsidP="001E6FB8">
      <w:pPr>
        <w:pStyle w:val="ListBullet"/>
        <w:rPr>
          <w:rFonts w:cs="Arial"/>
        </w:rPr>
      </w:pPr>
      <w:r w:rsidRPr="00E141F1">
        <w:rPr>
          <w:rFonts w:cs="Arial"/>
        </w:rPr>
        <w:t>Level 1(a)—the percentage of CSG Standard services that did not experience a fault during the month reported</w:t>
      </w:r>
    </w:p>
    <w:p w:rsidR="001E6FB8" w:rsidRPr="00E141F1" w:rsidRDefault="001E6FB8" w:rsidP="001E6FB8">
      <w:pPr>
        <w:pStyle w:val="ListBullet"/>
        <w:spacing w:after="240"/>
        <w:rPr>
          <w:rFonts w:cs="Arial"/>
        </w:rPr>
      </w:pPr>
      <w:r w:rsidRPr="00E141F1">
        <w:rPr>
          <w:rFonts w:cs="Arial"/>
        </w:rPr>
        <w:t>Level 1(b)—the percentage of time in a month that CSG Standard services, on average, are available.</w:t>
      </w:r>
    </w:p>
    <w:p w:rsidR="001E6FB8" w:rsidRDefault="001E6FB8" w:rsidP="001E6FB8">
      <w:pPr>
        <w:spacing w:after="80"/>
        <w:rPr>
          <w:rFonts w:cs="Arial"/>
        </w:rPr>
      </w:pPr>
      <w:r w:rsidRPr="00E141F1">
        <w:rPr>
          <w:rFonts w:cs="Arial"/>
        </w:rPr>
        <w:t>The ACMA also uses data provided under Level 1 of the NRF to calculate:</w:t>
      </w:r>
    </w:p>
    <w:p w:rsidR="001E6FB8" w:rsidRPr="00E141F1" w:rsidRDefault="001E6FB8" w:rsidP="001E6FB8">
      <w:pPr>
        <w:pStyle w:val="ListBullet"/>
        <w:spacing w:after="240"/>
        <w:rPr>
          <w:rFonts w:cs="Arial"/>
        </w:rPr>
      </w:pPr>
      <w:r w:rsidRPr="00E141F1">
        <w:rPr>
          <w:rFonts w:cs="Arial"/>
        </w:rPr>
        <w:t>Level 1(c)—the average time (in hours) for fault-affected CSG Standard services to be repaired for the month (Figure 3.3).</w:t>
      </w: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bookmarkStart w:id="383" w:name="_Ref304289757"/>
            <w:r w:rsidRPr="00E141F1">
              <w:rPr>
                <w:rFonts w:cs="Arial"/>
              </w:rPr>
              <w:t>Figure 3.</w:t>
            </w:r>
            <w:bookmarkEnd w:id="383"/>
            <w:r w:rsidRPr="00E141F1">
              <w:rPr>
                <w:rFonts w:cs="Arial"/>
              </w:rPr>
              <w:t>2 Telstra’s Level 1(a) and (b) performance, based on monthly reports</w:t>
            </w:r>
          </w:p>
        </w:tc>
      </w:tr>
      <w:tr w:rsidR="001E6FB8" w:rsidRPr="00E141F1" w:rsidTr="001E6FB8">
        <w:tblPrEx>
          <w:tblCellMar>
            <w:left w:w="108" w:type="dxa"/>
            <w:right w:w="108" w:type="dxa"/>
          </w:tblCellMar>
        </w:tblPrEx>
        <w:trPr>
          <w:trHeight w:val="3086"/>
        </w:trPr>
        <w:tc>
          <w:tcPr>
            <w:tcW w:w="9645" w:type="dxa"/>
            <w:shd w:val="clear" w:color="auto" w:fill="auto"/>
          </w:tcPr>
          <w:p w:rsidR="001E6FB8" w:rsidRPr="00E141F1" w:rsidRDefault="001E6FB8" w:rsidP="001E6FB8">
            <w:pPr>
              <w:keepNext/>
              <w:keepLines/>
              <w:rPr>
                <w:rFonts w:cs="Arial"/>
              </w:rPr>
            </w:pPr>
            <w:r w:rsidRPr="00EC7D93">
              <w:rPr>
                <w:rFonts w:cs="Arial"/>
                <w:noProof/>
              </w:rPr>
              <w:drawing>
                <wp:inline distT="0" distB="0" distL="0" distR="0">
                  <wp:extent cx="6005689" cy="2381956"/>
                  <wp:effectExtent l="0" t="0" r="0" b="0"/>
                  <wp:docPr id="2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1E6FB8" w:rsidRPr="00E141F1" w:rsidTr="001E6FB8">
        <w:trPr>
          <w:trHeight w:val="66"/>
        </w:trPr>
        <w:tc>
          <w:tcPr>
            <w:tcW w:w="9645" w:type="dxa"/>
            <w:tcBorders>
              <w:bottom w:val="single" w:sz="2" w:space="0" w:color="505050"/>
            </w:tcBorders>
            <w:shd w:val="clear" w:color="auto" w:fill="auto"/>
          </w:tcPr>
          <w:p w:rsidR="001E6FB8" w:rsidRPr="00E141F1" w:rsidRDefault="001E6FB8" w:rsidP="001E6FB8">
            <w:pPr>
              <w:keepNext/>
              <w:keepLines/>
              <w:widowControl w:val="0"/>
              <w:spacing w:after="60" w:line="240" w:lineRule="auto"/>
              <w:outlineLvl w:val="0"/>
              <w:rPr>
                <w:rFonts w:cs="Arial"/>
                <w:bCs/>
                <w:color w:val="4D4D4F"/>
                <w:kern w:val="32"/>
                <w:sz w:val="16"/>
                <w:szCs w:val="16"/>
              </w:rPr>
            </w:pPr>
            <w:r w:rsidRPr="00E141F1">
              <w:rPr>
                <w:rFonts w:cs="Arial"/>
                <w:i/>
                <w:sz w:val="16"/>
                <w:szCs w:val="16"/>
              </w:rPr>
              <w:t>Source: The ACMA, Telstra.</w:t>
            </w:r>
          </w:p>
        </w:tc>
      </w:tr>
    </w:tbl>
    <w:p w:rsidR="001E6FB8" w:rsidRPr="00E141F1" w:rsidRDefault="001E6FB8" w:rsidP="001E6FB8">
      <w:pPr>
        <w:rPr>
          <w:rFonts w:cs="Arial"/>
        </w:rPr>
      </w:pPr>
    </w:p>
    <w:p w:rsidR="001E6FB8" w:rsidRPr="00E141F1" w:rsidRDefault="001E6FB8" w:rsidP="001E6FB8">
      <w:pPr>
        <w:rPr>
          <w:rFonts w:cs="Arial"/>
        </w:rPr>
      </w:pPr>
      <w:r w:rsidRPr="00E141F1">
        <w:rPr>
          <w:rFonts w:cs="Arial"/>
        </w:rPr>
        <w:t>During 2012–13, Telstra experienced an increase in fault activity during the summer months that can be partly attributed to extreme weather events occurring across various parts of Australia (in particular Queensland and New South Wales). While the percentage of fault-free services remained above 98 per cent for each month during 2012–13, it should be noted that small changes in this figure represent relatively large changes in the number of faults occurring on the network.</w:t>
      </w:r>
    </w:p>
    <w:p w:rsidR="001E6FB8" w:rsidRPr="00E141F1" w:rsidRDefault="001E6FB8" w:rsidP="001E6FB8">
      <w:pPr>
        <w:rPr>
          <w:rFonts w:cs="Arial"/>
        </w:rPr>
      </w:pPr>
    </w:p>
    <w:p w:rsidR="001E6FB8" w:rsidRPr="00E141F1" w:rsidRDefault="001E6FB8" w:rsidP="001E6FB8">
      <w:pPr>
        <w:rPr>
          <w:rFonts w:cs="Arial"/>
        </w:rPr>
      </w:pPr>
      <w:r w:rsidRPr="00E141F1">
        <w:rPr>
          <w:rFonts w:cs="Arial"/>
        </w:rPr>
        <w:t>Under Level 1(a), FSAs in urban areas experienced a slightly lower percentage of faults than those in non-urban areas. On average, 1.44 per cent of services experienced a fault in any given month in urban areas, while this figure was 1.52 per cent in non-urban areas. Figure 3.2 shows the cyclical nature of NRF Level 1(a) performance.</w:t>
      </w:r>
    </w:p>
    <w:p w:rsidR="001E6FB8" w:rsidRPr="00E141F1" w:rsidRDefault="001E6FB8" w:rsidP="001E6FB8">
      <w:pPr>
        <w:rPr>
          <w:rFonts w:cs="Arial"/>
        </w:rPr>
      </w:pPr>
    </w:p>
    <w:p w:rsidR="001E6FB8" w:rsidRPr="00E141F1" w:rsidRDefault="001E6FB8" w:rsidP="001E6FB8">
      <w:pPr>
        <w:rPr>
          <w:rFonts w:cs="Arial"/>
        </w:rPr>
      </w:pPr>
      <w:r w:rsidRPr="00E141F1">
        <w:rPr>
          <w:rFonts w:cs="Arial"/>
        </w:rPr>
        <w:t>Level 1(b) measures the percentage of time in a month that services (on average) are available; that is, not awaiting repair. The performance is calculated based on the total amount of time associated with fault repairs and then averaged across all services, whether or not they had a fault in the relevant month. In 2012–13, services were available, on a monthly average, 99.84 per cent of the time (nationally), whereas in 2011–12 services were available, on a monthly average, 99.89 per cent of the time (nationally).</w:t>
      </w:r>
    </w:p>
    <w:p w:rsidR="001E6FB8" w:rsidRPr="00E141F1" w:rsidRDefault="001E6FB8" w:rsidP="001E6FB8">
      <w:pPr>
        <w:rPr>
          <w:rFonts w:cs="Arial"/>
        </w:rPr>
      </w:pPr>
    </w:p>
    <w:p w:rsidR="001E6FB8" w:rsidRPr="00E141F1" w:rsidRDefault="001E6FB8" w:rsidP="001E6FB8">
      <w:pPr>
        <w:rPr>
          <w:rFonts w:cs="Arial"/>
        </w:rPr>
      </w:pPr>
      <w:r w:rsidRPr="00E141F1">
        <w:rPr>
          <w:rFonts w:cs="Arial"/>
        </w:rPr>
        <w:t>Level 1(c) measures the average number of hours Telstra took to restore fault-affected services in the month. While Level 1(b) takes into account all services, Level 1(c) only considers services that experienced a fault.</w:t>
      </w:r>
    </w:p>
    <w:p w:rsidR="001E6FB8" w:rsidRPr="00E141F1" w:rsidRDefault="001E6FB8" w:rsidP="001E6FB8">
      <w:pPr>
        <w:spacing w:line="240" w:lineRule="auto"/>
        <w:rPr>
          <w:rFonts w:cs="Arial"/>
        </w:rPr>
      </w:pPr>
    </w:p>
    <w:tbl>
      <w:tblPr>
        <w:tblW w:w="9705" w:type="dxa"/>
        <w:tblLayout w:type="fixed"/>
        <w:tblCellMar>
          <w:left w:w="0" w:type="dxa"/>
          <w:right w:w="0" w:type="dxa"/>
        </w:tblCellMar>
        <w:tblLook w:val="01E0"/>
      </w:tblPr>
      <w:tblGrid>
        <w:gridCol w:w="9705"/>
      </w:tblGrid>
      <w:tr w:rsidR="001E6FB8" w:rsidRPr="00E141F1" w:rsidTr="001E6FB8">
        <w:trPr>
          <w:trHeight w:val="532"/>
        </w:trPr>
        <w:tc>
          <w:tcPr>
            <w:tcW w:w="9705"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Figure 3.3 Level 1(c)—average time for Telstra to restore fault-affected services</w:t>
            </w:r>
          </w:p>
        </w:tc>
      </w:tr>
      <w:tr w:rsidR="001E6FB8" w:rsidRPr="00E141F1" w:rsidTr="001E6FB8">
        <w:tblPrEx>
          <w:tblCellMar>
            <w:left w:w="108" w:type="dxa"/>
            <w:right w:w="108" w:type="dxa"/>
          </w:tblCellMar>
        </w:tblPrEx>
        <w:trPr>
          <w:trHeight w:val="3640"/>
        </w:trPr>
        <w:tc>
          <w:tcPr>
            <w:tcW w:w="9705" w:type="dxa"/>
            <w:shd w:val="clear" w:color="auto" w:fill="auto"/>
          </w:tcPr>
          <w:p w:rsidR="001E6FB8" w:rsidRPr="00E141F1" w:rsidRDefault="001E6FB8" w:rsidP="001E6FB8">
            <w:pPr>
              <w:keepNext/>
              <w:keepLines/>
              <w:rPr>
                <w:rFonts w:cs="Arial"/>
              </w:rPr>
            </w:pPr>
            <w:r w:rsidRPr="000272A2">
              <w:rPr>
                <w:rFonts w:cs="Arial"/>
                <w:noProof/>
              </w:rPr>
              <w:drawing>
                <wp:inline distT="0" distB="0" distL="0" distR="0">
                  <wp:extent cx="6003235" cy="2832652"/>
                  <wp:effectExtent l="0" t="0" r="0" b="0"/>
                  <wp:docPr id="27"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1E6FB8" w:rsidRPr="00E141F1" w:rsidTr="001E6FB8">
        <w:trPr>
          <w:trHeight w:val="343"/>
        </w:trPr>
        <w:tc>
          <w:tcPr>
            <w:tcW w:w="9705" w:type="dxa"/>
            <w:tcBorders>
              <w:bottom w:val="single" w:sz="2" w:space="0" w:color="505050"/>
            </w:tcBorders>
            <w:shd w:val="clear" w:color="auto" w:fill="auto"/>
          </w:tcPr>
          <w:p w:rsidR="001E6FB8" w:rsidRPr="00E141F1" w:rsidRDefault="001E6FB8" w:rsidP="001E6FB8">
            <w:pPr>
              <w:keepNext/>
              <w:keepLines/>
              <w:widowControl w:val="0"/>
              <w:spacing w:before="120" w:line="240" w:lineRule="auto"/>
              <w:outlineLvl w:val="0"/>
              <w:rPr>
                <w:rFonts w:cs="Arial"/>
                <w:bCs/>
                <w:color w:val="4D4D4F"/>
                <w:kern w:val="32"/>
                <w:sz w:val="53"/>
                <w:szCs w:val="32"/>
              </w:rPr>
            </w:pPr>
            <w:r w:rsidRPr="00E141F1">
              <w:rPr>
                <w:rFonts w:cs="Arial"/>
                <w:i/>
                <w:sz w:val="16"/>
                <w:szCs w:val="16"/>
              </w:rPr>
              <w:t>Source: Telstra.</w:t>
            </w:r>
          </w:p>
        </w:tc>
      </w:tr>
    </w:tbl>
    <w:p w:rsidR="001E6FB8" w:rsidRPr="00E141F1" w:rsidRDefault="001E6FB8" w:rsidP="001E6FB8">
      <w:pPr>
        <w:tabs>
          <w:tab w:val="left" w:pos="1706"/>
        </w:tabs>
        <w:spacing w:line="240" w:lineRule="auto"/>
        <w:rPr>
          <w:rFonts w:cs="Arial"/>
        </w:rPr>
      </w:pPr>
    </w:p>
    <w:p w:rsidR="001E6FB8" w:rsidRDefault="001E6FB8" w:rsidP="001E6FB8">
      <w:pPr>
        <w:spacing w:after="240"/>
        <w:rPr>
          <w:rFonts w:cs="Arial"/>
        </w:rPr>
      </w:pPr>
      <w:r w:rsidRPr="00E141F1">
        <w:rPr>
          <w:rFonts w:cs="Arial"/>
        </w:rPr>
        <w:t>Performance for Level 1(c) indicates that the average time taken to restore fault-affected services increased during 2012–13 compared with previous years. In terms of elapsed time, it took an average of 80 hours to restore services that had a fault in 2012–13 compared to an average of 56 hours in 2011–12. As in previous years, CSG Standard services affected by faults in urban areas usually experienced lower average downtime hours compared to non-urban areas. In terms of elapsed time, it took an average of 76 hours to restore fault-affected services in urban areas and 85 hours in non-urban areas. This compared with 52 hours to restore fault-affected services in urban areas and 63 hours in non-urban areas in 2011–12.</w:t>
      </w:r>
    </w:p>
    <w:p w:rsidR="001E6FB8" w:rsidRDefault="001E6FB8" w:rsidP="001E6FB8">
      <w:pPr>
        <w:spacing w:after="80"/>
        <w:rPr>
          <w:rFonts w:cs="Arial"/>
        </w:rPr>
      </w:pPr>
      <w:r w:rsidRPr="00E141F1">
        <w:rPr>
          <w:rFonts w:cs="Arial"/>
        </w:rPr>
        <w:t>Performance across Level 1</w:t>
      </w:r>
      <w:r>
        <w:rPr>
          <w:rFonts w:cs="Arial"/>
        </w:rPr>
        <w:t>(c)</w:t>
      </w:r>
      <w:r w:rsidRPr="00E141F1">
        <w:rPr>
          <w:rFonts w:cs="Arial"/>
        </w:rPr>
        <w:t xml:space="preserve"> has remained relatively stable since June 2008, with the exception of three notable spikes relating to significant severe weather events and natural disasters that affected eastern Australia at these times. Notwithstanding the cyclical nature of these spikes, the time taken to restore fault-affected services has been abnormally high over the period January 2013 to June 2013. For the period January to June, the average time for Telstra to restore fault-affected services has increased as follows:</w:t>
      </w:r>
    </w:p>
    <w:p w:rsidR="001E6FB8" w:rsidRPr="00E141F1" w:rsidRDefault="001E6FB8" w:rsidP="001E6FB8">
      <w:pPr>
        <w:pStyle w:val="ListBullet"/>
        <w:rPr>
          <w:rFonts w:cs="Arial"/>
        </w:rPr>
      </w:pPr>
      <w:r w:rsidRPr="00E141F1">
        <w:rPr>
          <w:rFonts w:cs="Arial"/>
        </w:rPr>
        <w:t>January to June 2010: 43.8 hours</w:t>
      </w:r>
    </w:p>
    <w:p w:rsidR="001E6FB8" w:rsidRPr="00E141F1" w:rsidRDefault="001E6FB8" w:rsidP="001E6FB8">
      <w:pPr>
        <w:pStyle w:val="ListBullet"/>
        <w:rPr>
          <w:rFonts w:cs="Arial"/>
        </w:rPr>
      </w:pPr>
      <w:r w:rsidRPr="00E141F1">
        <w:rPr>
          <w:rFonts w:cs="Arial"/>
        </w:rPr>
        <w:t>January to June 2011:57.1 hours</w:t>
      </w:r>
    </w:p>
    <w:p w:rsidR="001E6FB8" w:rsidRPr="00E141F1" w:rsidRDefault="001E6FB8" w:rsidP="001E6FB8">
      <w:pPr>
        <w:pStyle w:val="ListBullet"/>
        <w:rPr>
          <w:rFonts w:cs="Arial"/>
        </w:rPr>
      </w:pPr>
      <w:r w:rsidRPr="00E141F1">
        <w:rPr>
          <w:rFonts w:cs="Arial"/>
        </w:rPr>
        <w:t xml:space="preserve">January to June 2012:69.2 hours </w:t>
      </w:r>
    </w:p>
    <w:p w:rsidR="001E6FB8" w:rsidRPr="00E141F1" w:rsidRDefault="001E6FB8" w:rsidP="001E6FB8">
      <w:pPr>
        <w:pStyle w:val="ListBullet"/>
        <w:spacing w:after="240"/>
        <w:rPr>
          <w:rFonts w:cs="Arial"/>
        </w:rPr>
      </w:pPr>
      <w:r w:rsidRPr="00E141F1">
        <w:rPr>
          <w:rFonts w:cs="Arial"/>
        </w:rPr>
        <w:t xml:space="preserve">January to June 2013: 102.5 hours. </w:t>
      </w:r>
    </w:p>
    <w:p w:rsidR="001E6FB8" w:rsidRPr="00E141F1" w:rsidRDefault="001E6FB8" w:rsidP="001E6FB8">
      <w:pPr>
        <w:pStyle w:val="Heading3"/>
      </w:pPr>
      <w:bookmarkStart w:id="384" w:name="_Toc287540195"/>
      <w:bookmarkStart w:id="385" w:name="_Toc308517219"/>
      <w:bookmarkStart w:id="386" w:name="_Toc308523659"/>
      <w:bookmarkStart w:id="387" w:name="_Toc310326876"/>
      <w:bookmarkStart w:id="388" w:name="_Toc341428373"/>
      <w:bookmarkStart w:id="389" w:name="_Toc371589053"/>
      <w:bookmarkStart w:id="390" w:name="_Toc373149115"/>
      <w:r w:rsidRPr="00E141F1">
        <w:t xml:space="preserve">Level 2—local cable run </w:t>
      </w:r>
      <w:proofErr w:type="spellStart"/>
      <w:r w:rsidRPr="00E141F1">
        <w:t>remediations</w:t>
      </w:r>
      <w:bookmarkEnd w:id="384"/>
      <w:bookmarkEnd w:id="385"/>
      <w:bookmarkEnd w:id="386"/>
      <w:bookmarkEnd w:id="387"/>
      <w:bookmarkEnd w:id="388"/>
      <w:bookmarkEnd w:id="389"/>
      <w:bookmarkEnd w:id="390"/>
      <w:proofErr w:type="spellEnd"/>
    </w:p>
    <w:p w:rsidR="001E6FB8" w:rsidRPr="00E141F1" w:rsidRDefault="001E6FB8" w:rsidP="001E6FB8">
      <w:pPr>
        <w:rPr>
          <w:rFonts w:cs="Arial"/>
        </w:rPr>
      </w:pPr>
      <w:r w:rsidRPr="00E141F1">
        <w:rPr>
          <w:rFonts w:cs="Arial"/>
        </w:rPr>
        <w:t xml:space="preserve">Level 2 of the NRF requires Telstra to report on and undertake remediation work on the 40 poorest performing cable runs (a set of 10 or 100 copper wire pairs within a physical cable sheath) each month.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During 2012–13, Telstra completed remediation and monitoring of 483 cable runs, some of which were identified for remediation in previous reporting periods. For the year, Telstra identified the required 480 cable runs to be remediated. Telstra also remediated an additional 208 cable runs associated with the reported cable runs, significantly more than in 2011–12 when it remediated an additional 121 cable runs. Telstra estimated that remediation work undertaken as part of Level 2 of the NRF in 2012–13 improved the reliability of 24,893 services.</w:t>
      </w:r>
    </w:p>
    <w:p w:rsidR="001E6FB8" w:rsidRDefault="001E6FB8" w:rsidP="001E6FB8">
      <w:bookmarkStart w:id="391" w:name="_Toc287540196"/>
      <w:bookmarkStart w:id="392" w:name="_Toc308517220"/>
      <w:bookmarkStart w:id="393" w:name="_Toc308523660"/>
      <w:bookmarkStart w:id="394" w:name="_Toc310326877"/>
      <w:bookmarkStart w:id="395" w:name="_Toc341428374"/>
    </w:p>
    <w:p w:rsidR="001E6FB8" w:rsidRPr="00E141F1" w:rsidRDefault="001E6FB8" w:rsidP="001E6FB8">
      <w:pPr>
        <w:pStyle w:val="Heading3"/>
      </w:pPr>
      <w:bookmarkStart w:id="396" w:name="_Toc371589054"/>
      <w:bookmarkStart w:id="397" w:name="_Toc373149116"/>
      <w:r w:rsidRPr="00E141F1">
        <w:t>Level 3—individual service performance</w:t>
      </w:r>
      <w:bookmarkEnd w:id="391"/>
      <w:bookmarkEnd w:id="392"/>
      <w:bookmarkEnd w:id="393"/>
      <w:bookmarkEnd w:id="394"/>
      <w:bookmarkEnd w:id="395"/>
      <w:bookmarkEnd w:id="396"/>
      <w:bookmarkEnd w:id="397"/>
    </w:p>
    <w:p w:rsidR="001E6FB8" w:rsidRDefault="001E6FB8" w:rsidP="001E6FB8">
      <w:pPr>
        <w:spacing w:after="80"/>
        <w:rPr>
          <w:rFonts w:cs="Arial"/>
        </w:rPr>
      </w:pPr>
      <w:r w:rsidRPr="00E141F1">
        <w:rPr>
          <w:rFonts w:cs="Arial"/>
        </w:rPr>
        <w:t>Telstra is required to take action to prevent an individual CSG Standard-eligible service from experiencing more than either:</w:t>
      </w:r>
    </w:p>
    <w:p w:rsidR="001E6FB8" w:rsidRPr="00E141F1" w:rsidRDefault="001E6FB8" w:rsidP="001E6FB8">
      <w:pPr>
        <w:pStyle w:val="ListBullet"/>
        <w:rPr>
          <w:rFonts w:cs="Arial"/>
        </w:rPr>
      </w:pPr>
      <w:r w:rsidRPr="00E141F1">
        <w:rPr>
          <w:rFonts w:cs="Arial"/>
        </w:rPr>
        <w:t>three faults in a rolling 60-day period—NRF Level 3(a)</w:t>
      </w:r>
    </w:p>
    <w:p w:rsidR="001E6FB8" w:rsidRPr="00E141F1" w:rsidRDefault="001E6FB8" w:rsidP="001E6FB8">
      <w:pPr>
        <w:pStyle w:val="ListBullet"/>
        <w:spacing w:after="240"/>
        <w:rPr>
          <w:rFonts w:cs="Arial"/>
        </w:rPr>
      </w:pPr>
      <w:r w:rsidRPr="00E141F1">
        <w:rPr>
          <w:rFonts w:cs="Arial"/>
        </w:rPr>
        <w:t>four faults in a rolling 365-day period—NRF Level 3(b).</w:t>
      </w:r>
    </w:p>
    <w:p w:rsidR="001E6FB8" w:rsidRPr="00E141F1" w:rsidRDefault="001E6FB8" w:rsidP="001E6FB8">
      <w:pPr>
        <w:rPr>
          <w:rFonts w:cs="Arial"/>
        </w:rPr>
      </w:pPr>
      <w:r w:rsidRPr="00E141F1">
        <w:rPr>
          <w:rFonts w:cs="Arial"/>
        </w:rPr>
        <w:t>Telstra is required to report to the ACMA any services that breach these thresholds, investigate the performance of the service and undertake necessary remediation.</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Figure 3.4 shows that the number of services experiencing four or more faults in a rolling 60-day period or five or more faults in a rolling 365-day period varies </w:t>
      </w:r>
      <w:r w:rsidRPr="00A8565C">
        <w:rPr>
          <w:rFonts w:cs="Arial"/>
        </w:rPr>
        <w:t xml:space="preserve">significantly from </w:t>
      </w:r>
      <w:r>
        <w:rPr>
          <w:rFonts w:cs="Arial"/>
        </w:rPr>
        <w:t xml:space="preserve">month to </w:t>
      </w:r>
      <w:r w:rsidRPr="00A8565C">
        <w:rPr>
          <w:rFonts w:cs="Arial"/>
        </w:rPr>
        <w:t>month.</w:t>
      </w:r>
    </w:p>
    <w:p w:rsidR="001E6FB8"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Tr="001E6FB8">
        <w:trPr>
          <w:trHeight w:val="699"/>
        </w:trPr>
        <w:tc>
          <w:tcPr>
            <w:tcW w:w="9645" w:type="dxa"/>
            <w:tcBorders>
              <w:top w:val="single" w:sz="2" w:space="0" w:color="505050"/>
            </w:tcBorders>
            <w:shd w:val="clear" w:color="auto" w:fill="auto"/>
            <w:vAlign w:val="center"/>
          </w:tcPr>
          <w:p w:rsidR="001E6FB8" w:rsidRPr="00A74B5E" w:rsidRDefault="001E6FB8" w:rsidP="001E6FB8">
            <w:pPr>
              <w:pStyle w:val="Caption"/>
              <w:keepNext/>
            </w:pPr>
            <w:r>
              <w:t xml:space="preserve">Figure </w:t>
            </w:r>
            <w:r w:rsidRPr="00E141F1">
              <w:rPr>
                <w:rFonts w:cs="Arial"/>
              </w:rPr>
              <w:t xml:space="preserve">3.4 Level 3(a) and 3(b)—Telstra CSG Standard services with four or more faults in a rolling </w:t>
            </w:r>
            <w:r>
              <w:rPr>
                <w:rFonts w:cs="Arial"/>
              </w:rPr>
              <w:br/>
            </w:r>
            <w:r w:rsidRPr="00E141F1">
              <w:rPr>
                <w:rFonts w:cs="Arial"/>
              </w:rPr>
              <w:t>60-day period and with five or more faults in a rolling 365-day period</w:t>
            </w:r>
          </w:p>
        </w:tc>
      </w:tr>
      <w:tr w:rsidR="001E6FB8" w:rsidTr="001E6FB8">
        <w:trPr>
          <w:trHeight w:val="3086"/>
        </w:trPr>
        <w:tc>
          <w:tcPr>
            <w:tcW w:w="9645" w:type="dxa"/>
            <w:shd w:val="clear" w:color="auto" w:fill="auto"/>
            <w:tcMar>
              <w:left w:w="28" w:type="dxa"/>
            </w:tcMar>
          </w:tcPr>
          <w:p w:rsidR="001E6FB8" w:rsidRDefault="001E6FB8" w:rsidP="001E6FB8">
            <w:r w:rsidRPr="00CB378F">
              <w:rPr>
                <w:noProof/>
              </w:rPr>
              <w:drawing>
                <wp:inline distT="0" distB="0" distL="0" distR="0">
                  <wp:extent cx="6013174" cy="2812774"/>
                  <wp:effectExtent l="0" t="0" r="0" b="0"/>
                  <wp:docPr id="7"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1E6FB8" w:rsidTr="001E6FB8">
        <w:trPr>
          <w:trHeight w:val="291"/>
        </w:trPr>
        <w:tc>
          <w:tcPr>
            <w:tcW w:w="9645" w:type="dxa"/>
            <w:tcBorders>
              <w:bottom w:val="single" w:sz="2" w:space="0" w:color="505050"/>
            </w:tcBorders>
            <w:shd w:val="clear" w:color="auto" w:fill="auto"/>
          </w:tcPr>
          <w:p w:rsidR="001E6FB8" w:rsidRDefault="001E6FB8" w:rsidP="001E6FB8">
            <w:pPr>
              <w:spacing w:before="240" w:after="60"/>
            </w:pPr>
            <w:r w:rsidRPr="00E141F1">
              <w:rPr>
                <w:rFonts w:cs="Arial"/>
                <w:i/>
                <w:sz w:val="16"/>
                <w:szCs w:val="16"/>
              </w:rPr>
              <w:t>Source: Telstra.</w:t>
            </w:r>
          </w:p>
        </w:tc>
      </w:tr>
    </w:tbl>
    <w:p w:rsidR="001E6FB8" w:rsidRDefault="001E6FB8" w:rsidP="001E6FB8">
      <w:pPr>
        <w:rPr>
          <w:rFonts w:cs="Arial"/>
        </w:rPr>
      </w:pPr>
    </w:p>
    <w:p w:rsidR="001E6FB8" w:rsidRPr="00E141F1" w:rsidRDefault="001E6FB8" w:rsidP="001E6FB8">
      <w:pPr>
        <w:rPr>
          <w:rFonts w:cs="Arial"/>
        </w:rPr>
      </w:pPr>
      <w:r w:rsidRPr="00E141F1">
        <w:rPr>
          <w:rFonts w:cs="Arial"/>
        </w:rPr>
        <w:t>Telstra has reported a slight decrease in the number of services experiencing breaches of the 60-day threshold, reporting 35 breaches per month (on average) in 2012–13 and a total of 414 for the year. In 2011–12, Telstra reported an average of 37 breaches per month and a total of 446 for the year.</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Telstra also reported a slight decrease in the number of services experiencing breaches of the 365-day threshold, with 178 breaches per month (on average) and a total of 2,137 for 2012–13. This compares to 2011–12 where Telstra reported 197 breaches per month (on average) and a total of 2,365 for the year.</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Telstra is required to remediate any service that breaches the fault thresholds and then monitor that service for an eight-month period. If a service experiences another fault during the monitoring period (known as a monitoring period fault), Telstra must report this to the ACMA together with an assessment as to whether the fault is related or unrelated to the original fault(s) that caused the contravention. In 2012–13, Telstra reported 691 monitoring period faults (across 589 individual services) and assessed 19 faults as related to the original contravention. In 201</w:t>
      </w:r>
      <w:r>
        <w:rPr>
          <w:rFonts w:cs="Arial"/>
        </w:rPr>
        <w:t>1</w:t>
      </w:r>
      <w:r w:rsidRPr="00E141F1">
        <w:rPr>
          <w:rFonts w:cs="Arial"/>
        </w:rPr>
        <w:t>–1</w:t>
      </w:r>
      <w:r>
        <w:rPr>
          <w:rFonts w:cs="Arial"/>
        </w:rPr>
        <w:t>2</w:t>
      </w:r>
      <w:r w:rsidRPr="00E141F1">
        <w:rPr>
          <w:rFonts w:cs="Arial"/>
        </w:rPr>
        <w:t>, Telstra reported 811 monitoring period faults (across 685 individual services) and assessed 17 faults as related to the original contravention.</w:t>
      </w:r>
    </w:p>
    <w:p w:rsidR="001E6FB8" w:rsidRPr="00E141F1" w:rsidRDefault="001E6FB8" w:rsidP="001E6FB8">
      <w:pPr>
        <w:rPr>
          <w:rFonts w:cs="Arial"/>
        </w:rPr>
      </w:pPr>
    </w:p>
    <w:p w:rsidR="001E6FB8" w:rsidRPr="00E141F1" w:rsidRDefault="001E6FB8" w:rsidP="001E6FB8">
      <w:pPr>
        <w:rPr>
          <w:rFonts w:cs="Arial"/>
        </w:rPr>
      </w:pPr>
      <w:r w:rsidRPr="00E141F1">
        <w:rPr>
          <w:rFonts w:cs="Arial"/>
        </w:rPr>
        <w:t>Each service reported under Level 3 is required to undergo remediation. Telstra is required to report to the ACMA on the expected date for completion of the remediation and to report on a quarterly basis any services where remediation has not been completed within the expected time frames. In 2012–13, Telstra reported 659 delays to remediation (that is, where remediation was not completed within the expected time frames), with an average reported delay to remediation of 133 days. Some services were reported as experiencing more than one delay.</w:t>
      </w:r>
    </w:p>
    <w:p w:rsidR="001E6FB8" w:rsidRPr="00E141F1" w:rsidRDefault="001E6FB8" w:rsidP="001E6FB8">
      <w:pPr>
        <w:rPr>
          <w:rFonts w:cs="Arial"/>
        </w:rPr>
      </w:pPr>
    </w:p>
    <w:p w:rsidR="001E6FB8" w:rsidRDefault="001E6FB8" w:rsidP="001E6FB8">
      <w:pPr>
        <w:spacing w:line="240" w:lineRule="auto"/>
        <w:rPr>
          <w:rFonts w:cs="Arial"/>
          <w:b/>
          <w:bCs/>
          <w:iCs/>
          <w:sz w:val="28"/>
          <w:szCs w:val="28"/>
        </w:rPr>
      </w:pPr>
      <w:bookmarkStart w:id="398" w:name="_Toc287540197"/>
      <w:bookmarkStart w:id="399" w:name="_Toc308517221"/>
      <w:bookmarkStart w:id="400" w:name="_Toc308523661"/>
      <w:bookmarkStart w:id="401" w:name="_Toc310326878"/>
      <w:bookmarkStart w:id="402" w:name="_Toc341428375"/>
      <w:bookmarkStart w:id="403" w:name="_Toc310326879"/>
      <w:r>
        <w:br w:type="page"/>
      </w:r>
    </w:p>
    <w:p w:rsidR="001E6FB8" w:rsidRPr="00E141F1" w:rsidRDefault="001E6FB8" w:rsidP="001E6FB8">
      <w:pPr>
        <w:pStyle w:val="Heading2"/>
      </w:pPr>
      <w:bookmarkStart w:id="404" w:name="_Toc371589055"/>
      <w:bookmarkStart w:id="405" w:name="_Toc373149117"/>
      <w:r w:rsidRPr="00E141F1">
        <w:t>Priority assistance</w:t>
      </w:r>
      <w:bookmarkEnd w:id="398"/>
      <w:bookmarkEnd w:id="399"/>
      <w:bookmarkEnd w:id="400"/>
      <w:bookmarkEnd w:id="401"/>
      <w:bookmarkEnd w:id="402"/>
      <w:bookmarkEnd w:id="404"/>
      <w:bookmarkEnd w:id="405"/>
    </w:p>
    <w:p w:rsidR="001E6FB8" w:rsidRPr="00E141F1" w:rsidRDefault="001E6FB8" w:rsidP="001E6FB8">
      <w:pPr>
        <w:rPr>
          <w:rFonts w:cs="Arial"/>
        </w:rPr>
      </w:pPr>
      <w:r w:rsidRPr="00E141F1">
        <w:rPr>
          <w:rFonts w:cs="Arial"/>
        </w:rPr>
        <w:t>Priority assistance is the priority telephone connection and repair service for people with a diagnosed life-threatening medical condition who are at risk of suffering a rapid and life-threatening deterioration in their condition. Telstra must offer the service as a requirement of its carrier licence conditions. Other CSPs may offer priority assistance services but are not obliged by regulation to do so.</w:t>
      </w:r>
      <w:r>
        <w:rPr>
          <w:rFonts w:cs="Arial"/>
        </w:rPr>
        <w:t xml:space="preserve"> </w:t>
      </w:r>
      <w:r w:rsidRPr="00E141F1">
        <w:rPr>
          <w:rFonts w:cs="Arial"/>
        </w:rPr>
        <w:t xml:space="preserve">In 2012–13, Primus was the only CSP to voluntarily offer priority assistance services in line with industry code ACIF: C609:2007 Priority Assistance for Life Threatening Medical Conditions.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number of priority assistance customers is presented in Table 3.12. During 2012–13, the number of priority assistance customers increased by 16 per cent. </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Table 3.12 Number of priority assistance customers, at 30 June</w:t>
            </w:r>
          </w:p>
        </w:tc>
      </w:tr>
      <w:tr w:rsidR="001E6FB8" w:rsidRPr="00E141F1" w:rsidTr="001E6FB8">
        <w:trPr>
          <w:trHeight w:val="864"/>
        </w:trPr>
        <w:tc>
          <w:tcPr>
            <w:tcW w:w="9645" w:type="dxa"/>
            <w:shd w:val="clear" w:color="auto" w:fill="auto"/>
            <w:tcMar>
              <w:left w:w="28" w:type="dxa"/>
            </w:tcMar>
          </w:tcPr>
          <w:tbl>
            <w:tblPr>
              <w:tblW w:w="9651" w:type="dxa"/>
              <w:tblInd w:w="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4262"/>
              <w:gridCol w:w="1088"/>
              <w:gridCol w:w="1089"/>
              <w:gridCol w:w="1035"/>
              <w:gridCol w:w="1088"/>
              <w:gridCol w:w="1089"/>
            </w:tblGrid>
            <w:tr w:rsidR="001E6FB8" w:rsidRPr="00E141F1" w:rsidTr="001E6FB8">
              <w:trPr>
                <w:trHeight w:val="321"/>
              </w:trPr>
              <w:tc>
                <w:tcPr>
                  <w:tcW w:w="4262" w:type="dxa"/>
                  <w:shd w:val="clear" w:color="auto" w:fill="00709E"/>
                  <w:tcMar>
                    <w:top w:w="34" w:type="dxa"/>
                    <w:left w:w="113" w:type="dxa"/>
                  </w:tcMar>
                </w:tcPr>
                <w:p w:rsidR="001E6FB8" w:rsidRPr="00E141F1" w:rsidRDefault="001E6FB8" w:rsidP="001E6FB8">
                  <w:pPr>
                    <w:spacing w:before="40" w:after="40" w:line="240" w:lineRule="auto"/>
                    <w:ind w:right="87"/>
                    <w:jc w:val="right"/>
                    <w:rPr>
                      <w:rFonts w:cs="Arial"/>
                      <w:b/>
                      <w:color w:val="FFFFFF" w:themeColor="background1"/>
                      <w:sz w:val="18"/>
                      <w:szCs w:val="18"/>
                    </w:rPr>
                  </w:pPr>
                </w:p>
              </w:tc>
              <w:tc>
                <w:tcPr>
                  <w:tcW w:w="1088" w:type="dxa"/>
                  <w:shd w:val="clear" w:color="auto" w:fill="00709E"/>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2009</w:t>
                  </w:r>
                </w:p>
              </w:tc>
              <w:tc>
                <w:tcPr>
                  <w:tcW w:w="1089" w:type="dxa"/>
                  <w:shd w:val="clear" w:color="auto" w:fill="00709E"/>
                  <w:tcMar>
                    <w:left w:w="113" w:type="dxa"/>
                  </w:tcMar>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2010</w:t>
                  </w:r>
                </w:p>
              </w:tc>
              <w:tc>
                <w:tcPr>
                  <w:tcW w:w="1035" w:type="dxa"/>
                  <w:shd w:val="clear" w:color="auto" w:fill="00709E"/>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2011</w:t>
                  </w:r>
                </w:p>
              </w:tc>
              <w:tc>
                <w:tcPr>
                  <w:tcW w:w="1088" w:type="dxa"/>
                  <w:shd w:val="clear" w:color="auto" w:fill="00709E"/>
                  <w:tcMar>
                    <w:left w:w="113" w:type="dxa"/>
                  </w:tcMar>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2012</w:t>
                  </w:r>
                </w:p>
              </w:tc>
              <w:tc>
                <w:tcPr>
                  <w:tcW w:w="1089" w:type="dxa"/>
                  <w:shd w:val="clear" w:color="auto" w:fill="00709E"/>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2013</w:t>
                  </w:r>
                </w:p>
              </w:tc>
            </w:tr>
            <w:tr w:rsidR="001E6FB8" w:rsidRPr="00E141F1" w:rsidTr="001E6FB8">
              <w:trPr>
                <w:trHeight w:val="318"/>
              </w:trPr>
              <w:tc>
                <w:tcPr>
                  <w:tcW w:w="4262" w:type="dxa"/>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Telstra</w:t>
                  </w:r>
                </w:p>
                <w:p w:rsidR="001E6FB8" w:rsidRPr="00E141F1" w:rsidRDefault="001E6FB8" w:rsidP="001E6FB8">
                  <w:pPr>
                    <w:rPr>
                      <w:rFonts w:cs="Arial"/>
                      <w:sz w:val="18"/>
                      <w:szCs w:val="18"/>
                    </w:rPr>
                  </w:pPr>
                  <w:r w:rsidRPr="00E141F1">
                    <w:rPr>
                      <w:rFonts w:cs="Arial"/>
                      <w:sz w:val="18"/>
                      <w:szCs w:val="18"/>
                    </w:rPr>
                    <w:t>Total</w:t>
                  </w:r>
                </w:p>
                <w:p w:rsidR="001E6FB8" w:rsidRPr="00E141F1" w:rsidRDefault="001E6FB8" w:rsidP="001E6FB8">
                  <w:pPr>
                    <w:rPr>
                      <w:rFonts w:cs="Arial"/>
                      <w:sz w:val="18"/>
                      <w:szCs w:val="18"/>
                    </w:rPr>
                  </w:pPr>
                  <w:r w:rsidRPr="00E141F1">
                    <w:rPr>
                      <w:rFonts w:cs="Arial"/>
                      <w:sz w:val="18"/>
                      <w:szCs w:val="18"/>
                    </w:rPr>
                    <w:t>Provisional</w:t>
                  </w:r>
                </w:p>
                <w:p w:rsidR="001E6FB8" w:rsidRPr="00E141F1" w:rsidRDefault="001E6FB8" w:rsidP="001E6FB8">
                  <w:pPr>
                    <w:rPr>
                      <w:rFonts w:cs="Arial"/>
                      <w:sz w:val="18"/>
                      <w:szCs w:val="18"/>
                    </w:rPr>
                  </w:pPr>
                  <w:r w:rsidRPr="00E141F1">
                    <w:rPr>
                      <w:rFonts w:cs="Arial"/>
                      <w:sz w:val="18"/>
                      <w:szCs w:val="18"/>
                    </w:rPr>
                    <w:t>Validated</w:t>
                  </w:r>
                </w:p>
              </w:tc>
              <w:tc>
                <w:tcPr>
                  <w:tcW w:w="1088" w:type="dxa"/>
                  <w:shd w:val="clear" w:color="auto" w:fill="auto"/>
                  <w:vAlign w:val="center"/>
                </w:tcPr>
                <w:p w:rsidR="001E6FB8" w:rsidRPr="00E141F1" w:rsidRDefault="001E6FB8" w:rsidP="001E6FB8">
                  <w:pPr>
                    <w:ind w:right="109"/>
                    <w:jc w:val="right"/>
                    <w:rPr>
                      <w:rFonts w:cs="Arial"/>
                      <w:sz w:val="18"/>
                      <w:szCs w:val="18"/>
                    </w:rPr>
                  </w:pPr>
                </w:p>
                <w:p w:rsidR="001E6FB8" w:rsidRPr="00E141F1" w:rsidRDefault="001E6FB8" w:rsidP="001E6FB8">
                  <w:pPr>
                    <w:ind w:right="109"/>
                    <w:jc w:val="right"/>
                    <w:rPr>
                      <w:rFonts w:cs="Arial"/>
                      <w:sz w:val="18"/>
                      <w:szCs w:val="18"/>
                    </w:rPr>
                  </w:pPr>
                  <w:r w:rsidRPr="00E141F1">
                    <w:rPr>
                      <w:rFonts w:cs="Arial"/>
                      <w:sz w:val="18"/>
                      <w:szCs w:val="18"/>
                    </w:rPr>
                    <w:t>195,173</w:t>
                  </w:r>
                </w:p>
                <w:p w:rsidR="001E6FB8" w:rsidRPr="00E141F1" w:rsidRDefault="001E6FB8" w:rsidP="001E6FB8">
                  <w:pPr>
                    <w:ind w:right="109"/>
                    <w:jc w:val="right"/>
                    <w:rPr>
                      <w:rFonts w:cs="Arial"/>
                      <w:sz w:val="18"/>
                      <w:szCs w:val="18"/>
                    </w:rPr>
                  </w:pPr>
                  <w:r w:rsidRPr="00E141F1">
                    <w:rPr>
                      <w:rFonts w:cs="Arial"/>
                      <w:sz w:val="18"/>
                      <w:szCs w:val="18"/>
                    </w:rPr>
                    <w:t>73,426</w:t>
                  </w:r>
                </w:p>
                <w:p w:rsidR="001E6FB8" w:rsidRPr="00E141F1" w:rsidRDefault="001E6FB8" w:rsidP="001E6FB8">
                  <w:pPr>
                    <w:ind w:right="109"/>
                    <w:jc w:val="right"/>
                    <w:rPr>
                      <w:rFonts w:cs="Arial"/>
                      <w:sz w:val="18"/>
                      <w:szCs w:val="18"/>
                    </w:rPr>
                  </w:pPr>
                  <w:r w:rsidRPr="00E141F1">
                    <w:rPr>
                      <w:rFonts w:cs="Arial"/>
                      <w:sz w:val="18"/>
                      <w:szCs w:val="18"/>
                    </w:rPr>
                    <w:t>121,747</w:t>
                  </w:r>
                </w:p>
              </w:tc>
              <w:tc>
                <w:tcPr>
                  <w:tcW w:w="1089" w:type="dxa"/>
                  <w:tcMar>
                    <w:left w:w="113" w:type="dxa"/>
                  </w:tcMar>
                  <w:vAlign w:val="center"/>
                </w:tcPr>
                <w:p w:rsidR="001E6FB8" w:rsidRPr="00E141F1" w:rsidRDefault="001E6FB8" w:rsidP="001E6FB8">
                  <w:pPr>
                    <w:ind w:right="109"/>
                    <w:jc w:val="right"/>
                    <w:rPr>
                      <w:rFonts w:cs="Arial"/>
                      <w:sz w:val="18"/>
                      <w:szCs w:val="18"/>
                    </w:rPr>
                  </w:pPr>
                </w:p>
                <w:p w:rsidR="001E6FB8" w:rsidRPr="00E141F1" w:rsidRDefault="001E6FB8" w:rsidP="001E6FB8">
                  <w:pPr>
                    <w:ind w:right="109"/>
                    <w:jc w:val="right"/>
                    <w:rPr>
                      <w:rFonts w:cs="Arial"/>
                      <w:sz w:val="18"/>
                      <w:szCs w:val="18"/>
                    </w:rPr>
                  </w:pPr>
                  <w:r w:rsidRPr="00E141F1">
                    <w:rPr>
                      <w:rFonts w:cs="Arial"/>
                      <w:sz w:val="18"/>
                      <w:szCs w:val="18"/>
                    </w:rPr>
                    <w:t>210,462</w:t>
                  </w:r>
                </w:p>
                <w:p w:rsidR="001E6FB8" w:rsidRPr="00E141F1" w:rsidRDefault="001E6FB8" w:rsidP="001E6FB8">
                  <w:pPr>
                    <w:ind w:right="109"/>
                    <w:jc w:val="right"/>
                    <w:rPr>
                      <w:rFonts w:cs="Arial"/>
                      <w:sz w:val="18"/>
                      <w:szCs w:val="18"/>
                    </w:rPr>
                  </w:pPr>
                  <w:r w:rsidRPr="00E141F1">
                    <w:rPr>
                      <w:rFonts w:cs="Arial"/>
                      <w:sz w:val="18"/>
                      <w:szCs w:val="18"/>
                    </w:rPr>
                    <w:t>85,587</w:t>
                  </w:r>
                </w:p>
                <w:p w:rsidR="001E6FB8" w:rsidRPr="00E141F1" w:rsidRDefault="001E6FB8" w:rsidP="001E6FB8">
                  <w:pPr>
                    <w:ind w:right="109"/>
                    <w:jc w:val="right"/>
                    <w:rPr>
                      <w:rFonts w:cs="Arial"/>
                      <w:sz w:val="18"/>
                      <w:szCs w:val="18"/>
                    </w:rPr>
                  </w:pPr>
                  <w:r w:rsidRPr="00E141F1">
                    <w:rPr>
                      <w:rFonts w:cs="Arial"/>
                      <w:sz w:val="18"/>
                      <w:szCs w:val="18"/>
                    </w:rPr>
                    <w:t>124,875</w:t>
                  </w:r>
                </w:p>
              </w:tc>
              <w:tc>
                <w:tcPr>
                  <w:tcW w:w="1035" w:type="dxa"/>
                  <w:shd w:val="clear" w:color="auto" w:fill="auto"/>
                  <w:vAlign w:val="center"/>
                </w:tcPr>
                <w:p w:rsidR="001E6FB8" w:rsidRPr="00E141F1" w:rsidRDefault="001E6FB8" w:rsidP="001E6FB8">
                  <w:pPr>
                    <w:ind w:right="109"/>
                    <w:jc w:val="right"/>
                    <w:rPr>
                      <w:rFonts w:cs="Arial"/>
                      <w:sz w:val="18"/>
                      <w:szCs w:val="18"/>
                    </w:rPr>
                  </w:pPr>
                </w:p>
                <w:p w:rsidR="001E6FB8" w:rsidRPr="00E141F1" w:rsidRDefault="001E6FB8" w:rsidP="001E6FB8">
                  <w:pPr>
                    <w:ind w:right="109"/>
                    <w:jc w:val="right"/>
                    <w:rPr>
                      <w:rFonts w:cs="Arial"/>
                      <w:sz w:val="18"/>
                      <w:szCs w:val="18"/>
                    </w:rPr>
                  </w:pPr>
                  <w:r w:rsidRPr="00E141F1">
                    <w:rPr>
                      <w:rFonts w:cs="Arial"/>
                      <w:sz w:val="18"/>
                      <w:szCs w:val="18"/>
                    </w:rPr>
                    <w:t>188,974</w:t>
                  </w:r>
                </w:p>
                <w:p w:rsidR="001E6FB8" w:rsidRPr="00E141F1" w:rsidRDefault="001E6FB8" w:rsidP="001E6FB8">
                  <w:pPr>
                    <w:ind w:right="109"/>
                    <w:jc w:val="right"/>
                    <w:rPr>
                      <w:rFonts w:cs="Arial"/>
                      <w:sz w:val="18"/>
                      <w:szCs w:val="18"/>
                    </w:rPr>
                  </w:pPr>
                  <w:r w:rsidRPr="00E141F1">
                    <w:rPr>
                      <w:rFonts w:cs="Arial"/>
                      <w:sz w:val="18"/>
                      <w:szCs w:val="18"/>
                    </w:rPr>
                    <w:t>54,152</w:t>
                  </w:r>
                </w:p>
                <w:p w:rsidR="001E6FB8" w:rsidRPr="00E141F1" w:rsidRDefault="001E6FB8" w:rsidP="001E6FB8">
                  <w:pPr>
                    <w:ind w:right="109"/>
                    <w:jc w:val="right"/>
                    <w:rPr>
                      <w:rFonts w:cs="Arial"/>
                      <w:sz w:val="18"/>
                      <w:szCs w:val="18"/>
                    </w:rPr>
                  </w:pPr>
                  <w:r w:rsidRPr="00E141F1">
                    <w:rPr>
                      <w:rFonts w:cs="Arial"/>
                      <w:sz w:val="18"/>
                      <w:szCs w:val="18"/>
                    </w:rPr>
                    <w:t>134,822</w:t>
                  </w:r>
                </w:p>
              </w:tc>
              <w:tc>
                <w:tcPr>
                  <w:tcW w:w="1088" w:type="dxa"/>
                  <w:tcMar>
                    <w:left w:w="113" w:type="dxa"/>
                  </w:tcMar>
                  <w:vAlign w:val="center"/>
                </w:tcPr>
                <w:p w:rsidR="001E6FB8" w:rsidRPr="00E141F1" w:rsidRDefault="001E6FB8" w:rsidP="001E6FB8">
                  <w:pPr>
                    <w:ind w:right="109"/>
                    <w:jc w:val="right"/>
                    <w:rPr>
                      <w:rFonts w:cs="Arial"/>
                      <w:sz w:val="18"/>
                      <w:szCs w:val="18"/>
                    </w:rPr>
                  </w:pPr>
                </w:p>
                <w:p w:rsidR="001E6FB8" w:rsidRPr="00E141F1" w:rsidRDefault="001E6FB8" w:rsidP="001E6FB8">
                  <w:pPr>
                    <w:ind w:right="109"/>
                    <w:jc w:val="right"/>
                    <w:rPr>
                      <w:rFonts w:cs="Arial"/>
                      <w:sz w:val="18"/>
                      <w:szCs w:val="18"/>
                    </w:rPr>
                  </w:pPr>
                  <w:r w:rsidRPr="00E141F1">
                    <w:rPr>
                      <w:rFonts w:cs="Arial"/>
                      <w:sz w:val="18"/>
                      <w:szCs w:val="18"/>
                    </w:rPr>
                    <w:t>221,350</w:t>
                  </w:r>
                </w:p>
                <w:p w:rsidR="001E6FB8" w:rsidRPr="00E141F1" w:rsidRDefault="001E6FB8" w:rsidP="001E6FB8">
                  <w:pPr>
                    <w:ind w:right="109"/>
                    <w:jc w:val="right"/>
                    <w:rPr>
                      <w:rFonts w:cs="Arial"/>
                      <w:sz w:val="18"/>
                      <w:szCs w:val="18"/>
                    </w:rPr>
                  </w:pPr>
                  <w:r w:rsidRPr="00E141F1">
                    <w:rPr>
                      <w:rFonts w:cs="Arial"/>
                      <w:sz w:val="18"/>
                      <w:szCs w:val="18"/>
                    </w:rPr>
                    <w:t>91,009</w:t>
                  </w:r>
                </w:p>
                <w:p w:rsidR="001E6FB8" w:rsidRPr="00E141F1" w:rsidRDefault="001E6FB8" w:rsidP="001E6FB8">
                  <w:pPr>
                    <w:ind w:right="109"/>
                    <w:jc w:val="right"/>
                    <w:rPr>
                      <w:rFonts w:cs="Arial"/>
                      <w:sz w:val="18"/>
                      <w:szCs w:val="18"/>
                    </w:rPr>
                  </w:pPr>
                  <w:r w:rsidRPr="00E141F1">
                    <w:rPr>
                      <w:rFonts w:cs="Arial"/>
                      <w:sz w:val="18"/>
                      <w:szCs w:val="18"/>
                    </w:rPr>
                    <w:t>130,341</w:t>
                  </w:r>
                </w:p>
              </w:tc>
              <w:tc>
                <w:tcPr>
                  <w:tcW w:w="1089" w:type="dxa"/>
                  <w:vAlign w:val="center"/>
                </w:tcPr>
                <w:p w:rsidR="001E6FB8" w:rsidRPr="00E141F1" w:rsidRDefault="001E6FB8" w:rsidP="001E6FB8">
                  <w:pPr>
                    <w:ind w:right="109"/>
                    <w:jc w:val="right"/>
                    <w:rPr>
                      <w:rFonts w:cs="Arial"/>
                      <w:sz w:val="18"/>
                      <w:szCs w:val="18"/>
                    </w:rPr>
                  </w:pPr>
                </w:p>
                <w:p w:rsidR="001E6FB8" w:rsidRPr="00E141F1" w:rsidRDefault="001E6FB8" w:rsidP="001E6FB8">
                  <w:pPr>
                    <w:ind w:right="109"/>
                    <w:jc w:val="right"/>
                    <w:rPr>
                      <w:rFonts w:cs="Arial"/>
                      <w:sz w:val="18"/>
                      <w:szCs w:val="18"/>
                    </w:rPr>
                  </w:pPr>
                  <w:r w:rsidRPr="00E141F1">
                    <w:rPr>
                      <w:rFonts w:cs="Arial"/>
                      <w:sz w:val="18"/>
                      <w:szCs w:val="18"/>
                    </w:rPr>
                    <w:t>256,549</w:t>
                  </w:r>
                </w:p>
                <w:p w:rsidR="001E6FB8" w:rsidRPr="00E141F1" w:rsidRDefault="001E6FB8" w:rsidP="001E6FB8">
                  <w:pPr>
                    <w:ind w:right="109"/>
                    <w:jc w:val="right"/>
                    <w:rPr>
                      <w:rFonts w:cs="Arial"/>
                      <w:sz w:val="18"/>
                      <w:szCs w:val="18"/>
                    </w:rPr>
                  </w:pPr>
                  <w:r w:rsidRPr="00E141F1">
                    <w:rPr>
                      <w:rFonts w:cs="Arial"/>
                      <w:sz w:val="18"/>
                      <w:szCs w:val="18"/>
                    </w:rPr>
                    <w:t>144,435</w:t>
                  </w:r>
                </w:p>
                <w:p w:rsidR="001E6FB8" w:rsidRPr="00E141F1" w:rsidRDefault="001E6FB8" w:rsidP="001E6FB8">
                  <w:pPr>
                    <w:ind w:right="109"/>
                    <w:jc w:val="right"/>
                    <w:rPr>
                      <w:rFonts w:cs="Arial"/>
                      <w:sz w:val="18"/>
                      <w:szCs w:val="18"/>
                    </w:rPr>
                  </w:pPr>
                  <w:r w:rsidRPr="00E141F1">
                    <w:rPr>
                      <w:rFonts w:cs="Arial"/>
                      <w:sz w:val="18"/>
                      <w:szCs w:val="18"/>
                    </w:rPr>
                    <w:t>112,114</w:t>
                  </w:r>
                </w:p>
              </w:tc>
            </w:tr>
            <w:tr w:rsidR="001E6FB8" w:rsidRPr="00E141F1" w:rsidTr="001E6FB8">
              <w:trPr>
                <w:trHeight w:val="318"/>
              </w:trPr>
              <w:tc>
                <w:tcPr>
                  <w:tcW w:w="4262" w:type="dxa"/>
                  <w:shd w:val="clear" w:color="auto" w:fill="auto"/>
                  <w:tcMar>
                    <w:left w:w="113" w:type="dxa"/>
                  </w:tcMar>
                  <w:vAlign w:val="center"/>
                </w:tcPr>
                <w:p w:rsidR="001E6FB8" w:rsidRPr="00E141F1" w:rsidRDefault="001E6FB8" w:rsidP="001E6FB8">
                  <w:pPr>
                    <w:rPr>
                      <w:rFonts w:cs="Arial"/>
                      <w:sz w:val="18"/>
                      <w:szCs w:val="18"/>
                    </w:rPr>
                  </w:pPr>
                  <w:proofErr w:type="spellStart"/>
                  <w:r w:rsidRPr="00E141F1">
                    <w:rPr>
                      <w:rFonts w:cs="Arial"/>
                      <w:sz w:val="18"/>
                      <w:szCs w:val="18"/>
                    </w:rPr>
                    <w:t>iiNet</w:t>
                  </w:r>
                  <w:proofErr w:type="spellEnd"/>
                </w:p>
                <w:p w:rsidR="001E6FB8" w:rsidRPr="00E141F1" w:rsidRDefault="001E6FB8" w:rsidP="001E6FB8">
                  <w:pPr>
                    <w:rPr>
                      <w:rFonts w:cs="Arial"/>
                      <w:sz w:val="18"/>
                      <w:szCs w:val="18"/>
                    </w:rPr>
                  </w:pPr>
                  <w:r w:rsidRPr="00E141F1">
                    <w:rPr>
                      <w:rFonts w:cs="Arial"/>
                      <w:sz w:val="18"/>
                      <w:szCs w:val="18"/>
                    </w:rPr>
                    <w:t>Total</w:t>
                  </w:r>
                </w:p>
                <w:p w:rsidR="001E6FB8" w:rsidRPr="00E141F1" w:rsidRDefault="001E6FB8" w:rsidP="001E6FB8">
                  <w:pPr>
                    <w:rPr>
                      <w:rFonts w:cs="Arial"/>
                      <w:sz w:val="18"/>
                      <w:szCs w:val="18"/>
                    </w:rPr>
                  </w:pPr>
                  <w:r w:rsidRPr="00E141F1">
                    <w:rPr>
                      <w:rFonts w:cs="Arial"/>
                      <w:sz w:val="18"/>
                      <w:szCs w:val="18"/>
                    </w:rPr>
                    <w:t>Provisional</w:t>
                  </w:r>
                </w:p>
                <w:p w:rsidR="001E6FB8" w:rsidRPr="00E141F1" w:rsidRDefault="001E6FB8" w:rsidP="001E6FB8">
                  <w:pPr>
                    <w:rPr>
                      <w:rFonts w:cs="Arial"/>
                      <w:sz w:val="18"/>
                      <w:szCs w:val="18"/>
                    </w:rPr>
                  </w:pPr>
                  <w:r w:rsidRPr="00E141F1">
                    <w:rPr>
                      <w:rFonts w:cs="Arial"/>
                      <w:sz w:val="18"/>
                      <w:szCs w:val="18"/>
                    </w:rPr>
                    <w:t>Validated</w:t>
                  </w:r>
                </w:p>
              </w:tc>
              <w:tc>
                <w:tcPr>
                  <w:tcW w:w="1088" w:type="dxa"/>
                  <w:shd w:val="clear" w:color="auto" w:fill="auto"/>
                  <w:vAlign w:val="center"/>
                </w:tcPr>
                <w:p w:rsidR="001E6FB8" w:rsidRPr="00E141F1" w:rsidRDefault="001E6FB8" w:rsidP="001E6FB8">
                  <w:pPr>
                    <w:ind w:right="109"/>
                    <w:jc w:val="right"/>
                    <w:rPr>
                      <w:rFonts w:cs="Arial"/>
                      <w:sz w:val="18"/>
                      <w:szCs w:val="18"/>
                    </w:rPr>
                  </w:pPr>
                  <w:r w:rsidRPr="00E141F1">
                    <w:rPr>
                      <w:rFonts w:cs="Arial"/>
                      <w:sz w:val="18"/>
                      <w:szCs w:val="18"/>
                    </w:rPr>
                    <w:t>n/a</w:t>
                  </w:r>
                </w:p>
                <w:p w:rsidR="001E6FB8" w:rsidRPr="00E141F1" w:rsidRDefault="001E6FB8" w:rsidP="001E6FB8">
                  <w:pPr>
                    <w:ind w:right="109"/>
                    <w:jc w:val="right"/>
                    <w:rPr>
                      <w:rFonts w:cs="Arial"/>
                      <w:sz w:val="18"/>
                      <w:szCs w:val="18"/>
                    </w:rPr>
                  </w:pPr>
                  <w:r w:rsidRPr="00E141F1">
                    <w:rPr>
                      <w:rFonts w:cs="Arial"/>
                      <w:sz w:val="18"/>
                      <w:szCs w:val="18"/>
                    </w:rPr>
                    <w:t>n/a</w:t>
                  </w:r>
                </w:p>
                <w:p w:rsidR="001E6FB8" w:rsidRPr="00E141F1" w:rsidRDefault="001E6FB8" w:rsidP="001E6FB8">
                  <w:pPr>
                    <w:ind w:right="109"/>
                    <w:jc w:val="right"/>
                    <w:rPr>
                      <w:rFonts w:cs="Arial"/>
                      <w:sz w:val="18"/>
                      <w:szCs w:val="18"/>
                    </w:rPr>
                  </w:pPr>
                  <w:r w:rsidRPr="00E141F1">
                    <w:rPr>
                      <w:rFonts w:cs="Arial"/>
                      <w:sz w:val="18"/>
                      <w:szCs w:val="18"/>
                    </w:rPr>
                    <w:t>n/a</w:t>
                  </w:r>
                </w:p>
              </w:tc>
              <w:tc>
                <w:tcPr>
                  <w:tcW w:w="1089" w:type="dxa"/>
                  <w:tcMar>
                    <w:left w:w="113" w:type="dxa"/>
                  </w:tcMar>
                  <w:vAlign w:val="center"/>
                </w:tcPr>
                <w:p w:rsidR="001E6FB8" w:rsidRPr="00E141F1" w:rsidRDefault="001E6FB8" w:rsidP="001E6FB8">
                  <w:pPr>
                    <w:ind w:right="109"/>
                    <w:jc w:val="right"/>
                    <w:rPr>
                      <w:rFonts w:cs="Arial"/>
                      <w:sz w:val="18"/>
                      <w:szCs w:val="18"/>
                    </w:rPr>
                  </w:pPr>
                  <w:r w:rsidRPr="00E141F1">
                    <w:rPr>
                      <w:rFonts w:cs="Arial"/>
                      <w:sz w:val="18"/>
                      <w:szCs w:val="18"/>
                    </w:rPr>
                    <w:t>n/a</w:t>
                  </w:r>
                </w:p>
                <w:p w:rsidR="001E6FB8" w:rsidRPr="00E141F1" w:rsidRDefault="001E6FB8" w:rsidP="001E6FB8">
                  <w:pPr>
                    <w:ind w:right="109"/>
                    <w:jc w:val="right"/>
                    <w:rPr>
                      <w:rFonts w:cs="Arial"/>
                      <w:sz w:val="18"/>
                      <w:szCs w:val="18"/>
                    </w:rPr>
                  </w:pPr>
                  <w:r w:rsidRPr="00E141F1">
                    <w:rPr>
                      <w:rFonts w:cs="Arial"/>
                      <w:sz w:val="18"/>
                      <w:szCs w:val="18"/>
                    </w:rPr>
                    <w:t>n/a</w:t>
                  </w:r>
                </w:p>
                <w:p w:rsidR="001E6FB8" w:rsidRPr="00E141F1" w:rsidRDefault="001E6FB8" w:rsidP="001E6FB8">
                  <w:pPr>
                    <w:ind w:right="109"/>
                    <w:jc w:val="right"/>
                    <w:rPr>
                      <w:rFonts w:cs="Arial"/>
                      <w:sz w:val="18"/>
                      <w:szCs w:val="18"/>
                    </w:rPr>
                  </w:pPr>
                  <w:r w:rsidRPr="00E141F1">
                    <w:rPr>
                      <w:rFonts w:cs="Arial"/>
                      <w:sz w:val="18"/>
                      <w:szCs w:val="18"/>
                    </w:rPr>
                    <w:t>n/a</w:t>
                  </w:r>
                </w:p>
              </w:tc>
              <w:tc>
                <w:tcPr>
                  <w:tcW w:w="1035" w:type="dxa"/>
                  <w:shd w:val="clear" w:color="auto" w:fill="auto"/>
                  <w:vAlign w:val="center"/>
                </w:tcPr>
                <w:p w:rsidR="001E6FB8" w:rsidRPr="00E141F1" w:rsidRDefault="001E6FB8" w:rsidP="001E6FB8">
                  <w:pPr>
                    <w:ind w:right="109"/>
                    <w:jc w:val="right"/>
                    <w:rPr>
                      <w:rFonts w:cs="Arial"/>
                      <w:sz w:val="18"/>
                      <w:szCs w:val="18"/>
                    </w:rPr>
                  </w:pPr>
                  <w:r w:rsidRPr="00E141F1">
                    <w:rPr>
                      <w:rFonts w:cs="Arial"/>
                      <w:sz w:val="18"/>
                      <w:szCs w:val="18"/>
                    </w:rPr>
                    <w:t>2,417*</w:t>
                  </w:r>
                </w:p>
                <w:p w:rsidR="001E6FB8" w:rsidRPr="00E141F1" w:rsidRDefault="001E6FB8" w:rsidP="001E6FB8">
                  <w:pPr>
                    <w:ind w:right="109"/>
                    <w:jc w:val="right"/>
                    <w:rPr>
                      <w:rFonts w:cs="Arial"/>
                      <w:sz w:val="18"/>
                      <w:szCs w:val="18"/>
                    </w:rPr>
                  </w:pPr>
                  <w:r w:rsidRPr="00E141F1">
                    <w:rPr>
                      <w:rFonts w:cs="Arial"/>
                      <w:sz w:val="18"/>
                      <w:szCs w:val="18"/>
                    </w:rPr>
                    <w:t>49</w:t>
                  </w:r>
                </w:p>
                <w:p w:rsidR="001E6FB8" w:rsidRPr="00E141F1" w:rsidRDefault="001E6FB8" w:rsidP="001E6FB8">
                  <w:pPr>
                    <w:ind w:right="109"/>
                    <w:jc w:val="right"/>
                    <w:rPr>
                      <w:rFonts w:cs="Arial"/>
                      <w:sz w:val="18"/>
                      <w:szCs w:val="18"/>
                    </w:rPr>
                  </w:pPr>
                  <w:r w:rsidRPr="00E141F1">
                    <w:rPr>
                      <w:rFonts w:cs="Arial"/>
                      <w:sz w:val="18"/>
                      <w:szCs w:val="18"/>
                    </w:rPr>
                    <w:t>2,368</w:t>
                  </w:r>
                </w:p>
              </w:tc>
              <w:tc>
                <w:tcPr>
                  <w:tcW w:w="1088" w:type="dxa"/>
                  <w:tcMar>
                    <w:left w:w="113" w:type="dxa"/>
                  </w:tcMar>
                  <w:vAlign w:val="center"/>
                </w:tcPr>
                <w:p w:rsidR="001E6FB8" w:rsidRPr="00E141F1" w:rsidRDefault="001E6FB8" w:rsidP="001E6FB8">
                  <w:pPr>
                    <w:ind w:right="109"/>
                    <w:jc w:val="right"/>
                    <w:rPr>
                      <w:rFonts w:cs="Arial"/>
                      <w:sz w:val="18"/>
                      <w:szCs w:val="18"/>
                      <w:vertAlign w:val="superscript"/>
                    </w:rPr>
                  </w:pPr>
                  <w:r w:rsidRPr="00E141F1">
                    <w:rPr>
                      <w:rFonts w:cs="Arial"/>
                      <w:sz w:val="18"/>
                      <w:szCs w:val="18"/>
                    </w:rPr>
                    <w:t>7</w:t>
                  </w:r>
                  <w:r w:rsidRPr="00E141F1">
                    <w:rPr>
                      <w:rFonts w:cs="Arial"/>
                      <w:sz w:val="18"/>
                      <w:szCs w:val="18"/>
                      <w:vertAlign w:val="superscript"/>
                    </w:rPr>
                    <w:t>†</w:t>
                  </w:r>
                </w:p>
                <w:p w:rsidR="001E6FB8" w:rsidRPr="00E141F1" w:rsidRDefault="001E6FB8" w:rsidP="001E6FB8">
                  <w:pPr>
                    <w:ind w:right="109"/>
                    <w:jc w:val="right"/>
                    <w:rPr>
                      <w:rFonts w:cs="Arial"/>
                      <w:sz w:val="18"/>
                      <w:szCs w:val="18"/>
                      <w:vertAlign w:val="superscript"/>
                    </w:rPr>
                  </w:pPr>
                  <w:r w:rsidRPr="00E141F1">
                    <w:rPr>
                      <w:rFonts w:cs="Arial"/>
                      <w:sz w:val="18"/>
                      <w:szCs w:val="18"/>
                      <w:vertAlign w:val="superscript"/>
                    </w:rPr>
                    <w:t>0</w:t>
                  </w:r>
                </w:p>
                <w:p w:rsidR="001E6FB8" w:rsidRPr="00E141F1" w:rsidRDefault="001E6FB8" w:rsidP="001E6FB8">
                  <w:pPr>
                    <w:ind w:right="109"/>
                    <w:jc w:val="right"/>
                    <w:rPr>
                      <w:rFonts w:cs="Arial"/>
                      <w:sz w:val="18"/>
                      <w:szCs w:val="18"/>
                    </w:rPr>
                  </w:pPr>
                  <w:r w:rsidRPr="00E141F1">
                    <w:rPr>
                      <w:rFonts w:cs="Arial"/>
                      <w:sz w:val="18"/>
                      <w:szCs w:val="18"/>
                    </w:rPr>
                    <w:t>7</w:t>
                  </w:r>
                </w:p>
              </w:tc>
              <w:tc>
                <w:tcPr>
                  <w:tcW w:w="1089" w:type="dxa"/>
                  <w:vAlign w:val="center"/>
                </w:tcPr>
                <w:p w:rsidR="001E6FB8" w:rsidRPr="00E141F1" w:rsidRDefault="001E6FB8" w:rsidP="001E6FB8">
                  <w:pPr>
                    <w:keepNext/>
                    <w:keepLines/>
                    <w:spacing w:before="60"/>
                    <w:ind w:right="109"/>
                    <w:jc w:val="right"/>
                    <w:outlineLvl w:val="2"/>
                    <w:rPr>
                      <w:rFonts w:cs="Arial"/>
                      <w:sz w:val="18"/>
                      <w:szCs w:val="18"/>
                    </w:rPr>
                  </w:pPr>
                  <w:r w:rsidRPr="00E141F1">
                    <w:rPr>
                      <w:rFonts w:cs="Arial"/>
                      <w:sz w:val="18"/>
                      <w:szCs w:val="18"/>
                    </w:rPr>
                    <w:t>0</w:t>
                  </w:r>
                </w:p>
                <w:p w:rsidR="001E6FB8" w:rsidRPr="00E141F1" w:rsidRDefault="001E6FB8" w:rsidP="001E6FB8">
                  <w:pPr>
                    <w:keepNext/>
                    <w:keepLines/>
                    <w:spacing w:before="60"/>
                    <w:ind w:right="109"/>
                    <w:jc w:val="right"/>
                    <w:outlineLvl w:val="2"/>
                    <w:rPr>
                      <w:rFonts w:cs="Arial"/>
                      <w:sz w:val="18"/>
                      <w:szCs w:val="18"/>
                    </w:rPr>
                  </w:pPr>
                  <w:r w:rsidRPr="00E141F1">
                    <w:rPr>
                      <w:rFonts w:cs="Arial"/>
                      <w:sz w:val="18"/>
                      <w:szCs w:val="18"/>
                    </w:rPr>
                    <w:t>0</w:t>
                  </w:r>
                </w:p>
                <w:p w:rsidR="001E6FB8" w:rsidRPr="00E141F1" w:rsidRDefault="001E6FB8" w:rsidP="001E6FB8">
                  <w:pPr>
                    <w:keepNext/>
                    <w:keepLines/>
                    <w:spacing w:before="60"/>
                    <w:ind w:right="109"/>
                    <w:jc w:val="right"/>
                    <w:outlineLvl w:val="2"/>
                    <w:rPr>
                      <w:rFonts w:cs="Arial"/>
                      <w:sz w:val="18"/>
                      <w:szCs w:val="18"/>
                    </w:rPr>
                  </w:pPr>
                  <w:r w:rsidRPr="00E141F1">
                    <w:rPr>
                      <w:rFonts w:cs="Arial"/>
                      <w:sz w:val="18"/>
                      <w:szCs w:val="18"/>
                    </w:rPr>
                    <w:t>0</w:t>
                  </w:r>
                </w:p>
              </w:tc>
            </w:tr>
            <w:tr w:rsidR="001E6FB8" w:rsidRPr="00E141F1" w:rsidTr="001E6FB8">
              <w:trPr>
                <w:trHeight w:val="318"/>
              </w:trPr>
              <w:tc>
                <w:tcPr>
                  <w:tcW w:w="4262" w:type="dxa"/>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Primus</w:t>
                  </w:r>
                </w:p>
                <w:p w:rsidR="001E6FB8" w:rsidRPr="00E141F1" w:rsidRDefault="001E6FB8" w:rsidP="001E6FB8">
                  <w:pPr>
                    <w:rPr>
                      <w:rFonts w:cs="Arial"/>
                      <w:sz w:val="18"/>
                      <w:szCs w:val="18"/>
                    </w:rPr>
                  </w:pPr>
                  <w:r w:rsidRPr="00E141F1">
                    <w:rPr>
                      <w:rFonts w:cs="Arial"/>
                      <w:sz w:val="18"/>
                      <w:szCs w:val="18"/>
                    </w:rPr>
                    <w:t>Total</w:t>
                  </w:r>
                </w:p>
                <w:p w:rsidR="001E6FB8" w:rsidRPr="00E141F1" w:rsidRDefault="001E6FB8" w:rsidP="001E6FB8">
                  <w:pPr>
                    <w:rPr>
                      <w:rFonts w:cs="Arial"/>
                      <w:sz w:val="18"/>
                      <w:szCs w:val="18"/>
                    </w:rPr>
                  </w:pPr>
                  <w:r w:rsidRPr="00E141F1">
                    <w:rPr>
                      <w:rFonts w:cs="Arial"/>
                      <w:sz w:val="18"/>
                      <w:szCs w:val="18"/>
                    </w:rPr>
                    <w:t>Provisional</w:t>
                  </w:r>
                </w:p>
                <w:p w:rsidR="001E6FB8" w:rsidRPr="00E141F1" w:rsidRDefault="001E6FB8" w:rsidP="001E6FB8">
                  <w:pPr>
                    <w:rPr>
                      <w:rFonts w:cs="Arial"/>
                      <w:sz w:val="18"/>
                      <w:szCs w:val="18"/>
                    </w:rPr>
                  </w:pPr>
                  <w:r w:rsidRPr="00E141F1">
                    <w:rPr>
                      <w:rFonts w:cs="Arial"/>
                      <w:sz w:val="18"/>
                      <w:szCs w:val="18"/>
                    </w:rPr>
                    <w:t>Validated</w:t>
                  </w:r>
                </w:p>
              </w:tc>
              <w:tc>
                <w:tcPr>
                  <w:tcW w:w="1088" w:type="dxa"/>
                  <w:shd w:val="clear" w:color="auto" w:fill="auto"/>
                  <w:vAlign w:val="center"/>
                </w:tcPr>
                <w:p w:rsidR="001E6FB8" w:rsidRPr="00E141F1" w:rsidRDefault="001E6FB8" w:rsidP="001E6FB8">
                  <w:pPr>
                    <w:ind w:right="109"/>
                    <w:jc w:val="right"/>
                    <w:rPr>
                      <w:rFonts w:cs="Arial"/>
                      <w:sz w:val="18"/>
                      <w:szCs w:val="18"/>
                    </w:rPr>
                  </w:pPr>
                  <w:r w:rsidRPr="00E141F1">
                    <w:rPr>
                      <w:rFonts w:cs="Arial"/>
                      <w:sz w:val="18"/>
                      <w:szCs w:val="18"/>
                    </w:rPr>
                    <w:t>1,515</w:t>
                  </w:r>
                </w:p>
                <w:p w:rsidR="001E6FB8" w:rsidRPr="00E141F1" w:rsidRDefault="001E6FB8" w:rsidP="001E6FB8">
                  <w:pPr>
                    <w:ind w:right="109"/>
                    <w:jc w:val="right"/>
                    <w:rPr>
                      <w:rFonts w:cs="Arial"/>
                      <w:sz w:val="18"/>
                      <w:szCs w:val="18"/>
                    </w:rPr>
                  </w:pPr>
                  <w:r w:rsidRPr="00E141F1">
                    <w:rPr>
                      <w:rFonts w:cs="Arial"/>
                      <w:sz w:val="18"/>
                      <w:szCs w:val="18"/>
                    </w:rPr>
                    <w:t>n/p</w:t>
                  </w:r>
                </w:p>
                <w:p w:rsidR="001E6FB8" w:rsidRPr="00E141F1" w:rsidRDefault="001E6FB8" w:rsidP="001E6FB8">
                  <w:pPr>
                    <w:ind w:right="109"/>
                    <w:jc w:val="right"/>
                    <w:rPr>
                      <w:rFonts w:cs="Arial"/>
                      <w:sz w:val="18"/>
                      <w:szCs w:val="18"/>
                    </w:rPr>
                  </w:pPr>
                  <w:r w:rsidRPr="00E141F1">
                    <w:rPr>
                      <w:rFonts w:cs="Arial"/>
                      <w:sz w:val="18"/>
                      <w:szCs w:val="18"/>
                    </w:rPr>
                    <w:t>n/p</w:t>
                  </w:r>
                </w:p>
              </w:tc>
              <w:tc>
                <w:tcPr>
                  <w:tcW w:w="1089" w:type="dxa"/>
                  <w:tcMar>
                    <w:left w:w="113" w:type="dxa"/>
                  </w:tcMar>
                  <w:vAlign w:val="center"/>
                </w:tcPr>
                <w:p w:rsidR="001E6FB8" w:rsidRPr="00E141F1" w:rsidRDefault="001E6FB8" w:rsidP="001E6FB8">
                  <w:pPr>
                    <w:ind w:right="109"/>
                    <w:jc w:val="right"/>
                    <w:rPr>
                      <w:rFonts w:cs="Arial"/>
                      <w:sz w:val="18"/>
                      <w:szCs w:val="18"/>
                    </w:rPr>
                  </w:pPr>
                  <w:r w:rsidRPr="00E141F1">
                    <w:rPr>
                      <w:rFonts w:cs="Arial"/>
                      <w:sz w:val="18"/>
                      <w:szCs w:val="18"/>
                    </w:rPr>
                    <w:t>579</w:t>
                  </w:r>
                </w:p>
                <w:p w:rsidR="001E6FB8" w:rsidRPr="00E141F1" w:rsidRDefault="001E6FB8" w:rsidP="001E6FB8">
                  <w:pPr>
                    <w:ind w:right="109"/>
                    <w:jc w:val="right"/>
                    <w:rPr>
                      <w:rFonts w:cs="Arial"/>
                      <w:sz w:val="18"/>
                      <w:szCs w:val="18"/>
                    </w:rPr>
                  </w:pPr>
                  <w:r w:rsidRPr="00E141F1">
                    <w:rPr>
                      <w:rFonts w:cs="Arial"/>
                      <w:sz w:val="18"/>
                      <w:szCs w:val="18"/>
                    </w:rPr>
                    <w:t>63</w:t>
                  </w:r>
                </w:p>
                <w:p w:rsidR="001E6FB8" w:rsidRPr="00E141F1" w:rsidRDefault="001E6FB8" w:rsidP="001E6FB8">
                  <w:pPr>
                    <w:ind w:right="109"/>
                    <w:jc w:val="right"/>
                    <w:rPr>
                      <w:rFonts w:cs="Arial"/>
                      <w:sz w:val="18"/>
                      <w:szCs w:val="18"/>
                    </w:rPr>
                  </w:pPr>
                  <w:r w:rsidRPr="00E141F1">
                    <w:rPr>
                      <w:rFonts w:cs="Arial"/>
                      <w:sz w:val="18"/>
                      <w:szCs w:val="18"/>
                    </w:rPr>
                    <w:t>516</w:t>
                  </w:r>
                </w:p>
              </w:tc>
              <w:tc>
                <w:tcPr>
                  <w:tcW w:w="1035" w:type="dxa"/>
                  <w:shd w:val="clear" w:color="auto" w:fill="auto"/>
                  <w:vAlign w:val="center"/>
                </w:tcPr>
                <w:p w:rsidR="001E6FB8" w:rsidRPr="00E141F1" w:rsidRDefault="001E6FB8" w:rsidP="001E6FB8">
                  <w:pPr>
                    <w:ind w:right="109"/>
                    <w:jc w:val="right"/>
                    <w:rPr>
                      <w:rFonts w:cs="Arial"/>
                      <w:sz w:val="18"/>
                      <w:szCs w:val="18"/>
                    </w:rPr>
                  </w:pPr>
                  <w:r w:rsidRPr="00E141F1">
                    <w:rPr>
                      <w:rFonts w:cs="Arial"/>
                      <w:sz w:val="18"/>
                      <w:szCs w:val="18"/>
                    </w:rPr>
                    <w:t>819</w:t>
                  </w:r>
                </w:p>
                <w:p w:rsidR="001E6FB8" w:rsidRPr="00E141F1" w:rsidRDefault="001E6FB8" w:rsidP="001E6FB8">
                  <w:pPr>
                    <w:ind w:right="109"/>
                    <w:jc w:val="right"/>
                    <w:rPr>
                      <w:rFonts w:cs="Arial"/>
                      <w:sz w:val="18"/>
                      <w:szCs w:val="18"/>
                    </w:rPr>
                  </w:pPr>
                  <w:r w:rsidRPr="00E141F1">
                    <w:rPr>
                      <w:rFonts w:cs="Arial"/>
                      <w:sz w:val="18"/>
                      <w:szCs w:val="18"/>
                    </w:rPr>
                    <w:t>55</w:t>
                  </w:r>
                </w:p>
                <w:p w:rsidR="001E6FB8" w:rsidRPr="00E141F1" w:rsidRDefault="001E6FB8" w:rsidP="001E6FB8">
                  <w:pPr>
                    <w:ind w:right="109"/>
                    <w:jc w:val="right"/>
                    <w:rPr>
                      <w:rFonts w:cs="Arial"/>
                      <w:sz w:val="18"/>
                      <w:szCs w:val="18"/>
                    </w:rPr>
                  </w:pPr>
                  <w:r w:rsidRPr="00E141F1">
                    <w:rPr>
                      <w:rFonts w:cs="Arial"/>
                      <w:sz w:val="18"/>
                      <w:szCs w:val="18"/>
                    </w:rPr>
                    <w:t>764</w:t>
                  </w:r>
                </w:p>
              </w:tc>
              <w:tc>
                <w:tcPr>
                  <w:tcW w:w="1088" w:type="dxa"/>
                  <w:tcMar>
                    <w:left w:w="113" w:type="dxa"/>
                  </w:tcMar>
                  <w:vAlign w:val="center"/>
                </w:tcPr>
                <w:p w:rsidR="001E6FB8" w:rsidRPr="00E141F1" w:rsidRDefault="001E6FB8" w:rsidP="001E6FB8">
                  <w:pPr>
                    <w:ind w:right="109"/>
                    <w:jc w:val="right"/>
                    <w:rPr>
                      <w:rFonts w:cs="Arial"/>
                      <w:sz w:val="18"/>
                      <w:szCs w:val="18"/>
                    </w:rPr>
                  </w:pPr>
                  <w:r w:rsidRPr="00E141F1">
                    <w:rPr>
                      <w:rFonts w:cs="Arial"/>
                      <w:sz w:val="18"/>
                      <w:szCs w:val="18"/>
                    </w:rPr>
                    <w:t>209</w:t>
                  </w:r>
                </w:p>
                <w:p w:rsidR="001E6FB8" w:rsidRPr="00E141F1" w:rsidRDefault="001E6FB8" w:rsidP="001E6FB8">
                  <w:pPr>
                    <w:ind w:right="109"/>
                    <w:jc w:val="right"/>
                    <w:rPr>
                      <w:rFonts w:cs="Arial"/>
                      <w:sz w:val="18"/>
                      <w:szCs w:val="18"/>
                    </w:rPr>
                  </w:pPr>
                  <w:r w:rsidRPr="00E141F1">
                    <w:rPr>
                      <w:rFonts w:cs="Arial"/>
                      <w:sz w:val="18"/>
                      <w:szCs w:val="18"/>
                    </w:rPr>
                    <w:t>23</w:t>
                  </w:r>
                </w:p>
                <w:p w:rsidR="001E6FB8" w:rsidRPr="00E141F1" w:rsidRDefault="001E6FB8" w:rsidP="001E6FB8">
                  <w:pPr>
                    <w:ind w:right="109"/>
                    <w:jc w:val="right"/>
                    <w:rPr>
                      <w:rFonts w:cs="Arial"/>
                      <w:sz w:val="18"/>
                      <w:szCs w:val="18"/>
                    </w:rPr>
                  </w:pPr>
                  <w:r w:rsidRPr="00E141F1">
                    <w:rPr>
                      <w:rFonts w:cs="Arial"/>
                      <w:sz w:val="18"/>
                      <w:szCs w:val="18"/>
                    </w:rPr>
                    <w:t>186</w:t>
                  </w:r>
                </w:p>
              </w:tc>
              <w:tc>
                <w:tcPr>
                  <w:tcW w:w="1089" w:type="dxa"/>
                  <w:vAlign w:val="center"/>
                </w:tcPr>
                <w:p w:rsidR="001E6FB8" w:rsidRPr="00E141F1" w:rsidRDefault="001E6FB8" w:rsidP="001E6FB8">
                  <w:pPr>
                    <w:ind w:right="109"/>
                    <w:jc w:val="right"/>
                    <w:rPr>
                      <w:rFonts w:cs="Arial"/>
                      <w:sz w:val="18"/>
                      <w:szCs w:val="18"/>
                    </w:rPr>
                  </w:pPr>
                  <w:r w:rsidRPr="00E141F1">
                    <w:rPr>
                      <w:rFonts w:cs="Arial"/>
                      <w:sz w:val="18"/>
                      <w:szCs w:val="18"/>
                    </w:rPr>
                    <w:t>588</w:t>
                  </w:r>
                </w:p>
                <w:p w:rsidR="001E6FB8" w:rsidRPr="00E141F1" w:rsidRDefault="001E6FB8" w:rsidP="001E6FB8">
                  <w:pPr>
                    <w:ind w:right="109"/>
                    <w:jc w:val="right"/>
                    <w:rPr>
                      <w:rFonts w:cs="Arial"/>
                      <w:sz w:val="18"/>
                      <w:szCs w:val="18"/>
                    </w:rPr>
                  </w:pPr>
                  <w:r w:rsidRPr="00E141F1">
                    <w:rPr>
                      <w:rFonts w:cs="Arial"/>
                      <w:sz w:val="18"/>
                      <w:szCs w:val="18"/>
                    </w:rPr>
                    <w:t>54</w:t>
                  </w:r>
                </w:p>
                <w:p w:rsidR="001E6FB8" w:rsidRPr="00E141F1" w:rsidRDefault="001E6FB8" w:rsidP="001E6FB8">
                  <w:pPr>
                    <w:ind w:right="109"/>
                    <w:jc w:val="right"/>
                    <w:rPr>
                      <w:rFonts w:cs="Arial"/>
                      <w:sz w:val="18"/>
                      <w:szCs w:val="18"/>
                    </w:rPr>
                  </w:pPr>
                  <w:r w:rsidRPr="00E141F1">
                    <w:rPr>
                      <w:rFonts w:cs="Arial"/>
                      <w:sz w:val="18"/>
                      <w:szCs w:val="18"/>
                    </w:rPr>
                    <w:t>534</w:t>
                  </w:r>
                </w:p>
              </w:tc>
            </w:tr>
            <w:tr w:rsidR="001E6FB8" w:rsidRPr="00E141F1" w:rsidTr="001E6FB8">
              <w:trPr>
                <w:trHeight w:val="318"/>
              </w:trPr>
              <w:tc>
                <w:tcPr>
                  <w:tcW w:w="4262" w:type="dxa"/>
                  <w:shd w:val="clear" w:color="auto" w:fill="auto"/>
                  <w:tcMar>
                    <w:left w:w="113" w:type="dxa"/>
                  </w:tcMar>
                  <w:vAlign w:val="center"/>
                </w:tcPr>
                <w:p w:rsidR="001E6FB8" w:rsidRPr="00E141F1" w:rsidRDefault="001E6FB8" w:rsidP="001E6FB8">
                  <w:pPr>
                    <w:rPr>
                      <w:rFonts w:cs="Arial"/>
                      <w:b/>
                      <w:sz w:val="18"/>
                      <w:szCs w:val="18"/>
                    </w:rPr>
                  </w:pPr>
                  <w:r w:rsidRPr="00E141F1">
                    <w:rPr>
                      <w:rFonts w:cs="Arial"/>
                      <w:b/>
                      <w:sz w:val="18"/>
                      <w:szCs w:val="18"/>
                    </w:rPr>
                    <w:t>Total</w:t>
                  </w:r>
                </w:p>
              </w:tc>
              <w:tc>
                <w:tcPr>
                  <w:tcW w:w="1088" w:type="dxa"/>
                  <w:shd w:val="clear" w:color="auto" w:fill="auto"/>
                  <w:vAlign w:val="center"/>
                </w:tcPr>
                <w:p w:rsidR="001E6FB8" w:rsidRPr="00E141F1" w:rsidRDefault="001E6FB8" w:rsidP="001E6FB8">
                  <w:pPr>
                    <w:ind w:right="109"/>
                    <w:jc w:val="right"/>
                    <w:rPr>
                      <w:rFonts w:cs="Arial"/>
                      <w:sz w:val="18"/>
                      <w:szCs w:val="18"/>
                    </w:rPr>
                  </w:pPr>
                  <w:r w:rsidRPr="00E141F1">
                    <w:rPr>
                      <w:rFonts w:cs="Arial"/>
                      <w:sz w:val="18"/>
                      <w:szCs w:val="18"/>
                    </w:rPr>
                    <w:t>196,688</w:t>
                  </w:r>
                </w:p>
              </w:tc>
              <w:tc>
                <w:tcPr>
                  <w:tcW w:w="1089" w:type="dxa"/>
                  <w:tcMar>
                    <w:left w:w="113" w:type="dxa"/>
                  </w:tcMar>
                  <w:vAlign w:val="center"/>
                </w:tcPr>
                <w:p w:rsidR="001E6FB8" w:rsidRPr="00E141F1" w:rsidRDefault="001E6FB8" w:rsidP="001E6FB8">
                  <w:pPr>
                    <w:ind w:right="109"/>
                    <w:jc w:val="right"/>
                    <w:rPr>
                      <w:rFonts w:cs="Arial"/>
                      <w:sz w:val="18"/>
                      <w:szCs w:val="18"/>
                    </w:rPr>
                  </w:pPr>
                  <w:r w:rsidRPr="00E141F1">
                    <w:rPr>
                      <w:rFonts w:cs="Arial"/>
                      <w:sz w:val="18"/>
                      <w:szCs w:val="18"/>
                    </w:rPr>
                    <w:t>211,041</w:t>
                  </w:r>
                </w:p>
              </w:tc>
              <w:tc>
                <w:tcPr>
                  <w:tcW w:w="1035" w:type="dxa"/>
                  <w:shd w:val="clear" w:color="auto" w:fill="auto"/>
                  <w:vAlign w:val="center"/>
                </w:tcPr>
                <w:p w:rsidR="001E6FB8" w:rsidRPr="00E141F1" w:rsidRDefault="001E6FB8" w:rsidP="001E6FB8">
                  <w:pPr>
                    <w:ind w:right="109"/>
                    <w:jc w:val="right"/>
                    <w:rPr>
                      <w:rFonts w:cs="Arial"/>
                      <w:sz w:val="18"/>
                      <w:szCs w:val="18"/>
                    </w:rPr>
                  </w:pPr>
                  <w:r w:rsidRPr="00E141F1">
                    <w:rPr>
                      <w:rFonts w:cs="Arial"/>
                      <w:sz w:val="18"/>
                      <w:szCs w:val="18"/>
                    </w:rPr>
                    <w:t>192,210</w:t>
                  </w:r>
                </w:p>
              </w:tc>
              <w:tc>
                <w:tcPr>
                  <w:tcW w:w="1088" w:type="dxa"/>
                  <w:tcMar>
                    <w:left w:w="113" w:type="dxa"/>
                  </w:tcMar>
                  <w:vAlign w:val="center"/>
                </w:tcPr>
                <w:p w:rsidR="001E6FB8" w:rsidRPr="00E141F1" w:rsidRDefault="001E6FB8" w:rsidP="001E6FB8">
                  <w:pPr>
                    <w:ind w:right="109"/>
                    <w:jc w:val="right"/>
                    <w:rPr>
                      <w:rFonts w:cs="Arial"/>
                      <w:sz w:val="18"/>
                      <w:szCs w:val="18"/>
                    </w:rPr>
                  </w:pPr>
                  <w:r w:rsidRPr="00E141F1">
                    <w:rPr>
                      <w:rFonts w:cs="Arial"/>
                      <w:sz w:val="18"/>
                      <w:szCs w:val="18"/>
                    </w:rPr>
                    <w:t>221,566</w:t>
                  </w:r>
                </w:p>
              </w:tc>
              <w:tc>
                <w:tcPr>
                  <w:tcW w:w="1089" w:type="dxa"/>
                  <w:vAlign w:val="center"/>
                </w:tcPr>
                <w:p w:rsidR="001E6FB8" w:rsidRPr="00E141F1" w:rsidRDefault="001E6FB8" w:rsidP="001E6FB8">
                  <w:pPr>
                    <w:ind w:right="109"/>
                    <w:jc w:val="right"/>
                    <w:rPr>
                      <w:rFonts w:cs="Arial"/>
                      <w:sz w:val="18"/>
                      <w:szCs w:val="18"/>
                    </w:rPr>
                  </w:pPr>
                  <w:r w:rsidRPr="00E141F1">
                    <w:rPr>
                      <w:rFonts w:cs="Arial"/>
                      <w:sz w:val="18"/>
                      <w:szCs w:val="18"/>
                    </w:rPr>
                    <w:t>257,137</w:t>
                  </w:r>
                </w:p>
              </w:tc>
            </w:tr>
          </w:tbl>
          <w:p w:rsidR="001E6FB8" w:rsidRPr="00E141F1" w:rsidRDefault="001E6FB8" w:rsidP="001E6FB8">
            <w:pPr>
              <w:rPr>
                <w:rFonts w:cs="Arial"/>
                <w:szCs w:val="20"/>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n/a=not applicable.</w:t>
            </w:r>
          </w:p>
          <w:p w:rsidR="001E6FB8" w:rsidRPr="00E141F1" w:rsidRDefault="001E6FB8" w:rsidP="001E6FB8">
            <w:pPr>
              <w:keepNext/>
              <w:keepLines/>
              <w:spacing w:line="240" w:lineRule="auto"/>
              <w:rPr>
                <w:rFonts w:cs="Arial"/>
                <w:i/>
                <w:sz w:val="16"/>
                <w:szCs w:val="16"/>
              </w:rPr>
            </w:pPr>
            <w:r w:rsidRPr="00E141F1">
              <w:rPr>
                <w:rFonts w:cs="Arial"/>
                <w:i/>
                <w:sz w:val="16"/>
                <w:szCs w:val="16"/>
              </w:rPr>
              <w:t>n/p=not provided.</w:t>
            </w:r>
          </w:p>
          <w:p w:rsidR="001E6FB8" w:rsidRPr="00E141F1" w:rsidRDefault="001E6FB8" w:rsidP="001E6FB8">
            <w:pPr>
              <w:keepNext/>
              <w:keepLines/>
              <w:spacing w:line="240" w:lineRule="auto"/>
              <w:rPr>
                <w:rFonts w:cs="Arial"/>
                <w:i/>
                <w:sz w:val="16"/>
                <w:szCs w:val="16"/>
              </w:rPr>
            </w:pPr>
            <w:r w:rsidRPr="00E141F1">
              <w:rPr>
                <w:rFonts w:cs="Arial"/>
                <w:i/>
                <w:sz w:val="16"/>
                <w:szCs w:val="16"/>
              </w:rPr>
              <w:t>*</w:t>
            </w:r>
            <w:proofErr w:type="spellStart"/>
            <w:r w:rsidRPr="00E141F1">
              <w:rPr>
                <w:rFonts w:cs="Arial"/>
                <w:i/>
                <w:sz w:val="16"/>
                <w:szCs w:val="16"/>
              </w:rPr>
              <w:t>iiNet</w:t>
            </w:r>
            <w:proofErr w:type="spellEnd"/>
            <w:r w:rsidRPr="00E141F1">
              <w:rPr>
                <w:rFonts w:cs="Arial"/>
                <w:i/>
                <w:sz w:val="16"/>
                <w:szCs w:val="16"/>
              </w:rPr>
              <w:t xml:space="preserve"> acquired AAPT’s Consumer Division on 1 October 2010.</w:t>
            </w:r>
          </w:p>
          <w:p w:rsidR="001E6FB8" w:rsidRPr="00E141F1" w:rsidRDefault="001E6FB8" w:rsidP="001E6FB8">
            <w:pPr>
              <w:keepNext/>
              <w:keepLines/>
              <w:spacing w:line="240" w:lineRule="auto"/>
              <w:rPr>
                <w:rFonts w:cs="Arial"/>
                <w:i/>
                <w:sz w:val="16"/>
                <w:szCs w:val="16"/>
              </w:rPr>
            </w:pPr>
            <w:r w:rsidRPr="00D42D86">
              <w:rPr>
                <w:rFonts w:cs="Arial"/>
                <w:i/>
                <w:sz w:val="16"/>
                <w:szCs w:val="16"/>
                <w:vertAlign w:val="superscript"/>
              </w:rPr>
              <w:t>†</w:t>
            </w:r>
            <w:proofErr w:type="spellStart"/>
            <w:r w:rsidRPr="00E141F1">
              <w:rPr>
                <w:rFonts w:cs="Arial"/>
                <w:i/>
                <w:sz w:val="16"/>
                <w:szCs w:val="16"/>
              </w:rPr>
              <w:t>iiNet</w:t>
            </w:r>
            <w:proofErr w:type="spellEnd"/>
            <w:r w:rsidRPr="00E141F1">
              <w:rPr>
                <w:rFonts w:cs="Arial"/>
                <w:i/>
                <w:sz w:val="16"/>
                <w:szCs w:val="16"/>
              </w:rPr>
              <w:t xml:space="preserve"> notified the ACMA in March 2012 that it would cease offering a priority assistance service.</w:t>
            </w:r>
          </w:p>
          <w:p w:rsidR="001E6FB8" w:rsidRPr="00E141F1" w:rsidRDefault="001E6FB8" w:rsidP="001E6FB8">
            <w:pPr>
              <w:keepNext/>
              <w:keepLines/>
              <w:spacing w:after="60" w:line="240" w:lineRule="auto"/>
              <w:rPr>
                <w:rFonts w:cs="Arial"/>
                <w:i/>
                <w:szCs w:val="20"/>
              </w:rPr>
            </w:pPr>
            <w:r w:rsidRPr="00E141F1">
              <w:rPr>
                <w:rFonts w:cs="Arial"/>
                <w:i/>
                <w:sz w:val="16"/>
                <w:szCs w:val="16"/>
              </w:rPr>
              <w:t xml:space="preserve">Source: Telstra, </w:t>
            </w:r>
            <w:proofErr w:type="spellStart"/>
            <w:r w:rsidRPr="00E141F1">
              <w:rPr>
                <w:rFonts w:cs="Arial"/>
                <w:i/>
                <w:sz w:val="16"/>
                <w:szCs w:val="16"/>
              </w:rPr>
              <w:t>iiNet</w:t>
            </w:r>
            <w:proofErr w:type="spellEnd"/>
            <w:r w:rsidRPr="00E141F1">
              <w:rPr>
                <w:rFonts w:cs="Arial"/>
                <w:i/>
                <w:sz w:val="16"/>
                <w:szCs w:val="16"/>
              </w:rPr>
              <w:t>, Primus.</w:t>
            </w:r>
          </w:p>
        </w:tc>
      </w:tr>
    </w:tbl>
    <w:p w:rsidR="001E6FB8" w:rsidRPr="00E141F1" w:rsidRDefault="001E6FB8" w:rsidP="001E6FB8">
      <w:pPr>
        <w:spacing w:line="240" w:lineRule="auto"/>
        <w:rPr>
          <w:rFonts w:cs="Arial"/>
        </w:rPr>
      </w:pPr>
    </w:p>
    <w:p w:rsidR="001E6FB8" w:rsidRPr="00E141F1" w:rsidRDefault="001E6FB8" w:rsidP="001E6FB8">
      <w:pPr>
        <w:rPr>
          <w:rFonts w:cs="Arial"/>
        </w:rPr>
      </w:pPr>
      <w:r w:rsidRPr="00E141F1">
        <w:rPr>
          <w:rFonts w:cs="Arial"/>
        </w:rPr>
        <w:t>Priority assistance customers are given faster connections and fault repairs of their fixed-line telephone service. A service must be connected or a fault repaired within 24</w:t>
      </w:r>
      <w:r>
        <w:rPr>
          <w:rFonts w:cs="Arial"/>
        </w:rPr>
        <w:t> </w:t>
      </w:r>
      <w:r w:rsidRPr="00E141F1">
        <w:rPr>
          <w:rFonts w:cs="Arial"/>
        </w:rPr>
        <w:t xml:space="preserve">hours in urban and rural areas or 48 hours in remote areas. Table 3.13 provides information about the performance of Telstra, </w:t>
      </w:r>
      <w:proofErr w:type="spellStart"/>
      <w:r w:rsidRPr="00E141F1">
        <w:rPr>
          <w:rFonts w:cs="Arial"/>
        </w:rPr>
        <w:t>iiNet</w:t>
      </w:r>
      <w:proofErr w:type="spellEnd"/>
      <w:r w:rsidRPr="00E141F1">
        <w:rPr>
          <w:rFonts w:cs="Arial"/>
        </w:rPr>
        <w:t xml:space="preserve"> and Primus in meeting priority assistance time frames for connections and fault repairs</w:t>
      </w:r>
      <w:r>
        <w:rPr>
          <w:rFonts w:cs="Arial"/>
        </w:rPr>
        <w:t xml:space="preserve"> since 2008–09</w:t>
      </w:r>
      <w:r w:rsidRPr="00E141F1">
        <w:rPr>
          <w:rFonts w:cs="Arial"/>
        </w:rPr>
        <w:t xml:space="preserve">. </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bookmarkEnd w:id="403"/>
          <w:p w:rsidR="001E6FB8" w:rsidRPr="00E141F1" w:rsidRDefault="001E6FB8" w:rsidP="001E6FB8">
            <w:pPr>
              <w:pStyle w:val="Caption"/>
              <w:keepNext/>
              <w:keepLines/>
              <w:spacing w:before="120" w:after="120"/>
              <w:rPr>
                <w:rFonts w:cs="Arial"/>
              </w:rPr>
            </w:pPr>
            <w:r w:rsidRPr="00E141F1">
              <w:rPr>
                <w:rFonts w:cs="Arial"/>
              </w:rPr>
              <w:t>Table 3.13 Priority assistance—percentage of connection and fault restoration requests completed on time, by financial year</w:t>
            </w:r>
            <w:r>
              <w:rPr>
                <w:rFonts w:cs="Arial"/>
              </w:rPr>
              <w:t xml:space="preserve"> </w:t>
            </w:r>
            <w:r>
              <w:rPr>
                <w:rFonts w:cs="Arial"/>
              </w:rPr>
              <w:br/>
              <w:t>(V</w:t>
            </w:r>
            <w:r w:rsidRPr="00E141F1">
              <w:rPr>
                <w:rFonts w:cs="Arial"/>
              </w:rPr>
              <w:t>olumes completed on time for Telstra are shown in brackets for 2011–12 and 2012–13</w:t>
            </w:r>
            <w:r>
              <w:rPr>
                <w:rFonts w:cs="Arial"/>
              </w:rPr>
              <w:t>)</w:t>
            </w:r>
          </w:p>
        </w:tc>
      </w:tr>
      <w:tr w:rsidR="001E6FB8" w:rsidRPr="00E141F1" w:rsidTr="001E6FB8">
        <w:trPr>
          <w:trHeight w:val="864"/>
        </w:trPr>
        <w:tc>
          <w:tcPr>
            <w:tcW w:w="9645" w:type="dxa"/>
            <w:shd w:val="clear" w:color="auto" w:fill="auto"/>
            <w:tcMar>
              <w:left w:w="28" w:type="dxa"/>
            </w:tcMar>
          </w:tcPr>
          <w:tbl>
            <w:tblPr>
              <w:tblW w:w="9764"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965"/>
              <w:gridCol w:w="709"/>
              <w:gridCol w:w="850"/>
              <w:gridCol w:w="709"/>
              <w:gridCol w:w="992"/>
              <w:gridCol w:w="993"/>
              <w:gridCol w:w="850"/>
              <w:gridCol w:w="709"/>
              <w:gridCol w:w="709"/>
              <w:gridCol w:w="1134"/>
              <w:gridCol w:w="1039"/>
              <w:gridCol w:w="105"/>
            </w:tblGrid>
            <w:tr w:rsidR="001E6FB8" w:rsidRPr="00E141F1" w:rsidTr="001E6FB8">
              <w:trPr>
                <w:trHeight w:val="300"/>
              </w:trPr>
              <w:tc>
                <w:tcPr>
                  <w:tcW w:w="965" w:type="dxa"/>
                  <w:shd w:val="clear" w:color="auto" w:fill="00709E"/>
                  <w:tcMar>
                    <w:top w:w="34" w:type="dxa"/>
                    <w:left w:w="113" w:type="dxa"/>
                  </w:tcMar>
                  <w:vAlign w:val="cente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4253" w:type="dxa"/>
                  <w:gridSpan w:val="5"/>
                  <w:tcBorders>
                    <w:right w:val="single" w:sz="4" w:space="0" w:color="C8C8C8"/>
                  </w:tcBorders>
                  <w:shd w:val="clear" w:color="auto" w:fill="00709E"/>
                  <w:tcMar>
                    <w:left w:w="113" w:type="dxa"/>
                  </w:tcMar>
                  <w:vAlign w:val="center"/>
                </w:tcPr>
                <w:p w:rsidR="001E6FB8" w:rsidRPr="00E141F1" w:rsidRDefault="001E6FB8" w:rsidP="001E6FB8">
                  <w:pPr>
                    <w:keepNext/>
                    <w:keepLines/>
                    <w:spacing w:before="40" w:after="40" w:line="240" w:lineRule="auto"/>
                    <w:ind w:right="158"/>
                    <w:jc w:val="center"/>
                    <w:rPr>
                      <w:rFonts w:cs="Arial"/>
                      <w:b/>
                      <w:color w:val="FFFFFF" w:themeColor="background1"/>
                      <w:sz w:val="18"/>
                      <w:szCs w:val="18"/>
                    </w:rPr>
                  </w:pPr>
                  <w:r w:rsidRPr="00E141F1">
                    <w:rPr>
                      <w:rFonts w:cs="Arial"/>
                      <w:b/>
                      <w:color w:val="FFFFFF" w:themeColor="background1"/>
                      <w:sz w:val="18"/>
                      <w:szCs w:val="18"/>
                    </w:rPr>
                    <w:t>Connection requests</w:t>
                  </w:r>
                </w:p>
              </w:tc>
              <w:tc>
                <w:tcPr>
                  <w:tcW w:w="4546" w:type="dxa"/>
                  <w:gridSpan w:val="6"/>
                  <w:tcBorders>
                    <w:left w:val="single" w:sz="4" w:space="0" w:color="C8C8C8"/>
                  </w:tcBorders>
                  <w:shd w:val="clear" w:color="auto" w:fill="00709E"/>
                  <w:vAlign w:val="center"/>
                </w:tcPr>
                <w:p w:rsidR="001E6FB8" w:rsidRPr="00E141F1" w:rsidRDefault="001E6FB8" w:rsidP="001E6FB8">
                  <w:pPr>
                    <w:keepNext/>
                    <w:keepLines/>
                    <w:spacing w:before="40" w:after="40" w:line="240" w:lineRule="auto"/>
                    <w:ind w:right="158"/>
                    <w:jc w:val="center"/>
                    <w:rPr>
                      <w:rFonts w:cs="Arial"/>
                      <w:b/>
                      <w:color w:val="FFFFFF" w:themeColor="background1"/>
                      <w:sz w:val="18"/>
                      <w:szCs w:val="18"/>
                    </w:rPr>
                  </w:pPr>
                  <w:r w:rsidRPr="00E141F1">
                    <w:rPr>
                      <w:rFonts w:cs="Arial"/>
                      <w:b/>
                      <w:color w:val="FFFFFF" w:themeColor="background1"/>
                      <w:sz w:val="18"/>
                      <w:szCs w:val="18"/>
                    </w:rPr>
                    <w:t>Fault restoration requests</w:t>
                  </w:r>
                </w:p>
              </w:tc>
            </w:tr>
            <w:tr w:rsidR="001E6FB8" w:rsidRPr="00E141F1" w:rsidTr="001E6FB8">
              <w:trPr>
                <w:gridAfter w:val="1"/>
                <w:wAfter w:w="105" w:type="dxa"/>
                <w:trHeight w:val="300"/>
              </w:trPr>
              <w:tc>
                <w:tcPr>
                  <w:tcW w:w="965" w:type="dxa"/>
                  <w:shd w:val="clear" w:color="auto" w:fill="00709E"/>
                  <w:tcMar>
                    <w:top w:w="34" w:type="dxa"/>
                    <w:left w:w="113" w:type="dxa"/>
                  </w:tcMar>
                  <w:vAlign w:val="center"/>
                </w:tcPr>
                <w:p w:rsidR="001E6FB8" w:rsidRPr="00E141F1" w:rsidRDefault="001E6FB8" w:rsidP="001E6FB8">
                  <w:pPr>
                    <w:keepNext/>
                    <w:keepLines/>
                    <w:spacing w:before="40" w:after="40" w:line="240" w:lineRule="auto"/>
                    <w:ind w:right="87"/>
                    <w:jc w:val="right"/>
                    <w:rPr>
                      <w:rFonts w:cs="Arial"/>
                      <w:b/>
                      <w:color w:val="FFFFFF" w:themeColor="background1"/>
                      <w:sz w:val="18"/>
                      <w:szCs w:val="18"/>
                    </w:rPr>
                  </w:pPr>
                </w:p>
              </w:tc>
              <w:tc>
                <w:tcPr>
                  <w:tcW w:w="709" w:type="dxa"/>
                  <w:shd w:val="clear" w:color="auto" w:fill="00709E"/>
                  <w:tcMar>
                    <w:left w:w="113" w:type="dxa"/>
                  </w:tcMar>
                  <w:vAlign w:val="center"/>
                </w:tcPr>
                <w:p w:rsidR="001E6FB8" w:rsidRPr="00E141F1" w:rsidRDefault="001E6FB8" w:rsidP="001E6FB8">
                  <w:pPr>
                    <w:keepNext/>
                    <w:keepLines/>
                    <w:spacing w:before="40" w:after="40" w:line="240" w:lineRule="auto"/>
                    <w:ind w:right="158"/>
                    <w:jc w:val="right"/>
                    <w:rPr>
                      <w:rFonts w:cs="Arial"/>
                      <w:b/>
                      <w:color w:val="FFFFFF" w:themeColor="background1"/>
                      <w:sz w:val="18"/>
                      <w:szCs w:val="18"/>
                    </w:rPr>
                  </w:pPr>
                  <w:r w:rsidRPr="00E141F1">
                    <w:rPr>
                      <w:rFonts w:cs="Arial"/>
                      <w:b/>
                      <w:color w:val="FFFFFF" w:themeColor="background1"/>
                      <w:sz w:val="18"/>
                      <w:szCs w:val="18"/>
                    </w:rPr>
                    <w:t>2008</w:t>
                  </w:r>
                  <w:r w:rsidRPr="00E141F1">
                    <w:rPr>
                      <w:rFonts w:cs="Arial"/>
                      <w:b/>
                      <w:color w:val="FFFFFF" w:themeColor="background1"/>
                      <w:sz w:val="18"/>
                      <w:szCs w:val="18"/>
                    </w:rPr>
                    <w:br/>
                    <w:t>–09</w:t>
                  </w:r>
                </w:p>
              </w:tc>
              <w:tc>
                <w:tcPr>
                  <w:tcW w:w="850" w:type="dxa"/>
                  <w:shd w:val="clear" w:color="auto" w:fill="00709E"/>
                  <w:vAlign w:val="center"/>
                </w:tcPr>
                <w:p w:rsidR="001E6FB8" w:rsidRPr="00E141F1" w:rsidRDefault="001E6FB8" w:rsidP="001E6FB8">
                  <w:pPr>
                    <w:keepNext/>
                    <w:keepLines/>
                    <w:spacing w:before="40" w:after="40" w:line="240" w:lineRule="auto"/>
                    <w:ind w:right="158"/>
                    <w:jc w:val="right"/>
                    <w:rPr>
                      <w:rFonts w:cs="Arial"/>
                      <w:b/>
                      <w:color w:val="FFFFFF" w:themeColor="background1"/>
                      <w:sz w:val="18"/>
                      <w:szCs w:val="18"/>
                    </w:rPr>
                  </w:pPr>
                  <w:r w:rsidRPr="00E141F1">
                    <w:rPr>
                      <w:rFonts w:cs="Arial"/>
                      <w:b/>
                      <w:color w:val="FFFFFF" w:themeColor="background1"/>
                      <w:sz w:val="18"/>
                      <w:szCs w:val="18"/>
                    </w:rPr>
                    <w:t>2009</w:t>
                  </w:r>
                  <w:r w:rsidRPr="00E141F1">
                    <w:rPr>
                      <w:rFonts w:cs="Arial"/>
                      <w:b/>
                      <w:color w:val="FFFFFF" w:themeColor="background1"/>
                      <w:sz w:val="18"/>
                      <w:szCs w:val="18"/>
                    </w:rPr>
                    <w:br/>
                    <w:t>–10</w:t>
                  </w:r>
                </w:p>
              </w:tc>
              <w:tc>
                <w:tcPr>
                  <w:tcW w:w="709" w:type="dxa"/>
                  <w:shd w:val="clear" w:color="auto" w:fill="00709E"/>
                  <w:vAlign w:val="center"/>
                </w:tcPr>
                <w:p w:rsidR="001E6FB8" w:rsidRPr="00E141F1" w:rsidRDefault="001E6FB8" w:rsidP="001E6FB8">
                  <w:pPr>
                    <w:keepNext/>
                    <w:keepLines/>
                    <w:spacing w:before="40" w:after="40" w:line="240" w:lineRule="auto"/>
                    <w:ind w:right="158"/>
                    <w:jc w:val="right"/>
                    <w:rPr>
                      <w:rFonts w:cs="Arial"/>
                      <w:b/>
                      <w:color w:val="FFFFFF" w:themeColor="background1"/>
                      <w:sz w:val="18"/>
                      <w:szCs w:val="18"/>
                    </w:rPr>
                  </w:pPr>
                  <w:r w:rsidRPr="00E141F1">
                    <w:rPr>
                      <w:rFonts w:cs="Arial"/>
                      <w:b/>
                      <w:color w:val="FFFFFF" w:themeColor="background1"/>
                      <w:sz w:val="18"/>
                      <w:szCs w:val="18"/>
                    </w:rPr>
                    <w:t>2010–11*</w:t>
                  </w:r>
                </w:p>
              </w:tc>
              <w:tc>
                <w:tcPr>
                  <w:tcW w:w="992" w:type="dxa"/>
                  <w:shd w:val="clear" w:color="auto" w:fill="00709E"/>
                  <w:vAlign w:val="center"/>
                </w:tcPr>
                <w:p w:rsidR="001E6FB8" w:rsidRPr="00E141F1" w:rsidRDefault="001E6FB8" w:rsidP="001E6FB8">
                  <w:pPr>
                    <w:keepNext/>
                    <w:keepLines/>
                    <w:spacing w:before="40" w:after="40" w:line="240" w:lineRule="auto"/>
                    <w:ind w:right="158"/>
                    <w:jc w:val="right"/>
                    <w:rPr>
                      <w:rFonts w:cs="Arial"/>
                      <w:b/>
                      <w:color w:val="FFFFFF" w:themeColor="background1"/>
                      <w:sz w:val="18"/>
                      <w:szCs w:val="18"/>
                    </w:rPr>
                  </w:pPr>
                  <w:r w:rsidRPr="00E141F1">
                    <w:rPr>
                      <w:rFonts w:cs="Arial"/>
                      <w:b/>
                      <w:color w:val="FFFFFF" w:themeColor="background1"/>
                      <w:sz w:val="18"/>
                      <w:szCs w:val="18"/>
                    </w:rPr>
                    <w:t>2011</w:t>
                  </w:r>
                  <w:r w:rsidRPr="00E141F1">
                    <w:rPr>
                      <w:rFonts w:cs="Arial"/>
                      <w:b/>
                      <w:color w:val="FFFFFF" w:themeColor="background1"/>
                      <w:sz w:val="18"/>
                      <w:szCs w:val="18"/>
                    </w:rPr>
                    <w:br/>
                    <w:t>–12</w:t>
                  </w:r>
                  <w:r w:rsidRPr="00E141F1">
                    <w:rPr>
                      <w:rFonts w:cs="Arial"/>
                      <w:color w:val="FFFFFF" w:themeColor="background1"/>
                      <w:sz w:val="18"/>
                      <w:szCs w:val="18"/>
                      <w:vertAlign w:val="superscript"/>
                    </w:rPr>
                    <w:t>†</w:t>
                  </w:r>
                </w:p>
              </w:tc>
              <w:tc>
                <w:tcPr>
                  <w:tcW w:w="993" w:type="dxa"/>
                  <w:tcBorders>
                    <w:right w:val="single" w:sz="4" w:space="0" w:color="C8C8C8"/>
                  </w:tcBorders>
                  <w:shd w:val="clear" w:color="auto" w:fill="00709E"/>
                  <w:vAlign w:val="center"/>
                </w:tcPr>
                <w:p w:rsidR="001E6FB8" w:rsidRPr="00E141F1" w:rsidRDefault="001E6FB8" w:rsidP="001E6FB8">
                  <w:pPr>
                    <w:keepNext/>
                    <w:keepLines/>
                    <w:spacing w:before="40" w:after="40" w:line="240" w:lineRule="auto"/>
                    <w:ind w:right="158"/>
                    <w:jc w:val="right"/>
                    <w:rPr>
                      <w:rFonts w:cs="Arial"/>
                      <w:b/>
                      <w:color w:val="FFFFFF" w:themeColor="background1"/>
                      <w:sz w:val="18"/>
                      <w:szCs w:val="18"/>
                    </w:rPr>
                  </w:pPr>
                  <w:r w:rsidRPr="00E141F1">
                    <w:rPr>
                      <w:rFonts w:cs="Arial"/>
                      <w:b/>
                      <w:color w:val="FFFFFF" w:themeColor="background1"/>
                      <w:sz w:val="18"/>
                      <w:szCs w:val="18"/>
                    </w:rPr>
                    <w:t>2012</w:t>
                  </w:r>
                  <w:r w:rsidRPr="00E141F1">
                    <w:rPr>
                      <w:rFonts w:cs="Arial"/>
                      <w:b/>
                      <w:color w:val="FFFFFF" w:themeColor="background1"/>
                      <w:sz w:val="18"/>
                      <w:szCs w:val="18"/>
                    </w:rPr>
                    <w:br/>
                    <w:t>–13</w:t>
                  </w:r>
                </w:p>
              </w:tc>
              <w:tc>
                <w:tcPr>
                  <w:tcW w:w="850" w:type="dxa"/>
                  <w:tcBorders>
                    <w:left w:val="single" w:sz="4" w:space="0" w:color="C8C8C8"/>
                  </w:tcBorders>
                  <w:shd w:val="clear" w:color="auto" w:fill="00709E"/>
                  <w:vAlign w:val="center"/>
                </w:tcPr>
                <w:p w:rsidR="001E6FB8" w:rsidRPr="00E141F1" w:rsidRDefault="001E6FB8" w:rsidP="001E6FB8">
                  <w:pPr>
                    <w:keepNext/>
                    <w:keepLines/>
                    <w:spacing w:before="40" w:after="40" w:line="240" w:lineRule="auto"/>
                    <w:ind w:right="158"/>
                    <w:jc w:val="right"/>
                    <w:rPr>
                      <w:rFonts w:cs="Arial"/>
                      <w:b/>
                      <w:color w:val="FFFFFF" w:themeColor="background1"/>
                      <w:sz w:val="18"/>
                      <w:szCs w:val="18"/>
                    </w:rPr>
                  </w:pPr>
                  <w:r w:rsidRPr="00E141F1">
                    <w:rPr>
                      <w:rFonts w:cs="Arial"/>
                      <w:b/>
                      <w:color w:val="FFFFFF" w:themeColor="background1"/>
                      <w:sz w:val="18"/>
                      <w:szCs w:val="18"/>
                    </w:rPr>
                    <w:t>2008</w:t>
                  </w:r>
                  <w:r w:rsidRPr="00E141F1">
                    <w:rPr>
                      <w:rFonts w:cs="Arial"/>
                      <w:b/>
                      <w:color w:val="FFFFFF" w:themeColor="background1"/>
                      <w:sz w:val="18"/>
                      <w:szCs w:val="18"/>
                    </w:rPr>
                    <w:br/>
                    <w:t>–09</w:t>
                  </w:r>
                </w:p>
              </w:tc>
              <w:tc>
                <w:tcPr>
                  <w:tcW w:w="709" w:type="dxa"/>
                  <w:shd w:val="clear" w:color="auto" w:fill="00709E"/>
                  <w:vAlign w:val="center"/>
                </w:tcPr>
                <w:p w:rsidR="001E6FB8" w:rsidRPr="00E141F1" w:rsidRDefault="001E6FB8" w:rsidP="001E6FB8">
                  <w:pPr>
                    <w:keepNext/>
                    <w:keepLines/>
                    <w:spacing w:before="40" w:after="40" w:line="240" w:lineRule="auto"/>
                    <w:ind w:right="158"/>
                    <w:jc w:val="right"/>
                    <w:rPr>
                      <w:rFonts w:cs="Arial"/>
                      <w:b/>
                      <w:color w:val="FFFFFF" w:themeColor="background1"/>
                      <w:sz w:val="18"/>
                      <w:szCs w:val="18"/>
                    </w:rPr>
                  </w:pPr>
                  <w:r w:rsidRPr="00E141F1">
                    <w:rPr>
                      <w:rFonts w:cs="Arial"/>
                      <w:b/>
                      <w:color w:val="FFFFFF" w:themeColor="background1"/>
                      <w:sz w:val="18"/>
                      <w:szCs w:val="18"/>
                    </w:rPr>
                    <w:t>2009</w:t>
                  </w:r>
                  <w:r w:rsidRPr="00E141F1">
                    <w:rPr>
                      <w:rFonts w:cs="Arial"/>
                      <w:b/>
                      <w:color w:val="FFFFFF" w:themeColor="background1"/>
                      <w:sz w:val="18"/>
                      <w:szCs w:val="18"/>
                    </w:rPr>
                    <w:br/>
                    <w:t>–10</w:t>
                  </w:r>
                </w:p>
              </w:tc>
              <w:tc>
                <w:tcPr>
                  <w:tcW w:w="709" w:type="dxa"/>
                  <w:shd w:val="clear" w:color="auto" w:fill="00709E"/>
                  <w:vAlign w:val="center"/>
                </w:tcPr>
                <w:p w:rsidR="001E6FB8" w:rsidRPr="00E141F1" w:rsidRDefault="001E6FB8" w:rsidP="001E6FB8">
                  <w:pPr>
                    <w:keepNext/>
                    <w:keepLines/>
                    <w:spacing w:before="40" w:after="40" w:line="240" w:lineRule="auto"/>
                    <w:ind w:right="158"/>
                    <w:jc w:val="right"/>
                    <w:rPr>
                      <w:rFonts w:cs="Arial"/>
                      <w:b/>
                      <w:color w:val="FFFFFF" w:themeColor="background1"/>
                      <w:sz w:val="18"/>
                      <w:szCs w:val="18"/>
                    </w:rPr>
                  </w:pPr>
                  <w:r w:rsidRPr="00E141F1">
                    <w:rPr>
                      <w:rFonts w:cs="Arial"/>
                      <w:b/>
                      <w:color w:val="FFFFFF" w:themeColor="background1"/>
                      <w:sz w:val="18"/>
                      <w:szCs w:val="18"/>
                    </w:rPr>
                    <w:t>2010</w:t>
                  </w:r>
                  <w:r w:rsidRPr="00E141F1">
                    <w:rPr>
                      <w:rFonts w:cs="Arial"/>
                      <w:b/>
                      <w:color w:val="FFFFFF" w:themeColor="background1"/>
                      <w:sz w:val="18"/>
                      <w:szCs w:val="18"/>
                    </w:rPr>
                    <w:br/>
                    <w:t>–11*</w:t>
                  </w:r>
                </w:p>
              </w:tc>
              <w:tc>
                <w:tcPr>
                  <w:tcW w:w="1134" w:type="dxa"/>
                  <w:shd w:val="clear" w:color="auto" w:fill="00709E"/>
                  <w:vAlign w:val="center"/>
                </w:tcPr>
                <w:p w:rsidR="001E6FB8" w:rsidRPr="00E141F1" w:rsidRDefault="001E6FB8" w:rsidP="001E6FB8">
                  <w:pPr>
                    <w:keepNext/>
                    <w:keepLines/>
                    <w:spacing w:before="40" w:after="40" w:line="240" w:lineRule="auto"/>
                    <w:ind w:right="143"/>
                    <w:jc w:val="right"/>
                    <w:rPr>
                      <w:rFonts w:cs="Arial"/>
                      <w:b/>
                      <w:color w:val="FFFFFF" w:themeColor="background1"/>
                      <w:sz w:val="18"/>
                      <w:szCs w:val="18"/>
                    </w:rPr>
                  </w:pPr>
                  <w:r w:rsidRPr="00E141F1">
                    <w:rPr>
                      <w:rFonts w:cs="Arial"/>
                      <w:b/>
                      <w:color w:val="FFFFFF" w:themeColor="background1"/>
                      <w:sz w:val="18"/>
                      <w:szCs w:val="18"/>
                    </w:rPr>
                    <w:t>2011</w:t>
                  </w:r>
                  <w:r w:rsidRPr="00E141F1">
                    <w:rPr>
                      <w:rFonts w:cs="Arial"/>
                      <w:b/>
                      <w:color w:val="FFFFFF" w:themeColor="background1"/>
                      <w:sz w:val="18"/>
                      <w:szCs w:val="18"/>
                    </w:rPr>
                    <w:br/>
                    <w:t>–12</w:t>
                  </w:r>
                  <w:r w:rsidRPr="00E141F1">
                    <w:rPr>
                      <w:rFonts w:cs="Arial"/>
                      <w:b/>
                      <w:color w:val="FFFFFF" w:themeColor="background1"/>
                      <w:sz w:val="18"/>
                      <w:szCs w:val="18"/>
                      <w:vertAlign w:val="superscript"/>
                    </w:rPr>
                    <w:t>†</w:t>
                  </w:r>
                </w:p>
              </w:tc>
              <w:tc>
                <w:tcPr>
                  <w:tcW w:w="1039" w:type="dxa"/>
                  <w:shd w:val="clear" w:color="auto" w:fill="00709E"/>
                  <w:vAlign w:val="center"/>
                </w:tcPr>
                <w:p w:rsidR="001E6FB8" w:rsidRPr="00E141F1" w:rsidRDefault="001E6FB8" w:rsidP="001E6FB8">
                  <w:pPr>
                    <w:keepNext/>
                    <w:keepLines/>
                    <w:spacing w:before="40" w:after="40" w:line="240" w:lineRule="auto"/>
                    <w:ind w:right="158"/>
                    <w:jc w:val="right"/>
                    <w:rPr>
                      <w:rFonts w:cs="Arial"/>
                      <w:b/>
                      <w:color w:val="FFFFFF" w:themeColor="background1"/>
                      <w:sz w:val="18"/>
                      <w:szCs w:val="18"/>
                    </w:rPr>
                  </w:pPr>
                  <w:r w:rsidRPr="00E141F1">
                    <w:rPr>
                      <w:rFonts w:cs="Arial"/>
                      <w:b/>
                      <w:color w:val="FFFFFF" w:themeColor="background1"/>
                      <w:sz w:val="18"/>
                      <w:szCs w:val="18"/>
                    </w:rPr>
                    <w:t>2012</w:t>
                  </w:r>
                  <w:r w:rsidRPr="00E141F1">
                    <w:rPr>
                      <w:rFonts w:cs="Arial"/>
                      <w:b/>
                      <w:color w:val="FFFFFF" w:themeColor="background1"/>
                      <w:sz w:val="18"/>
                      <w:szCs w:val="18"/>
                    </w:rPr>
                    <w:br/>
                    <w:t>–13</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3E4870" w:rsidRDefault="001E6FB8" w:rsidP="001E6FB8">
                  <w:pPr>
                    <w:keepNext/>
                    <w:keepLines/>
                    <w:ind w:right="158"/>
                    <w:rPr>
                      <w:rFonts w:cs="Arial"/>
                      <w:color w:val="00709E"/>
                      <w:sz w:val="18"/>
                      <w:szCs w:val="18"/>
                    </w:rPr>
                  </w:pPr>
                  <w:r w:rsidRPr="003E4870">
                    <w:rPr>
                      <w:rFonts w:cs="Arial"/>
                      <w:b/>
                      <w:bCs/>
                      <w:color w:val="00709E"/>
                      <w:sz w:val="18"/>
                      <w:szCs w:val="18"/>
                    </w:rPr>
                    <w:t>Telstra</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sz w:val="18"/>
                      <w:szCs w:val="18"/>
                    </w:rPr>
                  </w:pPr>
                </w:p>
              </w:tc>
              <w:tc>
                <w:tcPr>
                  <w:tcW w:w="850" w:type="dxa"/>
                  <w:vAlign w:val="center"/>
                </w:tcPr>
                <w:p w:rsidR="001E6FB8" w:rsidRPr="00E141F1" w:rsidRDefault="001E6FB8" w:rsidP="001E6FB8">
                  <w:pPr>
                    <w:keepNext/>
                    <w:keepLines/>
                    <w:ind w:right="158"/>
                    <w:jc w:val="right"/>
                    <w:rPr>
                      <w:rFonts w:cs="Arial"/>
                      <w:sz w:val="18"/>
                      <w:szCs w:val="18"/>
                    </w:rPr>
                  </w:pPr>
                </w:p>
              </w:tc>
              <w:tc>
                <w:tcPr>
                  <w:tcW w:w="709" w:type="dxa"/>
                  <w:vAlign w:val="center"/>
                </w:tcPr>
                <w:p w:rsidR="001E6FB8" w:rsidRPr="00E141F1" w:rsidRDefault="001E6FB8" w:rsidP="001E6FB8">
                  <w:pPr>
                    <w:keepNext/>
                    <w:keepLines/>
                    <w:ind w:right="158"/>
                    <w:jc w:val="right"/>
                    <w:rPr>
                      <w:rFonts w:cs="Arial"/>
                      <w:sz w:val="18"/>
                      <w:szCs w:val="18"/>
                    </w:rPr>
                  </w:pPr>
                </w:p>
              </w:tc>
              <w:tc>
                <w:tcPr>
                  <w:tcW w:w="992" w:type="dxa"/>
                  <w:vAlign w:val="center"/>
                </w:tcPr>
                <w:p w:rsidR="001E6FB8" w:rsidRPr="00E141F1" w:rsidRDefault="001E6FB8" w:rsidP="001E6FB8">
                  <w:pPr>
                    <w:keepNext/>
                    <w:keepLines/>
                    <w:ind w:right="158"/>
                    <w:jc w:val="right"/>
                    <w:rPr>
                      <w:rFonts w:cs="Arial"/>
                      <w:sz w:val="18"/>
                      <w:szCs w:val="18"/>
                    </w:rPr>
                  </w:pP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sz w:val="18"/>
                      <w:szCs w:val="18"/>
                    </w:rPr>
                  </w:pPr>
                </w:p>
              </w:tc>
              <w:tc>
                <w:tcPr>
                  <w:tcW w:w="850" w:type="dxa"/>
                  <w:tcBorders>
                    <w:left w:val="single" w:sz="4" w:space="0" w:color="C8C8C8"/>
                  </w:tcBorders>
                  <w:vAlign w:val="center"/>
                </w:tcPr>
                <w:p w:rsidR="001E6FB8" w:rsidRPr="00E141F1" w:rsidRDefault="001E6FB8" w:rsidP="001E6FB8">
                  <w:pPr>
                    <w:keepNext/>
                    <w:keepLines/>
                    <w:ind w:right="158"/>
                    <w:jc w:val="right"/>
                    <w:rPr>
                      <w:rFonts w:cs="Arial"/>
                      <w:sz w:val="18"/>
                      <w:szCs w:val="18"/>
                    </w:rPr>
                  </w:pPr>
                </w:p>
              </w:tc>
              <w:tc>
                <w:tcPr>
                  <w:tcW w:w="709" w:type="dxa"/>
                  <w:vAlign w:val="center"/>
                </w:tcPr>
                <w:p w:rsidR="001E6FB8" w:rsidRPr="00E141F1" w:rsidRDefault="001E6FB8" w:rsidP="001E6FB8">
                  <w:pPr>
                    <w:keepNext/>
                    <w:keepLines/>
                    <w:ind w:right="158"/>
                    <w:jc w:val="right"/>
                    <w:rPr>
                      <w:rFonts w:cs="Arial"/>
                      <w:sz w:val="18"/>
                      <w:szCs w:val="18"/>
                    </w:rPr>
                  </w:pPr>
                </w:p>
              </w:tc>
              <w:tc>
                <w:tcPr>
                  <w:tcW w:w="709" w:type="dxa"/>
                  <w:vAlign w:val="center"/>
                </w:tcPr>
                <w:p w:rsidR="001E6FB8" w:rsidRPr="00E141F1" w:rsidRDefault="001E6FB8" w:rsidP="001E6FB8">
                  <w:pPr>
                    <w:keepNext/>
                    <w:keepLines/>
                    <w:ind w:right="158"/>
                    <w:jc w:val="right"/>
                    <w:rPr>
                      <w:rFonts w:cs="Arial"/>
                      <w:sz w:val="18"/>
                      <w:szCs w:val="18"/>
                    </w:rPr>
                  </w:pPr>
                </w:p>
              </w:tc>
              <w:tc>
                <w:tcPr>
                  <w:tcW w:w="1134" w:type="dxa"/>
                  <w:vAlign w:val="center"/>
                </w:tcPr>
                <w:p w:rsidR="001E6FB8" w:rsidRPr="00E141F1" w:rsidRDefault="001E6FB8" w:rsidP="001E6FB8">
                  <w:pPr>
                    <w:keepNext/>
                    <w:keepLines/>
                    <w:ind w:right="143"/>
                    <w:jc w:val="right"/>
                    <w:rPr>
                      <w:rFonts w:cs="Arial"/>
                      <w:sz w:val="18"/>
                      <w:szCs w:val="18"/>
                    </w:rPr>
                  </w:pPr>
                </w:p>
              </w:tc>
              <w:tc>
                <w:tcPr>
                  <w:tcW w:w="1039" w:type="dxa"/>
                  <w:vAlign w:val="center"/>
                </w:tcPr>
                <w:p w:rsidR="001E6FB8" w:rsidRPr="00E141F1" w:rsidRDefault="001E6FB8" w:rsidP="001E6FB8">
                  <w:pPr>
                    <w:keepNext/>
                    <w:keepLines/>
                    <w:ind w:right="158"/>
                    <w:jc w:val="right"/>
                    <w:rPr>
                      <w:rFonts w:cs="Arial"/>
                      <w:sz w:val="18"/>
                      <w:szCs w:val="18"/>
                    </w:rPr>
                  </w:pPr>
                </w:p>
              </w:tc>
            </w:tr>
            <w:tr w:rsidR="001E6FB8" w:rsidRPr="00E141F1" w:rsidTr="00CD28AF">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National</w:t>
                  </w:r>
                </w:p>
              </w:tc>
              <w:tc>
                <w:tcPr>
                  <w:tcW w:w="709" w:type="dxa"/>
                  <w:shd w:val="clear" w:color="auto" w:fill="auto"/>
                  <w:tcMar>
                    <w:left w:w="113" w:type="dxa"/>
                  </w:tcMar>
                  <w:vAlign w:val="center"/>
                </w:tcPr>
                <w:p w:rsidR="001E6FB8" w:rsidRPr="00E141F1" w:rsidRDefault="001E6FB8" w:rsidP="00CD28AF">
                  <w:pPr>
                    <w:keepNext/>
                    <w:keepLines/>
                    <w:ind w:right="158"/>
                    <w:jc w:val="right"/>
                    <w:rPr>
                      <w:rFonts w:cs="Arial"/>
                      <w:sz w:val="18"/>
                      <w:szCs w:val="18"/>
                    </w:rPr>
                  </w:pPr>
                  <w:r w:rsidRPr="00E141F1">
                    <w:rPr>
                      <w:rFonts w:cs="Arial"/>
                      <w:sz w:val="18"/>
                      <w:szCs w:val="18"/>
                    </w:rPr>
                    <w:t>88%</w:t>
                  </w:r>
                </w:p>
              </w:tc>
              <w:tc>
                <w:tcPr>
                  <w:tcW w:w="850" w:type="dxa"/>
                  <w:vAlign w:val="center"/>
                </w:tcPr>
                <w:p w:rsidR="001E6FB8" w:rsidRPr="00E141F1" w:rsidRDefault="001E6FB8" w:rsidP="00CD28AF">
                  <w:pPr>
                    <w:keepNext/>
                    <w:keepLines/>
                    <w:ind w:right="158"/>
                    <w:jc w:val="right"/>
                    <w:rPr>
                      <w:rFonts w:cs="Arial"/>
                      <w:sz w:val="18"/>
                      <w:szCs w:val="18"/>
                    </w:rPr>
                  </w:pPr>
                  <w:r w:rsidRPr="00E141F1">
                    <w:rPr>
                      <w:rFonts w:cs="Arial"/>
                      <w:sz w:val="18"/>
                      <w:szCs w:val="18"/>
                    </w:rPr>
                    <w:t>92%</w:t>
                  </w:r>
                </w:p>
              </w:tc>
              <w:tc>
                <w:tcPr>
                  <w:tcW w:w="709" w:type="dxa"/>
                  <w:vAlign w:val="center"/>
                </w:tcPr>
                <w:p w:rsidR="001E6FB8" w:rsidRPr="00E141F1" w:rsidRDefault="001E6FB8" w:rsidP="00CD28AF">
                  <w:pPr>
                    <w:keepNext/>
                    <w:keepLines/>
                    <w:ind w:right="158"/>
                    <w:jc w:val="right"/>
                    <w:rPr>
                      <w:rFonts w:cs="Arial"/>
                      <w:sz w:val="18"/>
                      <w:szCs w:val="18"/>
                    </w:rPr>
                  </w:pPr>
                  <w:r w:rsidRPr="00E141F1">
                    <w:rPr>
                      <w:rFonts w:cs="Arial"/>
                      <w:sz w:val="18"/>
                      <w:szCs w:val="18"/>
                    </w:rPr>
                    <w:t>93%</w:t>
                  </w:r>
                </w:p>
              </w:tc>
              <w:tc>
                <w:tcPr>
                  <w:tcW w:w="992"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92%</w:t>
                  </w:r>
                </w:p>
                <w:p w:rsidR="001E6FB8" w:rsidRPr="00E141F1" w:rsidRDefault="001E6FB8" w:rsidP="001E6FB8">
                  <w:pPr>
                    <w:keepNext/>
                    <w:keepLines/>
                    <w:ind w:right="158"/>
                    <w:jc w:val="right"/>
                    <w:rPr>
                      <w:rFonts w:cs="Arial"/>
                      <w:sz w:val="18"/>
                      <w:szCs w:val="18"/>
                    </w:rPr>
                  </w:pPr>
                  <w:r w:rsidRPr="00E141F1">
                    <w:rPr>
                      <w:rFonts w:cs="Arial"/>
                      <w:sz w:val="18"/>
                      <w:szCs w:val="18"/>
                    </w:rPr>
                    <w:t>(40,881)</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93%</w:t>
                  </w:r>
                </w:p>
                <w:p w:rsidR="001E6FB8" w:rsidRPr="00E141F1" w:rsidRDefault="001E6FB8" w:rsidP="001E6FB8">
                  <w:pPr>
                    <w:keepNext/>
                    <w:keepLines/>
                    <w:ind w:right="158"/>
                    <w:jc w:val="right"/>
                    <w:rPr>
                      <w:rFonts w:cs="Arial"/>
                      <w:sz w:val="18"/>
                      <w:szCs w:val="18"/>
                    </w:rPr>
                  </w:pPr>
                  <w:r w:rsidRPr="00E141F1">
                    <w:rPr>
                      <w:rFonts w:cs="Arial"/>
                      <w:sz w:val="18"/>
                      <w:szCs w:val="18"/>
                    </w:rPr>
                    <w:t>(42,700)</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93%</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92%</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93%</w:t>
                  </w:r>
                </w:p>
              </w:tc>
              <w:tc>
                <w:tcPr>
                  <w:tcW w:w="1134" w:type="dxa"/>
                  <w:vAlign w:val="center"/>
                </w:tcPr>
                <w:p w:rsidR="001E6FB8" w:rsidRPr="00E141F1" w:rsidRDefault="001E6FB8" w:rsidP="001E6FB8">
                  <w:pPr>
                    <w:keepNext/>
                    <w:keepLines/>
                    <w:ind w:right="143"/>
                    <w:jc w:val="right"/>
                    <w:rPr>
                      <w:rFonts w:cs="Arial"/>
                      <w:sz w:val="18"/>
                      <w:szCs w:val="18"/>
                    </w:rPr>
                  </w:pPr>
                  <w:r w:rsidRPr="00E141F1">
                    <w:rPr>
                      <w:rFonts w:cs="Arial"/>
                      <w:sz w:val="18"/>
                      <w:szCs w:val="18"/>
                    </w:rPr>
                    <w:t>95%</w:t>
                  </w:r>
                </w:p>
                <w:p w:rsidR="001E6FB8" w:rsidRPr="00E141F1" w:rsidRDefault="001E6FB8" w:rsidP="001E6FB8">
                  <w:pPr>
                    <w:keepNext/>
                    <w:keepLines/>
                    <w:ind w:right="143"/>
                    <w:jc w:val="right"/>
                    <w:rPr>
                      <w:rFonts w:cs="Arial"/>
                      <w:sz w:val="18"/>
                      <w:szCs w:val="18"/>
                    </w:rPr>
                  </w:pPr>
                  <w:r w:rsidRPr="00E141F1">
                    <w:rPr>
                      <w:rFonts w:cs="Arial"/>
                      <w:sz w:val="18"/>
                      <w:szCs w:val="18"/>
                    </w:rPr>
                    <w:t>(130,946)</w:t>
                  </w:r>
                </w:p>
              </w:tc>
              <w:tc>
                <w:tcPr>
                  <w:tcW w:w="103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96%</w:t>
                  </w:r>
                </w:p>
                <w:p w:rsidR="001E6FB8" w:rsidRPr="00E141F1" w:rsidRDefault="001E6FB8" w:rsidP="001E6FB8">
                  <w:pPr>
                    <w:keepNext/>
                    <w:keepLines/>
                    <w:ind w:right="158"/>
                    <w:jc w:val="right"/>
                    <w:rPr>
                      <w:rFonts w:cs="Arial"/>
                      <w:sz w:val="18"/>
                      <w:szCs w:val="18"/>
                    </w:rPr>
                  </w:pPr>
                  <w:r w:rsidRPr="00E141F1">
                    <w:rPr>
                      <w:rFonts w:cs="Arial"/>
                      <w:sz w:val="18"/>
                      <w:szCs w:val="18"/>
                    </w:rPr>
                    <w:t>(155,378)</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Urban</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88%</w:t>
                  </w:r>
                </w:p>
              </w:tc>
              <w:tc>
                <w:tcPr>
                  <w:tcW w:w="850"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92%</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94%</w:t>
                  </w:r>
                </w:p>
              </w:tc>
              <w:tc>
                <w:tcPr>
                  <w:tcW w:w="992"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92%</w:t>
                  </w:r>
                </w:p>
                <w:p w:rsidR="001E6FB8" w:rsidRPr="00E141F1" w:rsidRDefault="001E6FB8" w:rsidP="001E6FB8">
                  <w:pPr>
                    <w:keepNext/>
                    <w:keepLines/>
                    <w:ind w:right="158"/>
                    <w:jc w:val="right"/>
                    <w:rPr>
                      <w:rFonts w:cs="Arial"/>
                      <w:sz w:val="18"/>
                      <w:szCs w:val="18"/>
                    </w:rPr>
                  </w:pPr>
                  <w:r w:rsidRPr="00E141F1">
                    <w:rPr>
                      <w:rFonts w:cs="Arial"/>
                      <w:sz w:val="18"/>
                      <w:szCs w:val="18"/>
                    </w:rPr>
                    <w:t>(30,618)</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93%</w:t>
                  </w:r>
                </w:p>
                <w:p w:rsidR="001E6FB8" w:rsidRPr="00E141F1" w:rsidRDefault="001E6FB8" w:rsidP="001E6FB8">
                  <w:pPr>
                    <w:keepNext/>
                    <w:keepLines/>
                    <w:ind w:right="158"/>
                    <w:jc w:val="right"/>
                    <w:rPr>
                      <w:rFonts w:cs="Arial"/>
                      <w:sz w:val="18"/>
                      <w:szCs w:val="18"/>
                    </w:rPr>
                  </w:pPr>
                  <w:r w:rsidRPr="00E141F1">
                    <w:rPr>
                      <w:rFonts w:cs="Arial"/>
                      <w:sz w:val="18"/>
                      <w:szCs w:val="18"/>
                    </w:rPr>
                    <w:t>(32,536)</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94%</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93%</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94%</w:t>
                  </w:r>
                </w:p>
              </w:tc>
              <w:tc>
                <w:tcPr>
                  <w:tcW w:w="1134" w:type="dxa"/>
                  <w:vAlign w:val="center"/>
                </w:tcPr>
                <w:p w:rsidR="001E6FB8" w:rsidRPr="00E141F1" w:rsidRDefault="001E6FB8" w:rsidP="001E6FB8">
                  <w:pPr>
                    <w:keepNext/>
                    <w:keepLines/>
                    <w:ind w:right="143"/>
                    <w:jc w:val="right"/>
                    <w:rPr>
                      <w:rFonts w:cs="Arial"/>
                      <w:sz w:val="18"/>
                      <w:szCs w:val="18"/>
                    </w:rPr>
                  </w:pPr>
                  <w:r w:rsidRPr="00E141F1">
                    <w:rPr>
                      <w:rFonts w:cs="Arial"/>
                      <w:sz w:val="18"/>
                      <w:szCs w:val="18"/>
                    </w:rPr>
                    <w:t>96%</w:t>
                  </w:r>
                </w:p>
                <w:p w:rsidR="001E6FB8" w:rsidRPr="00E141F1" w:rsidRDefault="001E6FB8" w:rsidP="001E6FB8">
                  <w:pPr>
                    <w:keepNext/>
                    <w:keepLines/>
                    <w:ind w:right="143"/>
                    <w:jc w:val="right"/>
                    <w:rPr>
                      <w:rFonts w:cs="Arial"/>
                      <w:sz w:val="18"/>
                      <w:szCs w:val="18"/>
                    </w:rPr>
                  </w:pPr>
                  <w:r w:rsidRPr="00E141F1">
                    <w:rPr>
                      <w:rFonts w:cs="Arial"/>
                      <w:sz w:val="18"/>
                      <w:szCs w:val="18"/>
                    </w:rPr>
                    <w:t>(95,586)</w:t>
                  </w:r>
                </w:p>
              </w:tc>
              <w:tc>
                <w:tcPr>
                  <w:tcW w:w="103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97%</w:t>
                  </w:r>
                </w:p>
                <w:p w:rsidR="001E6FB8" w:rsidRPr="00E141F1" w:rsidRDefault="001E6FB8" w:rsidP="001E6FB8">
                  <w:pPr>
                    <w:keepNext/>
                    <w:keepLines/>
                    <w:ind w:right="158"/>
                    <w:jc w:val="right"/>
                    <w:rPr>
                      <w:rFonts w:cs="Arial"/>
                      <w:sz w:val="18"/>
                      <w:szCs w:val="18"/>
                    </w:rPr>
                  </w:pPr>
                  <w:r w:rsidRPr="00E141F1">
                    <w:rPr>
                      <w:rFonts w:cs="Arial"/>
                      <w:sz w:val="18"/>
                      <w:szCs w:val="18"/>
                    </w:rPr>
                    <w:t>(114,800)</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Rural</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88%</w:t>
                  </w:r>
                </w:p>
              </w:tc>
              <w:tc>
                <w:tcPr>
                  <w:tcW w:w="850"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92%</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93%</w:t>
                  </w:r>
                </w:p>
              </w:tc>
              <w:tc>
                <w:tcPr>
                  <w:tcW w:w="992"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92%</w:t>
                  </w:r>
                </w:p>
                <w:p w:rsidR="001E6FB8" w:rsidRPr="00E141F1" w:rsidRDefault="001E6FB8" w:rsidP="001E6FB8">
                  <w:pPr>
                    <w:keepNext/>
                    <w:keepLines/>
                    <w:ind w:right="158"/>
                    <w:jc w:val="right"/>
                    <w:rPr>
                      <w:rFonts w:cs="Arial"/>
                      <w:sz w:val="18"/>
                      <w:szCs w:val="18"/>
                    </w:rPr>
                  </w:pPr>
                  <w:r w:rsidRPr="00E141F1">
                    <w:rPr>
                      <w:rFonts w:cs="Arial"/>
                      <w:sz w:val="18"/>
                      <w:szCs w:val="18"/>
                    </w:rPr>
                    <w:t>(9,970)</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93%</w:t>
                  </w:r>
                </w:p>
                <w:p w:rsidR="001E6FB8" w:rsidRDefault="001E6FB8" w:rsidP="001E6FB8">
                  <w:pPr>
                    <w:keepNext/>
                    <w:keepLines/>
                    <w:ind w:right="158"/>
                    <w:jc w:val="right"/>
                    <w:rPr>
                      <w:rFonts w:cs="Arial"/>
                      <w:sz w:val="18"/>
                      <w:szCs w:val="18"/>
                    </w:rPr>
                  </w:pPr>
                  <w:r w:rsidRPr="00E141F1">
                    <w:rPr>
                      <w:rFonts w:cs="Arial"/>
                      <w:sz w:val="18"/>
                      <w:szCs w:val="18"/>
                    </w:rPr>
                    <w:t>(9,886)</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90%</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89%</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90%</w:t>
                  </w:r>
                </w:p>
              </w:tc>
              <w:tc>
                <w:tcPr>
                  <w:tcW w:w="1134" w:type="dxa"/>
                  <w:vAlign w:val="center"/>
                </w:tcPr>
                <w:p w:rsidR="001E6FB8" w:rsidRPr="00E141F1" w:rsidRDefault="001E6FB8" w:rsidP="001E6FB8">
                  <w:pPr>
                    <w:keepNext/>
                    <w:keepLines/>
                    <w:ind w:right="143"/>
                    <w:jc w:val="right"/>
                    <w:rPr>
                      <w:rFonts w:cs="Arial"/>
                      <w:sz w:val="18"/>
                      <w:szCs w:val="18"/>
                    </w:rPr>
                  </w:pPr>
                  <w:r w:rsidRPr="00E141F1">
                    <w:rPr>
                      <w:rFonts w:cs="Arial"/>
                      <w:sz w:val="18"/>
                      <w:szCs w:val="18"/>
                    </w:rPr>
                    <w:t>92%</w:t>
                  </w:r>
                </w:p>
                <w:p w:rsidR="001E6FB8" w:rsidRPr="00E141F1" w:rsidRDefault="001E6FB8" w:rsidP="001E6FB8">
                  <w:pPr>
                    <w:keepNext/>
                    <w:keepLines/>
                    <w:ind w:right="143"/>
                    <w:jc w:val="right"/>
                    <w:rPr>
                      <w:rFonts w:cs="Arial"/>
                      <w:sz w:val="18"/>
                      <w:szCs w:val="18"/>
                    </w:rPr>
                  </w:pPr>
                  <w:r w:rsidRPr="00E141F1">
                    <w:rPr>
                      <w:rFonts w:cs="Arial"/>
                      <w:sz w:val="18"/>
                      <w:szCs w:val="18"/>
                    </w:rPr>
                    <w:t>(34,855)</w:t>
                  </w:r>
                </w:p>
              </w:tc>
              <w:tc>
                <w:tcPr>
                  <w:tcW w:w="103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92%</w:t>
                  </w:r>
                </w:p>
                <w:p w:rsidR="001E6FB8" w:rsidRPr="00E141F1" w:rsidRDefault="001E6FB8" w:rsidP="001E6FB8">
                  <w:pPr>
                    <w:keepNext/>
                    <w:keepLines/>
                    <w:ind w:right="158"/>
                    <w:jc w:val="right"/>
                    <w:rPr>
                      <w:rFonts w:cs="Arial"/>
                      <w:sz w:val="18"/>
                      <w:szCs w:val="18"/>
                    </w:rPr>
                  </w:pPr>
                  <w:r w:rsidRPr="00E141F1">
                    <w:rPr>
                      <w:rFonts w:cs="Arial"/>
                      <w:sz w:val="18"/>
                      <w:szCs w:val="18"/>
                    </w:rPr>
                    <w:t>(40,045)</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Remote</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85%</w:t>
                  </w:r>
                </w:p>
              </w:tc>
              <w:tc>
                <w:tcPr>
                  <w:tcW w:w="850"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90%</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89%</w:t>
                  </w:r>
                </w:p>
              </w:tc>
              <w:tc>
                <w:tcPr>
                  <w:tcW w:w="992"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84%</w:t>
                  </w:r>
                </w:p>
                <w:p w:rsidR="001E6FB8" w:rsidRPr="00E141F1" w:rsidRDefault="001E6FB8" w:rsidP="001E6FB8">
                  <w:pPr>
                    <w:keepNext/>
                    <w:keepLines/>
                    <w:ind w:right="158"/>
                    <w:jc w:val="right"/>
                    <w:rPr>
                      <w:rFonts w:cs="Arial"/>
                      <w:sz w:val="18"/>
                      <w:szCs w:val="18"/>
                    </w:rPr>
                  </w:pPr>
                  <w:r w:rsidRPr="00E141F1">
                    <w:rPr>
                      <w:rFonts w:cs="Arial"/>
                      <w:sz w:val="18"/>
                      <w:szCs w:val="18"/>
                    </w:rPr>
                    <w:t>(295)</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89%</w:t>
                  </w:r>
                </w:p>
                <w:p w:rsidR="001E6FB8" w:rsidRPr="00E141F1" w:rsidRDefault="001E6FB8" w:rsidP="001E6FB8">
                  <w:pPr>
                    <w:keepNext/>
                    <w:keepLines/>
                    <w:ind w:right="158"/>
                    <w:jc w:val="right"/>
                    <w:rPr>
                      <w:rFonts w:cs="Arial"/>
                      <w:sz w:val="18"/>
                      <w:szCs w:val="18"/>
                    </w:rPr>
                  </w:pPr>
                  <w:r w:rsidRPr="00E141F1">
                    <w:rPr>
                      <w:rFonts w:cs="Arial"/>
                      <w:sz w:val="18"/>
                      <w:szCs w:val="18"/>
                    </w:rPr>
                    <w:t>(277)</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86%</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84%</w:t>
                  </w:r>
                </w:p>
              </w:tc>
              <w:tc>
                <w:tcPr>
                  <w:tcW w:w="70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87%</w:t>
                  </w:r>
                </w:p>
              </w:tc>
              <w:tc>
                <w:tcPr>
                  <w:tcW w:w="1134" w:type="dxa"/>
                  <w:vAlign w:val="center"/>
                </w:tcPr>
                <w:p w:rsidR="001E6FB8" w:rsidRPr="00E141F1" w:rsidRDefault="001E6FB8" w:rsidP="001E6FB8">
                  <w:pPr>
                    <w:keepNext/>
                    <w:keepLines/>
                    <w:ind w:right="143"/>
                    <w:jc w:val="right"/>
                    <w:rPr>
                      <w:rFonts w:cs="Arial"/>
                      <w:sz w:val="18"/>
                      <w:szCs w:val="18"/>
                    </w:rPr>
                  </w:pPr>
                  <w:r w:rsidRPr="00E141F1">
                    <w:rPr>
                      <w:rFonts w:cs="Arial"/>
                      <w:sz w:val="18"/>
                      <w:szCs w:val="18"/>
                    </w:rPr>
                    <w:t>94%</w:t>
                  </w:r>
                </w:p>
                <w:p w:rsidR="001E6FB8" w:rsidRPr="00E141F1" w:rsidRDefault="001E6FB8" w:rsidP="001E6FB8">
                  <w:pPr>
                    <w:keepNext/>
                    <w:keepLines/>
                    <w:ind w:right="143"/>
                    <w:jc w:val="right"/>
                    <w:rPr>
                      <w:rFonts w:cs="Arial"/>
                      <w:sz w:val="18"/>
                      <w:szCs w:val="18"/>
                    </w:rPr>
                  </w:pPr>
                  <w:r w:rsidRPr="00E141F1">
                    <w:rPr>
                      <w:rFonts w:cs="Arial"/>
                      <w:sz w:val="18"/>
                      <w:szCs w:val="18"/>
                    </w:rPr>
                    <w:t>(469)</w:t>
                  </w:r>
                </w:p>
              </w:tc>
              <w:tc>
                <w:tcPr>
                  <w:tcW w:w="1039" w:type="dxa"/>
                  <w:vAlign w:val="center"/>
                </w:tcPr>
                <w:p w:rsidR="001E6FB8" w:rsidRPr="00E141F1" w:rsidRDefault="001E6FB8" w:rsidP="001E6FB8">
                  <w:pPr>
                    <w:keepNext/>
                    <w:keepLines/>
                    <w:ind w:right="158"/>
                    <w:jc w:val="right"/>
                    <w:rPr>
                      <w:rFonts w:cs="Arial"/>
                      <w:sz w:val="18"/>
                      <w:szCs w:val="18"/>
                    </w:rPr>
                  </w:pPr>
                  <w:r w:rsidRPr="00E141F1">
                    <w:rPr>
                      <w:rFonts w:cs="Arial"/>
                      <w:sz w:val="18"/>
                      <w:szCs w:val="18"/>
                    </w:rPr>
                    <w:t>92%</w:t>
                  </w:r>
                </w:p>
                <w:p w:rsidR="001E6FB8" w:rsidRPr="00E141F1" w:rsidRDefault="001E6FB8" w:rsidP="001E6FB8">
                  <w:pPr>
                    <w:keepNext/>
                    <w:keepLines/>
                    <w:ind w:right="158"/>
                    <w:jc w:val="right"/>
                    <w:rPr>
                      <w:rFonts w:cs="Arial"/>
                      <w:sz w:val="18"/>
                      <w:szCs w:val="18"/>
                    </w:rPr>
                  </w:pPr>
                  <w:r w:rsidRPr="00E141F1">
                    <w:rPr>
                      <w:rFonts w:cs="Arial"/>
                      <w:sz w:val="18"/>
                      <w:szCs w:val="18"/>
                    </w:rPr>
                    <w:t>(502)</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3E4870" w:rsidRDefault="001E6FB8" w:rsidP="001E6FB8">
                  <w:pPr>
                    <w:keepNext/>
                    <w:keepLines/>
                    <w:ind w:right="158"/>
                    <w:rPr>
                      <w:rFonts w:cs="Arial"/>
                      <w:color w:val="00709E"/>
                      <w:sz w:val="18"/>
                      <w:szCs w:val="18"/>
                    </w:rPr>
                  </w:pPr>
                  <w:proofErr w:type="spellStart"/>
                  <w:r w:rsidRPr="003E4870">
                    <w:rPr>
                      <w:rFonts w:cs="Arial"/>
                      <w:b/>
                      <w:color w:val="00709E"/>
                      <w:sz w:val="18"/>
                      <w:szCs w:val="18"/>
                    </w:rPr>
                    <w:t>iiNet</w:t>
                  </w:r>
                  <w:proofErr w:type="spellEnd"/>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p>
              </w:tc>
              <w:tc>
                <w:tcPr>
                  <w:tcW w:w="850" w:type="dxa"/>
                  <w:vAlign w:val="center"/>
                </w:tcPr>
                <w:p w:rsidR="001E6FB8" w:rsidRPr="00E141F1" w:rsidRDefault="001E6FB8" w:rsidP="001E6FB8">
                  <w:pPr>
                    <w:keepNext/>
                    <w:keepLines/>
                    <w:ind w:right="158"/>
                    <w:jc w:val="right"/>
                    <w:rPr>
                      <w:rFonts w:cs="Arial"/>
                      <w:color w:val="000000"/>
                      <w:sz w:val="18"/>
                      <w:szCs w:val="18"/>
                    </w:rPr>
                  </w:pPr>
                </w:p>
              </w:tc>
              <w:tc>
                <w:tcPr>
                  <w:tcW w:w="709" w:type="dxa"/>
                  <w:vAlign w:val="center"/>
                </w:tcPr>
                <w:p w:rsidR="001E6FB8" w:rsidRPr="00E141F1" w:rsidRDefault="001E6FB8" w:rsidP="001E6FB8">
                  <w:pPr>
                    <w:keepNext/>
                    <w:keepLines/>
                    <w:ind w:right="158"/>
                    <w:jc w:val="right"/>
                    <w:rPr>
                      <w:rFonts w:cs="Arial"/>
                      <w:color w:val="000000"/>
                      <w:sz w:val="18"/>
                      <w:szCs w:val="18"/>
                    </w:rPr>
                  </w:pPr>
                </w:p>
              </w:tc>
              <w:tc>
                <w:tcPr>
                  <w:tcW w:w="992" w:type="dxa"/>
                  <w:vAlign w:val="center"/>
                </w:tcPr>
                <w:p w:rsidR="001E6FB8" w:rsidRPr="00E141F1" w:rsidRDefault="001E6FB8" w:rsidP="001E6FB8">
                  <w:pPr>
                    <w:keepNext/>
                    <w:keepLines/>
                    <w:ind w:right="158"/>
                    <w:jc w:val="right"/>
                    <w:rPr>
                      <w:rFonts w:cs="Arial"/>
                      <w:color w:val="000000"/>
                      <w:sz w:val="18"/>
                      <w:szCs w:val="18"/>
                    </w:rPr>
                  </w:pP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p>
              </w:tc>
              <w:tc>
                <w:tcPr>
                  <w:tcW w:w="709" w:type="dxa"/>
                  <w:vAlign w:val="center"/>
                </w:tcPr>
                <w:p w:rsidR="001E6FB8" w:rsidRPr="00E141F1" w:rsidRDefault="001E6FB8" w:rsidP="001E6FB8">
                  <w:pPr>
                    <w:keepNext/>
                    <w:keepLines/>
                    <w:ind w:right="158"/>
                    <w:jc w:val="right"/>
                    <w:rPr>
                      <w:rFonts w:cs="Arial"/>
                      <w:color w:val="000000"/>
                      <w:sz w:val="18"/>
                      <w:szCs w:val="18"/>
                    </w:rPr>
                  </w:pPr>
                </w:p>
              </w:tc>
              <w:tc>
                <w:tcPr>
                  <w:tcW w:w="709" w:type="dxa"/>
                  <w:vAlign w:val="center"/>
                </w:tcPr>
                <w:p w:rsidR="001E6FB8" w:rsidRPr="00E141F1" w:rsidRDefault="001E6FB8" w:rsidP="001E6FB8">
                  <w:pPr>
                    <w:keepNext/>
                    <w:keepLines/>
                    <w:ind w:right="158"/>
                    <w:jc w:val="right"/>
                    <w:rPr>
                      <w:rFonts w:cs="Arial"/>
                      <w:color w:val="000000"/>
                      <w:sz w:val="18"/>
                      <w:szCs w:val="18"/>
                    </w:rPr>
                  </w:pPr>
                </w:p>
              </w:tc>
              <w:tc>
                <w:tcPr>
                  <w:tcW w:w="1134" w:type="dxa"/>
                  <w:vAlign w:val="center"/>
                </w:tcPr>
                <w:p w:rsidR="001E6FB8" w:rsidRPr="00E141F1" w:rsidRDefault="001E6FB8" w:rsidP="001E6FB8">
                  <w:pPr>
                    <w:keepNext/>
                    <w:keepLines/>
                    <w:ind w:right="143"/>
                    <w:jc w:val="right"/>
                    <w:rPr>
                      <w:rFonts w:cs="Arial"/>
                      <w:color w:val="000000"/>
                      <w:sz w:val="18"/>
                      <w:szCs w:val="18"/>
                    </w:rPr>
                  </w:pPr>
                </w:p>
              </w:tc>
              <w:tc>
                <w:tcPr>
                  <w:tcW w:w="1039" w:type="dxa"/>
                  <w:vAlign w:val="center"/>
                </w:tcPr>
                <w:p w:rsidR="001E6FB8" w:rsidRPr="00E141F1" w:rsidRDefault="001E6FB8" w:rsidP="001E6FB8">
                  <w:pPr>
                    <w:keepNext/>
                    <w:keepLines/>
                    <w:ind w:right="158"/>
                    <w:jc w:val="right"/>
                    <w:rPr>
                      <w:rFonts w:cs="Arial"/>
                      <w:color w:val="000000"/>
                      <w:sz w:val="18"/>
                      <w:szCs w:val="18"/>
                    </w:rPr>
                  </w:pP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National</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850"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89%</w:t>
                  </w:r>
                </w:p>
              </w:tc>
              <w:tc>
                <w:tcPr>
                  <w:tcW w:w="992"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87%</w:t>
                  </w:r>
                </w:p>
              </w:tc>
              <w:tc>
                <w:tcPr>
                  <w:tcW w:w="1134" w:type="dxa"/>
                  <w:vAlign w:val="center"/>
                </w:tcPr>
                <w:p w:rsidR="001E6FB8" w:rsidRPr="00E141F1" w:rsidRDefault="001E6FB8" w:rsidP="001E6FB8">
                  <w:pPr>
                    <w:keepNext/>
                    <w:keepLines/>
                    <w:ind w:right="143"/>
                    <w:jc w:val="right"/>
                    <w:rPr>
                      <w:rFonts w:cs="Arial"/>
                      <w:color w:val="000000"/>
                      <w:sz w:val="18"/>
                      <w:szCs w:val="18"/>
                    </w:rPr>
                  </w:pPr>
                  <w:r w:rsidRPr="00E141F1">
                    <w:rPr>
                      <w:rFonts w:cs="Arial"/>
                      <w:sz w:val="18"/>
                      <w:szCs w:val="18"/>
                    </w:rPr>
                    <w:t>95%</w:t>
                  </w:r>
                </w:p>
              </w:tc>
              <w:tc>
                <w:tcPr>
                  <w:tcW w:w="103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Urban</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850"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85%</w:t>
                  </w:r>
                </w:p>
              </w:tc>
              <w:tc>
                <w:tcPr>
                  <w:tcW w:w="992"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88%</w:t>
                  </w:r>
                </w:p>
              </w:tc>
              <w:tc>
                <w:tcPr>
                  <w:tcW w:w="1134" w:type="dxa"/>
                  <w:vAlign w:val="center"/>
                </w:tcPr>
                <w:p w:rsidR="001E6FB8" w:rsidRPr="00E141F1" w:rsidRDefault="001E6FB8" w:rsidP="001E6FB8">
                  <w:pPr>
                    <w:keepNext/>
                    <w:keepLines/>
                    <w:ind w:right="143"/>
                    <w:jc w:val="right"/>
                    <w:rPr>
                      <w:rFonts w:cs="Arial"/>
                      <w:color w:val="000000"/>
                      <w:sz w:val="18"/>
                      <w:szCs w:val="18"/>
                    </w:rPr>
                  </w:pPr>
                  <w:r w:rsidRPr="00E141F1">
                    <w:rPr>
                      <w:rFonts w:cs="Arial"/>
                      <w:sz w:val="18"/>
                      <w:szCs w:val="18"/>
                    </w:rPr>
                    <w:t>93%</w:t>
                  </w:r>
                </w:p>
              </w:tc>
              <w:tc>
                <w:tcPr>
                  <w:tcW w:w="103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Rural</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850"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2"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83%</w:t>
                  </w:r>
                </w:p>
              </w:tc>
              <w:tc>
                <w:tcPr>
                  <w:tcW w:w="1134" w:type="dxa"/>
                  <w:vAlign w:val="center"/>
                </w:tcPr>
                <w:p w:rsidR="001E6FB8" w:rsidRPr="00E141F1" w:rsidRDefault="001E6FB8" w:rsidP="001E6FB8">
                  <w:pPr>
                    <w:keepNext/>
                    <w:keepLines/>
                    <w:ind w:right="143"/>
                    <w:jc w:val="right"/>
                    <w:rPr>
                      <w:rFonts w:cs="Arial"/>
                      <w:color w:val="000000"/>
                      <w:sz w:val="18"/>
                      <w:szCs w:val="18"/>
                    </w:rPr>
                  </w:pPr>
                  <w:r w:rsidRPr="00E141F1">
                    <w:rPr>
                      <w:rFonts w:cs="Arial"/>
                      <w:sz w:val="18"/>
                      <w:szCs w:val="18"/>
                    </w:rPr>
                    <w:t>100%</w:t>
                  </w:r>
                </w:p>
              </w:tc>
              <w:tc>
                <w:tcPr>
                  <w:tcW w:w="103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Remote</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850"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992"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1134" w:type="dxa"/>
                  <w:vAlign w:val="center"/>
                </w:tcPr>
                <w:p w:rsidR="001E6FB8" w:rsidRPr="00E141F1" w:rsidRDefault="001E6FB8" w:rsidP="001E6FB8">
                  <w:pPr>
                    <w:keepNext/>
                    <w:keepLines/>
                    <w:ind w:right="143"/>
                    <w:jc w:val="right"/>
                    <w:rPr>
                      <w:rFonts w:cs="Arial"/>
                      <w:color w:val="000000"/>
                      <w:sz w:val="18"/>
                      <w:szCs w:val="18"/>
                    </w:rPr>
                  </w:pPr>
                  <w:r w:rsidRPr="00E141F1">
                    <w:rPr>
                      <w:rFonts w:cs="Arial"/>
                      <w:sz w:val="18"/>
                      <w:szCs w:val="18"/>
                    </w:rPr>
                    <w:t>n/a</w:t>
                  </w:r>
                </w:p>
              </w:tc>
              <w:tc>
                <w:tcPr>
                  <w:tcW w:w="103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3E4870" w:rsidRDefault="001E6FB8" w:rsidP="001E6FB8">
                  <w:pPr>
                    <w:keepNext/>
                    <w:keepLines/>
                    <w:ind w:right="158"/>
                    <w:rPr>
                      <w:rFonts w:cs="Arial"/>
                      <w:color w:val="00709E"/>
                      <w:sz w:val="18"/>
                      <w:szCs w:val="18"/>
                    </w:rPr>
                  </w:pPr>
                  <w:r w:rsidRPr="003E4870">
                    <w:rPr>
                      <w:rFonts w:cs="Arial"/>
                      <w:b/>
                      <w:bCs/>
                      <w:color w:val="00709E"/>
                      <w:sz w:val="18"/>
                      <w:szCs w:val="18"/>
                    </w:rPr>
                    <w:t>Primus</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p>
              </w:tc>
              <w:tc>
                <w:tcPr>
                  <w:tcW w:w="850" w:type="dxa"/>
                  <w:vAlign w:val="center"/>
                </w:tcPr>
                <w:p w:rsidR="001E6FB8" w:rsidRPr="00E141F1" w:rsidRDefault="001E6FB8" w:rsidP="001E6FB8">
                  <w:pPr>
                    <w:keepNext/>
                    <w:keepLines/>
                    <w:ind w:right="158"/>
                    <w:jc w:val="right"/>
                    <w:rPr>
                      <w:rFonts w:cs="Arial"/>
                      <w:color w:val="000000"/>
                      <w:sz w:val="18"/>
                      <w:szCs w:val="18"/>
                    </w:rPr>
                  </w:pPr>
                </w:p>
              </w:tc>
              <w:tc>
                <w:tcPr>
                  <w:tcW w:w="709" w:type="dxa"/>
                  <w:vAlign w:val="center"/>
                </w:tcPr>
                <w:p w:rsidR="001E6FB8" w:rsidRPr="00E141F1" w:rsidRDefault="001E6FB8" w:rsidP="001E6FB8">
                  <w:pPr>
                    <w:keepNext/>
                    <w:keepLines/>
                    <w:ind w:right="158"/>
                    <w:jc w:val="right"/>
                    <w:rPr>
                      <w:rFonts w:cs="Arial"/>
                      <w:color w:val="000000"/>
                      <w:sz w:val="18"/>
                      <w:szCs w:val="18"/>
                    </w:rPr>
                  </w:pPr>
                </w:p>
              </w:tc>
              <w:tc>
                <w:tcPr>
                  <w:tcW w:w="992" w:type="dxa"/>
                  <w:vAlign w:val="center"/>
                </w:tcPr>
                <w:p w:rsidR="001E6FB8" w:rsidRPr="00E141F1" w:rsidRDefault="001E6FB8" w:rsidP="001E6FB8">
                  <w:pPr>
                    <w:keepNext/>
                    <w:keepLines/>
                    <w:ind w:right="158"/>
                    <w:jc w:val="right"/>
                    <w:rPr>
                      <w:rFonts w:cs="Arial"/>
                      <w:color w:val="000000"/>
                      <w:sz w:val="18"/>
                      <w:szCs w:val="18"/>
                    </w:rPr>
                  </w:pP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p>
              </w:tc>
              <w:tc>
                <w:tcPr>
                  <w:tcW w:w="709" w:type="dxa"/>
                  <w:vAlign w:val="center"/>
                </w:tcPr>
                <w:p w:rsidR="001E6FB8" w:rsidRPr="00E141F1" w:rsidRDefault="001E6FB8" w:rsidP="001E6FB8">
                  <w:pPr>
                    <w:keepNext/>
                    <w:keepLines/>
                    <w:ind w:right="158"/>
                    <w:jc w:val="right"/>
                    <w:rPr>
                      <w:rFonts w:cs="Arial"/>
                      <w:color w:val="000000"/>
                      <w:sz w:val="18"/>
                      <w:szCs w:val="18"/>
                    </w:rPr>
                  </w:pPr>
                </w:p>
              </w:tc>
              <w:tc>
                <w:tcPr>
                  <w:tcW w:w="709" w:type="dxa"/>
                  <w:vAlign w:val="center"/>
                </w:tcPr>
                <w:p w:rsidR="001E6FB8" w:rsidRPr="00E141F1" w:rsidRDefault="001E6FB8" w:rsidP="001E6FB8">
                  <w:pPr>
                    <w:keepNext/>
                    <w:keepLines/>
                    <w:ind w:right="158"/>
                    <w:jc w:val="right"/>
                    <w:rPr>
                      <w:rFonts w:cs="Arial"/>
                      <w:color w:val="000000"/>
                      <w:sz w:val="18"/>
                      <w:szCs w:val="18"/>
                    </w:rPr>
                  </w:pPr>
                </w:p>
              </w:tc>
              <w:tc>
                <w:tcPr>
                  <w:tcW w:w="1134" w:type="dxa"/>
                  <w:vAlign w:val="center"/>
                </w:tcPr>
                <w:p w:rsidR="001E6FB8" w:rsidRPr="00E141F1" w:rsidRDefault="001E6FB8" w:rsidP="001E6FB8">
                  <w:pPr>
                    <w:keepNext/>
                    <w:keepLines/>
                    <w:ind w:right="143"/>
                    <w:jc w:val="right"/>
                    <w:rPr>
                      <w:rFonts w:cs="Arial"/>
                      <w:color w:val="000000"/>
                      <w:sz w:val="18"/>
                      <w:szCs w:val="18"/>
                    </w:rPr>
                  </w:pPr>
                </w:p>
              </w:tc>
              <w:tc>
                <w:tcPr>
                  <w:tcW w:w="1039" w:type="dxa"/>
                  <w:vAlign w:val="center"/>
                </w:tcPr>
                <w:p w:rsidR="001E6FB8" w:rsidRPr="00E141F1" w:rsidRDefault="001E6FB8" w:rsidP="001E6FB8">
                  <w:pPr>
                    <w:keepNext/>
                    <w:keepLines/>
                    <w:ind w:right="158"/>
                    <w:jc w:val="right"/>
                    <w:rPr>
                      <w:rFonts w:cs="Arial"/>
                      <w:color w:val="000000"/>
                      <w:sz w:val="18"/>
                      <w:szCs w:val="18"/>
                    </w:rPr>
                  </w:pP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National</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n/p</w:t>
                  </w:r>
                </w:p>
              </w:tc>
              <w:tc>
                <w:tcPr>
                  <w:tcW w:w="850"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2"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n/p</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100%</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100%</w:t>
                  </w:r>
                </w:p>
              </w:tc>
              <w:tc>
                <w:tcPr>
                  <w:tcW w:w="1134" w:type="dxa"/>
                  <w:vAlign w:val="center"/>
                </w:tcPr>
                <w:p w:rsidR="001E6FB8" w:rsidRPr="00E141F1" w:rsidRDefault="001E6FB8" w:rsidP="001E6FB8">
                  <w:pPr>
                    <w:keepNext/>
                    <w:keepLines/>
                    <w:ind w:right="143"/>
                    <w:jc w:val="right"/>
                    <w:rPr>
                      <w:rFonts w:cs="Arial"/>
                      <w:color w:val="000000"/>
                      <w:sz w:val="18"/>
                      <w:szCs w:val="18"/>
                    </w:rPr>
                  </w:pPr>
                  <w:r w:rsidRPr="00E141F1">
                    <w:rPr>
                      <w:rFonts w:cs="Arial"/>
                      <w:sz w:val="18"/>
                      <w:szCs w:val="18"/>
                    </w:rPr>
                    <w:t>93%</w:t>
                  </w:r>
                </w:p>
              </w:tc>
              <w:tc>
                <w:tcPr>
                  <w:tcW w:w="103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84%</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Urban</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n/p</w:t>
                  </w:r>
                </w:p>
              </w:tc>
              <w:tc>
                <w:tcPr>
                  <w:tcW w:w="850"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2"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n/p</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100%</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100%</w:t>
                  </w:r>
                </w:p>
              </w:tc>
              <w:tc>
                <w:tcPr>
                  <w:tcW w:w="1134" w:type="dxa"/>
                  <w:vAlign w:val="center"/>
                </w:tcPr>
                <w:p w:rsidR="001E6FB8" w:rsidRPr="00E141F1" w:rsidRDefault="001E6FB8" w:rsidP="001E6FB8">
                  <w:pPr>
                    <w:keepNext/>
                    <w:keepLines/>
                    <w:ind w:right="143"/>
                    <w:jc w:val="right"/>
                    <w:rPr>
                      <w:rFonts w:cs="Arial"/>
                      <w:color w:val="000000"/>
                      <w:sz w:val="18"/>
                      <w:szCs w:val="18"/>
                    </w:rPr>
                  </w:pPr>
                  <w:r w:rsidRPr="00E141F1">
                    <w:rPr>
                      <w:rFonts w:cs="Arial"/>
                      <w:sz w:val="18"/>
                      <w:szCs w:val="18"/>
                    </w:rPr>
                    <w:t>93%</w:t>
                  </w:r>
                </w:p>
              </w:tc>
              <w:tc>
                <w:tcPr>
                  <w:tcW w:w="103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90%</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Rural</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n/p</w:t>
                  </w:r>
                </w:p>
              </w:tc>
              <w:tc>
                <w:tcPr>
                  <w:tcW w:w="850"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2"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n/p</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100%</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1134" w:type="dxa"/>
                  <w:vAlign w:val="center"/>
                </w:tcPr>
                <w:p w:rsidR="001E6FB8" w:rsidRPr="00E141F1" w:rsidRDefault="001E6FB8" w:rsidP="001E6FB8">
                  <w:pPr>
                    <w:keepNext/>
                    <w:keepLines/>
                    <w:ind w:right="143"/>
                    <w:jc w:val="right"/>
                    <w:rPr>
                      <w:rFonts w:cs="Arial"/>
                      <w:color w:val="000000"/>
                      <w:sz w:val="18"/>
                      <w:szCs w:val="18"/>
                    </w:rPr>
                  </w:pPr>
                  <w:r w:rsidRPr="00E141F1">
                    <w:rPr>
                      <w:rFonts w:cs="Arial"/>
                      <w:sz w:val="18"/>
                      <w:szCs w:val="18"/>
                    </w:rPr>
                    <w:t>92%</w:t>
                  </w:r>
                </w:p>
              </w:tc>
              <w:tc>
                <w:tcPr>
                  <w:tcW w:w="103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72%</w:t>
                  </w:r>
                </w:p>
              </w:tc>
            </w:tr>
            <w:tr w:rsidR="001E6FB8" w:rsidRPr="00E141F1" w:rsidTr="001E6FB8">
              <w:trPr>
                <w:gridAfter w:val="1"/>
                <w:wAfter w:w="105" w:type="dxa"/>
                <w:trHeight w:val="300"/>
              </w:trPr>
              <w:tc>
                <w:tcPr>
                  <w:tcW w:w="965" w:type="dxa"/>
                  <w:shd w:val="clear" w:color="auto" w:fill="auto"/>
                  <w:tcMar>
                    <w:left w:w="113" w:type="dxa"/>
                  </w:tcMar>
                  <w:vAlign w:val="center"/>
                </w:tcPr>
                <w:p w:rsidR="001E6FB8" w:rsidRPr="00E141F1" w:rsidRDefault="001E6FB8" w:rsidP="001E6FB8">
                  <w:pPr>
                    <w:keepNext/>
                    <w:keepLines/>
                    <w:ind w:right="158"/>
                    <w:rPr>
                      <w:rFonts w:cs="Arial"/>
                      <w:sz w:val="18"/>
                      <w:szCs w:val="18"/>
                    </w:rPr>
                  </w:pPr>
                  <w:r w:rsidRPr="00E141F1">
                    <w:rPr>
                      <w:rFonts w:cs="Arial"/>
                      <w:sz w:val="18"/>
                      <w:szCs w:val="18"/>
                    </w:rPr>
                    <w:t>Remote</w:t>
                  </w:r>
                </w:p>
              </w:tc>
              <w:tc>
                <w:tcPr>
                  <w:tcW w:w="709" w:type="dxa"/>
                  <w:shd w:val="clear" w:color="auto" w:fill="auto"/>
                  <w:tcMar>
                    <w:left w:w="113" w:type="dxa"/>
                  </w:tcMar>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n/p</w:t>
                  </w:r>
                </w:p>
              </w:tc>
              <w:tc>
                <w:tcPr>
                  <w:tcW w:w="850"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2" w:type="dxa"/>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100%</w:t>
                  </w:r>
                </w:p>
              </w:tc>
              <w:tc>
                <w:tcPr>
                  <w:tcW w:w="993" w:type="dxa"/>
                  <w:tcBorders>
                    <w:righ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color w:val="000000"/>
                      <w:sz w:val="18"/>
                      <w:szCs w:val="18"/>
                    </w:rPr>
                    <w:t>n/a</w:t>
                  </w:r>
                </w:p>
              </w:tc>
              <w:tc>
                <w:tcPr>
                  <w:tcW w:w="850" w:type="dxa"/>
                  <w:tcBorders>
                    <w:left w:val="single" w:sz="4" w:space="0" w:color="C8C8C8"/>
                  </w:tcBorders>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n/p</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c>
                <w:tcPr>
                  <w:tcW w:w="70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100%</w:t>
                  </w:r>
                </w:p>
              </w:tc>
              <w:tc>
                <w:tcPr>
                  <w:tcW w:w="1134" w:type="dxa"/>
                  <w:vAlign w:val="center"/>
                </w:tcPr>
                <w:p w:rsidR="001E6FB8" w:rsidRPr="00E141F1" w:rsidRDefault="001E6FB8" w:rsidP="001E6FB8">
                  <w:pPr>
                    <w:keepNext/>
                    <w:keepLines/>
                    <w:ind w:right="143"/>
                    <w:jc w:val="right"/>
                    <w:rPr>
                      <w:rFonts w:cs="Arial"/>
                      <w:color w:val="000000"/>
                      <w:sz w:val="18"/>
                      <w:szCs w:val="18"/>
                    </w:rPr>
                  </w:pPr>
                  <w:r w:rsidRPr="00E141F1">
                    <w:rPr>
                      <w:rFonts w:cs="Arial"/>
                      <w:sz w:val="18"/>
                      <w:szCs w:val="18"/>
                    </w:rPr>
                    <w:t>n/a</w:t>
                  </w:r>
                </w:p>
              </w:tc>
              <w:tc>
                <w:tcPr>
                  <w:tcW w:w="1039" w:type="dxa"/>
                  <w:vAlign w:val="center"/>
                </w:tcPr>
                <w:p w:rsidR="001E6FB8" w:rsidRPr="00E141F1" w:rsidRDefault="001E6FB8" w:rsidP="001E6FB8">
                  <w:pPr>
                    <w:keepNext/>
                    <w:keepLines/>
                    <w:ind w:right="158"/>
                    <w:jc w:val="right"/>
                    <w:rPr>
                      <w:rFonts w:cs="Arial"/>
                      <w:color w:val="000000"/>
                      <w:sz w:val="18"/>
                      <w:szCs w:val="18"/>
                    </w:rPr>
                  </w:pPr>
                  <w:r w:rsidRPr="00E141F1">
                    <w:rPr>
                      <w:rFonts w:cs="Arial"/>
                      <w:sz w:val="18"/>
                      <w:szCs w:val="18"/>
                    </w:rPr>
                    <w:t>n/a</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 xml:space="preserve">n/a=not applicable. n/p=not provided. </w:t>
            </w:r>
          </w:p>
          <w:p w:rsidR="001E6FB8" w:rsidRPr="00D065B6" w:rsidRDefault="001E6FB8" w:rsidP="001E6FB8">
            <w:pPr>
              <w:keepNext/>
              <w:keepLines/>
              <w:spacing w:line="240" w:lineRule="auto"/>
              <w:rPr>
                <w:rFonts w:cs="Arial"/>
                <w:i/>
                <w:sz w:val="16"/>
                <w:szCs w:val="16"/>
              </w:rPr>
            </w:pPr>
            <w:r w:rsidRPr="00E141F1">
              <w:rPr>
                <w:rFonts w:cs="Arial"/>
                <w:i/>
                <w:sz w:val="16"/>
                <w:szCs w:val="16"/>
              </w:rPr>
              <w:t>*</w:t>
            </w:r>
            <w:proofErr w:type="spellStart"/>
            <w:r w:rsidRPr="00D065B6">
              <w:rPr>
                <w:rFonts w:cs="Arial"/>
                <w:i/>
                <w:sz w:val="16"/>
                <w:szCs w:val="16"/>
              </w:rPr>
              <w:t>iiNet</w:t>
            </w:r>
            <w:proofErr w:type="spellEnd"/>
            <w:r w:rsidRPr="00D065B6">
              <w:rPr>
                <w:rFonts w:cs="Arial"/>
                <w:i/>
                <w:sz w:val="16"/>
                <w:szCs w:val="16"/>
              </w:rPr>
              <w:t xml:space="preserve"> acquired AAPT’s Consumer Division on 1 October 2010, and so </w:t>
            </w:r>
            <w:proofErr w:type="spellStart"/>
            <w:r w:rsidRPr="00D065B6">
              <w:rPr>
                <w:rFonts w:cs="Arial"/>
                <w:i/>
                <w:sz w:val="16"/>
                <w:szCs w:val="16"/>
              </w:rPr>
              <w:t>iiNet</w:t>
            </w:r>
            <w:proofErr w:type="spellEnd"/>
            <w:r w:rsidRPr="00D065B6">
              <w:rPr>
                <w:rFonts w:cs="Arial"/>
                <w:i/>
                <w:sz w:val="16"/>
                <w:szCs w:val="16"/>
              </w:rPr>
              <w:t xml:space="preserve"> data is for only three-quarters of 2010–11. </w:t>
            </w:r>
          </w:p>
          <w:p w:rsidR="001E6FB8" w:rsidRPr="00E141F1" w:rsidRDefault="001E6FB8" w:rsidP="001E6FB8">
            <w:pPr>
              <w:keepNext/>
              <w:keepLines/>
              <w:spacing w:line="240" w:lineRule="auto"/>
              <w:rPr>
                <w:rFonts w:cs="Arial"/>
                <w:i/>
                <w:sz w:val="16"/>
                <w:szCs w:val="16"/>
              </w:rPr>
            </w:pPr>
            <w:r w:rsidRPr="00D42D86">
              <w:rPr>
                <w:rFonts w:cs="Arial"/>
                <w:i/>
                <w:sz w:val="16"/>
                <w:szCs w:val="16"/>
                <w:vertAlign w:val="superscript"/>
              </w:rPr>
              <w:t>†</w:t>
            </w:r>
            <w:proofErr w:type="spellStart"/>
            <w:r w:rsidRPr="00E141F1">
              <w:rPr>
                <w:rFonts w:cs="Arial"/>
                <w:i/>
                <w:sz w:val="16"/>
                <w:szCs w:val="16"/>
              </w:rPr>
              <w:t>iiNet</w:t>
            </w:r>
            <w:proofErr w:type="spellEnd"/>
            <w:r w:rsidRPr="00E141F1">
              <w:rPr>
                <w:rFonts w:cs="Arial"/>
                <w:i/>
                <w:sz w:val="16"/>
                <w:szCs w:val="16"/>
              </w:rPr>
              <w:t xml:space="preserve"> has informed the ACMA that it is no longer providing new priority assistance connections. </w:t>
            </w:r>
          </w:p>
          <w:p w:rsidR="001E6FB8" w:rsidRPr="00E141F1" w:rsidRDefault="001E6FB8" w:rsidP="001E6FB8">
            <w:pPr>
              <w:keepNext/>
              <w:keepLines/>
              <w:spacing w:line="240" w:lineRule="auto"/>
              <w:rPr>
                <w:rFonts w:cs="Arial"/>
                <w:i/>
                <w:sz w:val="16"/>
                <w:szCs w:val="16"/>
              </w:rPr>
            </w:pPr>
            <w:r w:rsidRPr="00E141F1">
              <w:rPr>
                <w:rFonts w:cs="Arial"/>
                <w:i/>
                <w:sz w:val="16"/>
                <w:szCs w:val="16"/>
              </w:rPr>
              <w:t xml:space="preserve">Note: ‘Urban’ is defined as communities with 10,000 or more people, ‘rural’ is defined as communities with between 200 and </w:t>
            </w:r>
            <w:r>
              <w:rPr>
                <w:rFonts w:cs="Arial"/>
                <w:i/>
                <w:sz w:val="16"/>
                <w:szCs w:val="16"/>
              </w:rPr>
              <w:br/>
            </w:r>
            <w:r w:rsidRPr="00E141F1">
              <w:rPr>
                <w:rFonts w:cs="Arial"/>
                <w:i/>
                <w:sz w:val="16"/>
                <w:szCs w:val="16"/>
              </w:rPr>
              <w:t xml:space="preserve">10,000 people, ‘remote’ is defined as communities with up to 200 people. </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Source: CSP data.</w:t>
            </w:r>
          </w:p>
        </w:tc>
      </w:tr>
    </w:tbl>
    <w:p w:rsidR="001E6FB8" w:rsidRPr="003E4870" w:rsidRDefault="001E6FB8" w:rsidP="001E6FB8"/>
    <w:p w:rsidR="001E6FB8" w:rsidRPr="00E141F1" w:rsidRDefault="001E6FB8" w:rsidP="001E6FB8">
      <w:pPr>
        <w:pStyle w:val="Heading2"/>
      </w:pPr>
      <w:bookmarkStart w:id="406" w:name="_Toc341428376"/>
      <w:bookmarkStart w:id="407" w:name="_Toc371589056"/>
      <w:bookmarkStart w:id="408" w:name="_Toc373149118"/>
      <w:r w:rsidRPr="00E141F1">
        <w:t>Telstra’s local presence plan</w:t>
      </w:r>
      <w:bookmarkEnd w:id="406"/>
      <w:bookmarkEnd w:id="407"/>
      <w:bookmarkEnd w:id="408"/>
    </w:p>
    <w:p w:rsidR="001E6FB8" w:rsidRPr="00E141F1" w:rsidRDefault="001E6FB8" w:rsidP="001E6FB8">
      <w:pPr>
        <w:rPr>
          <w:rFonts w:cs="Arial"/>
        </w:rPr>
      </w:pPr>
      <w:r w:rsidRPr="00E141F1">
        <w:rPr>
          <w:rFonts w:cs="Arial"/>
        </w:rPr>
        <w:t>As part of its licence conditions—Carrier Licence Conditions (Telstra Corporation Limited) Declaration 1997—Telstra is required to maintain a local presence in regional, rural and remote Australia, to the extent that this is broadly compatible with its overall commercial interest. The local presence plan must set out the range of activities and strategies that Telstra will deploy to fulfil its obligation.</w:t>
      </w:r>
    </w:p>
    <w:p w:rsidR="001E6FB8" w:rsidRPr="00E141F1" w:rsidRDefault="001E6FB8" w:rsidP="001E6FB8">
      <w:pPr>
        <w:rPr>
          <w:rFonts w:cs="Arial"/>
        </w:rPr>
      </w:pPr>
    </w:p>
    <w:p w:rsidR="001E6FB8" w:rsidRPr="00E141F1" w:rsidRDefault="001E6FB8" w:rsidP="001E6FB8">
      <w:pPr>
        <w:rPr>
          <w:rFonts w:cs="Arial"/>
        </w:rPr>
      </w:pPr>
      <w:r w:rsidRPr="00E141F1">
        <w:rPr>
          <w:rFonts w:cs="Arial"/>
        </w:rPr>
        <w:t>On 26 June 2012, the ACMA received notification from the minister that Telstra’s 2012–15 local presence plan (also known as Telstra’s Regional and Rural Presence Plan 2012–15) had been approved. The 2012–15 local presence plan replaces the 2009–12 plan and is effective until June 2015. Under its licence conditions, Telstra must report annually on the progress of its local presence plan. Telstra has submitted a report to the ACMA setting out how it met the requirements of this carrier licence condition in 2012–13.</w:t>
      </w:r>
    </w:p>
    <w:p w:rsidR="001E6FB8" w:rsidRPr="00E141F1" w:rsidRDefault="001E6FB8" w:rsidP="001E6FB8">
      <w:pPr>
        <w:rPr>
          <w:rFonts w:cs="Arial"/>
        </w:rPr>
      </w:pPr>
    </w:p>
    <w:p w:rsidR="001E6FB8" w:rsidRDefault="001E6FB8" w:rsidP="001E6FB8">
      <w:pPr>
        <w:spacing w:line="240" w:lineRule="auto"/>
        <w:rPr>
          <w:rFonts w:cs="Arial"/>
          <w:b/>
          <w:bCs/>
          <w:iCs/>
          <w:sz w:val="28"/>
          <w:szCs w:val="28"/>
        </w:rPr>
      </w:pPr>
      <w:r>
        <w:br w:type="page"/>
      </w:r>
    </w:p>
    <w:p w:rsidR="001E6FB8" w:rsidRPr="00E141F1" w:rsidRDefault="001E6FB8" w:rsidP="001E6FB8">
      <w:pPr>
        <w:pStyle w:val="Heading2"/>
      </w:pPr>
      <w:bookmarkStart w:id="409" w:name="_Toc371589057"/>
      <w:bookmarkStart w:id="410" w:name="_Toc373149119"/>
      <w:r w:rsidRPr="00E141F1">
        <w:t>National Relay Service</w:t>
      </w:r>
      <w:bookmarkEnd w:id="409"/>
      <w:bookmarkEnd w:id="410"/>
    </w:p>
    <w:p w:rsidR="001E6FB8" w:rsidRPr="00E141F1" w:rsidRDefault="001E6FB8" w:rsidP="001E6FB8">
      <w:pPr>
        <w:rPr>
          <w:rFonts w:cs="Arial"/>
        </w:rPr>
      </w:pPr>
      <w:r w:rsidRPr="00E141F1">
        <w:rPr>
          <w:rFonts w:cs="Arial"/>
        </w:rPr>
        <w:t xml:space="preserve">The NRS is an Australian Government initiative that gives people who are deaf or have a hearing and/or speech impairment access to a standard telephone service on comparable terms and circumstances to the access other citizens have to a standard telephone service. From 1 July 2012, the ACMA handed over responsibility for management of the NRS contracts to TUSMA. Information about the NRS can be found in TUSMA’s annual report at </w:t>
      </w:r>
      <w:hyperlink r:id="rId69" w:history="1">
        <w:r w:rsidRPr="00066EF0">
          <w:rPr>
            <w:rStyle w:val="Hyperlink"/>
          </w:rPr>
          <w:t>www.tusma.gov.au</w:t>
        </w:r>
      </w:hyperlink>
      <w:r>
        <w:rPr>
          <w:rFonts w:cs="Arial"/>
        </w:rPr>
        <w:t xml:space="preserv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total number of minutes relayed by the NRS during 2012–13 was 3.06 million, an increase of three per cent in comparison to 2011–12. Internet relay call minutes account</w:t>
      </w:r>
      <w:r>
        <w:rPr>
          <w:rFonts w:cs="Arial"/>
        </w:rPr>
        <w:t>ed</w:t>
      </w:r>
      <w:r w:rsidRPr="00E141F1">
        <w:rPr>
          <w:rFonts w:cs="Arial"/>
        </w:rPr>
        <w:t xml:space="preserve"> for 58 per cent of total call minutes relayed during 2012–13, compared to 52 per cent during 2011–12.</w:t>
      </w:r>
      <w:r w:rsidRPr="00E141F1">
        <w:rPr>
          <w:rStyle w:val="EndnoteReference"/>
          <w:rFonts w:cs="Arial"/>
        </w:rPr>
        <w:endnoteReference w:id="35"/>
      </w:r>
    </w:p>
    <w:p w:rsidR="001E6FB8" w:rsidRPr="00E141F1" w:rsidRDefault="001E6FB8" w:rsidP="001E6FB8">
      <w:pPr>
        <w:rPr>
          <w:rFonts w:cs="Arial"/>
        </w:rPr>
      </w:pPr>
    </w:p>
    <w:p w:rsidR="001E6FB8" w:rsidRPr="00E141F1" w:rsidRDefault="001E6FB8" w:rsidP="001E6FB8">
      <w:pPr>
        <w:pStyle w:val="Heading2"/>
      </w:pPr>
      <w:bookmarkStart w:id="411" w:name="_Toc371589058"/>
      <w:bookmarkStart w:id="412" w:name="_Toc373149120"/>
      <w:r w:rsidRPr="00E141F1">
        <w:t>Disability equipment program</w:t>
      </w:r>
      <w:bookmarkEnd w:id="411"/>
      <w:bookmarkEnd w:id="412"/>
    </w:p>
    <w:p w:rsidR="001E6FB8" w:rsidRPr="00E141F1" w:rsidRDefault="001E6FB8" w:rsidP="001E6FB8">
      <w:pPr>
        <w:rPr>
          <w:rFonts w:cs="Arial"/>
        </w:rPr>
      </w:pPr>
      <w:r w:rsidRPr="00E141F1">
        <w:rPr>
          <w:rFonts w:cs="Arial"/>
        </w:rPr>
        <w:t xml:space="preserve">The </w:t>
      </w:r>
      <w:r w:rsidRPr="00782224">
        <w:rPr>
          <w:rStyle w:val="Emphasis"/>
          <w:rFonts w:cs="Arial"/>
          <w:i w:val="0"/>
        </w:rPr>
        <w:t>Telecommunications (Equipment for the Disabled) Regulations 1998</w:t>
      </w:r>
      <w:r w:rsidRPr="00E141F1">
        <w:rPr>
          <w:rFonts w:cs="Arial"/>
        </w:rPr>
        <w:t xml:space="preserve"> specifies the kinds of equipment that people with a disability can use to access telecommunications services. The provision of the equipment listed in the regulations is an obligation on Telstra, as the PUSP.</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Telstra outlines the services it will provide to eligible customers with a disability under its USO Standard Marketing Plan and it supplies equipment through its disability equipment program. Optus also has a disability equipment program for customers who directly access the Optus telephone network.</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During 2012–13, Telstra fulfilled 6,891 requests under the disability equipment program compared to 8,038 during 2011–12 and 9,652 in 2010–11. </w:t>
      </w:r>
    </w:p>
    <w:p w:rsidR="001E6FB8" w:rsidRPr="00E141F1" w:rsidRDefault="001E6FB8" w:rsidP="001E6FB8">
      <w:pPr>
        <w:rPr>
          <w:rFonts w:cs="Arial"/>
        </w:rPr>
      </w:pPr>
      <w:bookmarkStart w:id="413" w:name="_Toc287540203"/>
      <w:bookmarkStart w:id="414" w:name="_Toc308517227"/>
      <w:bookmarkStart w:id="415" w:name="_Toc308523667"/>
      <w:bookmarkStart w:id="416" w:name="_Toc312157182"/>
      <w:bookmarkStart w:id="417" w:name="_Toc341428381"/>
    </w:p>
    <w:p w:rsidR="001E6FB8" w:rsidRPr="00E141F1" w:rsidRDefault="001E6FB8" w:rsidP="001E6FB8">
      <w:pPr>
        <w:pStyle w:val="Heading2"/>
      </w:pPr>
      <w:bookmarkStart w:id="418" w:name="_Toc371589059"/>
      <w:bookmarkStart w:id="419" w:name="_Toc373149121"/>
      <w:r w:rsidRPr="00E141F1">
        <w:t>Number portability</w:t>
      </w:r>
      <w:bookmarkEnd w:id="418"/>
      <w:bookmarkEnd w:id="419"/>
    </w:p>
    <w:p w:rsidR="001E6FB8" w:rsidRDefault="001E6FB8" w:rsidP="001E6FB8">
      <w:pPr>
        <w:spacing w:after="80"/>
        <w:rPr>
          <w:rFonts w:cs="Arial"/>
        </w:rPr>
      </w:pPr>
      <w:r w:rsidRPr="00E141F1">
        <w:rPr>
          <w:rFonts w:cs="Arial"/>
        </w:rPr>
        <w:t>Number portability allows a customer to keep an existing telephone number when changing service provider. It is available for:</w:t>
      </w:r>
    </w:p>
    <w:p w:rsidR="001E6FB8" w:rsidRPr="00E141F1" w:rsidRDefault="001E6FB8" w:rsidP="001E6FB8">
      <w:pPr>
        <w:pStyle w:val="ListBullet"/>
        <w:rPr>
          <w:rFonts w:cs="Arial"/>
        </w:rPr>
      </w:pPr>
      <w:r w:rsidRPr="00E141F1">
        <w:rPr>
          <w:rFonts w:cs="Arial"/>
        </w:rPr>
        <w:t>local numbers (numbers beginning with the area codes 02, 03, 07 and 08)</w:t>
      </w:r>
    </w:p>
    <w:p w:rsidR="001E6FB8" w:rsidRPr="00E141F1" w:rsidRDefault="001E6FB8" w:rsidP="001E6FB8">
      <w:pPr>
        <w:pStyle w:val="ListBullet"/>
        <w:rPr>
          <w:rFonts w:cs="Arial"/>
        </w:rPr>
      </w:pPr>
      <w:proofErr w:type="spellStart"/>
      <w:r w:rsidRPr="00E141F1">
        <w:rPr>
          <w:rFonts w:cs="Arial"/>
        </w:rPr>
        <w:t>freephone</w:t>
      </w:r>
      <w:proofErr w:type="spellEnd"/>
      <w:r w:rsidRPr="00E141F1">
        <w:rPr>
          <w:rFonts w:cs="Arial"/>
        </w:rPr>
        <w:t xml:space="preserve"> (numbers beginning with 1800) and local rate numbers </w:t>
      </w:r>
      <w:r>
        <w:rPr>
          <w:rFonts w:cs="Arial"/>
        </w:rPr>
        <w:br/>
      </w:r>
      <w:r w:rsidRPr="00E141F1">
        <w:rPr>
          <w:rFonts w:cs="Arial"/>
        </w:rPr>
        <w:t>(numbers beginning with 13 and 1300)</w:t>
      </w:r>
    </w:p>
    <w:p w:rsidR="001E6FB8" w:rsidRPr="00E141F1" w:rsidRDefault="001E6FB8" w:rsidP="001E6FB8">
      <w:pPr>
        <w:pStyle w:val="ListBullet"/>
        <w:spacing w:after="240"/>
        <w:rPr>
          <w:rFonts w:cs="Arial"/>
        </w:rPr>
      </w:pPr>
      <w:r w:rsidRPr="00E141F1">
        <w:rPr>
          <w:rFonts w:cs="Arial"/>
        </w:rPr>
        <w:t xml:space="preserve">mobile numbers. </w:t>
      </w:r>
    </w:p>
    <w:p w:rsidR="001E6FB8" w:rsidRPr="00E141F1" w:rsidRDefault="001E6FB8" w:rsidP="001E6FB8">
      <w:pPr>
        <w:pStyle w:val="Heading3"/>
      </w:pPr>
      <w:bookmarkStart w:id="420" w:name="_Toc371589060"/>
      <w:bookmarkStart w:id="421" w:name="_Toc373149122"/>
      <w:r w:rsidRPr="00E141F1">
        <w:t>Local number portability</w:t>
      </w:r>
      <w:bookmarkEnd w:id="420"/>
      <w:bookmarkEnd w:id="421"/>
    </w:p>
    <w:p w:rsidR="001E6FB8" w:rsidRPr="00E141F1" w:rsidRDefault="001E6FB8" w:rsidP="001E6FB8">
      <w:pPr>
        <w:rPr>
          <w:rFonts w:cs="Arial"/>
        </w:rPr>
      </w:pPr>
      <w:r w:rsidRPr="00E141F1">
        <w:rPr>
          <w:rFonts w:cs="Arial"/>
        </w:rPr>
        <w:t>During 2012–13, 763,422 local numbers were ported. This represents a 22 per cent increase from the 627,160 numbers ported in 2011–12, but remains within the range of local numbers ported during previous periods (Table 3.14).</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C540:2007 Local Number Portability Code (LNP Code) sets out carrier/CSP operational procedures for porting local numbers and includes performance standards. The LNP Code has been revised and released for public comment by the Communications Alliance Ltd (CA) in June 2013. The revised code seeks to clarify and streamline current LNP processes and ensure that industry arrangements continue to meet customers’ porting needs. CA is expected to present a revised LNP Code to the ACMA for registration in the next reporting period. CA is also undertaking a separate review of LNP arrangements to consider LNP in an NBN environment. The CA Board will consider the recommendations from this review in the next reporting period.</w:t>
      </w:r>
    </w:p>
    <w:p w:rsidR="001E6FB8" w:rsidRPr="00E141F1" w:rsidRDefault="001E6FB8" w:rsidP="001E6FB8">
      <w:pPr>
        <w:rPr>
          <w:rFonts w:cs="Arial"/>
        </w:rPr>
      </w:pPr>
    </w:p>
    <w:p w:rsidR="001E6FB8" w:rsidRDefault="001E6FB8" w:rsidP="001E6FB8">
      <w:pPr>
        <w:spacing w:line="240" w:lineRule="auto"/>
        <w:rPr>
          <w:rFonts w:cs="Arial"/>
          <w:b/>
          <w:bCs/>
          <w:szCs w:val="26"/>
        </w:rPr>
      </w:pPr>
      <w:r>
        <w:br w:type="page"/>
      </w:r>
    </w:p>
    <w:p w:rsidR="001E6FB8" w:rsidRPr="00E141F1" w:rsidRDefault="001E6FB8" w:rsidP="001E6FB8">
      <w:pPr>
        <w:pStyle w:val="Heading3"/>
      </w:pPr>
      <w:bookmarkStart w:id="422" w:name="_Toc371589061"/>
      <w:bookmarkStart w:id="423" w:name="_Toc373149123"/>
      <w:proofErr w:type="spellStart"/>
      <w:r w:rsidRPr="00E141F1">
        <w:t>Freephone</w:t>
      </w:r>
      <w:proofErr w:type="spellEnd"/>
      <w:r w:rsidRPr="00E141F1">
        <w:t xml:space="preserve"> and local rate number (FLRN) portability</w:t>
      </w:r>
      <w:bookmarkEnd w:id="422"/>
      <w:bookmarkEnd w:id="423"/>
    </w:p>
    <w:p w:rsidR="001E6FB8" w:rsidRPr="00E141F1" w:rsidRDefault="001E6FB8" w:rsidP="001E6FB8">
      <w:pPr>
        <w:rPr>
          <w:rFonts w:cs="Arial"/>
        </w:rPr>
      </w:pPr>
      <w:r w:rsidRPr="00E141F1">
        <w:rPr>
          <w:rFonts w:cs="Arial"/>
        </w:rPr>
        <w:t xml:space="preserve">Industry Number Management Services Ltd (INMS) is an industry-owned not-for-profit company that allocates 13/1300/1800 numbers (FLRNs) on behalf of the ACMA (excluding </w:t>
      </w:r>
      <w:proofErr w:type="spellStart"/>
      <w:r w:rsidRPr="00E141F1">
        <w:rPr>
          <w:rFonts w:cs="Arial"/>
        </w:rPr>
        <w:t>smartnumbers</w:t>
      </w:r>
      <w:proofErr w:type="spellEnd"/>
      <w:r w:rsidRPr="00E141F1">
        <w:rPr>
          <w:rFonts w:cs="Arial"/>
        </w:rPr>
        <w:t xml:space="preserve"> auctioned by the ACMA). The INMS also facilitates the portability of all FLRNS on behalf of industry. There were 13,096 FLRNs ported during 2012–13, a two per cent increase on the 12,814 FLRNs ported during 2011–12 (Table</w:t>
      </w:r>
      <w:r>
        <w:rPr>
          <w:rFonts w:cs="Arial"/>
        </w:rPr>
        <w:t> </w:t>
      </w:r>
      <w:r w:rsidRPr="00E141F1">
        <w:rPr>
          <w:rFonts w:cs="Arial"/>
        </w:rPr>
        <w:t xml:space="preserve">3.14). </w:t>
      </w:r>
    </w:p>
    <w:p w:rsidR="001E6FB8" w:rsidRPr="00E141F1" w:rsidRDefault="001E6FB8" w:rsidP="001E6FB8">
      <w:pPr>
        <w:rPr>
          <w:rFonts w:cs="Arial"/>
        </w:rPr>
      </w:pPr>
    </w:p>
    <w:p w:rsidR="001E6FB8" w:rsidRPr="00E141F1" w:rsidRDefault="001E6FB8" w:rsidP="001E6FB8">
      <w:pPr>
        <w:pStyle w:val="Heading3"/>
      </w:pPr>
      <w:bookmarkStart w:id="424" w:name="_Toc371589062"/>
      <w:bookmarkStart w:id="425" w:name="_Toc373149124"/>
      <w:r w:rsidRPr="00E141F1">
        <w:t>Mobile number portability</w:t>
      </w:r>
      <w:bookmarkEnd w:id="424"/>
      <w:bookmarkEnd w:id="425"/>
    </w:p>
    <w:p w:rsidR="001E6FB8" w:rsidRPr="00E141F1" w:rsidRDefault="001E6FB8" w:rsidP="001E6FB8">
      <w:pPr>
        <w:rPr>
          <w:rFonts w:cs="Arial"/>
        </w:rPr>
      </w:pPr>
      <w:r w:rsidRPr="00E141F1">
        <w:rPr>
          <w:rFonts w:cs="Arial"/>
        </w:rPr>
        <w:t>Mobile number portability enables a mobile telephone user to retain a mobile number when changing from one mobile provider to another. Most mobile ports are completed within a few hours. During 2012–13, there were 1.74 million ports, a decrease of 34</w:t>
      </w:r>
      <w:r>
        <w:rPr>
          <w:rFonts w:cs="Arial"/>
        </w:rPr>
        <w:t> </w:t>
      </w:r>
      <w:r w:rsidRPr="00E141F1">
        <w:rPr>
          <w:rFonts w:cs="Arial"/>
        </w:rPr>
        <w:t xml:space="preserve">per cent on the 2.63 million ports completed in 2011–12, but similar to the number of ports completed in previous periods (Table 3.14). The decrease in the number of ports in 2012–13 may be attributed </w:t>
      </w:r>
      <w:r>
        <w:rPr>
          <w:rFonts w:cs="Arial"/>
        </w:rPr>
        <w:t xml:space="preserve">in part </w:t>
      </w:r>
      <w:r w:rsidRPr="00E141F1">
        <w:rPr>
          <w:rFonts w:cs="Arial"/>
        </w:rPr>
        <w:t>to the significant number of ports completed by ‘3’ during 2011–12 following the finalisation of its merger with Vodafone. Mobile number portability is provided in accordance with the provisions of the C570:2009 Mobile Number Portability Code (MNP Code) developed by the CA.</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 xml:space="preserve">Table 3.14 Number portability </w:t>
            </w:r>
          </w:p>
        </w:tc>
      </w:tr>
      <w:tr w:rsidR="001E6FB8" w:rsidRPr="00E141F1" w:rsidTr="001E6FB8">
        <w:trPr>
          <w:trHeight w:val="864"/>
        </w:trPr>
        <w:tc>
          <w:tcPr>
            <w:tcW w:w="9645" w:type="dxa"/>
            <w:shd w:val="clear" w:color="auto" w:fill="auto"/>
            <w:tcMar>
              <w:left w:w="28" w:type="dxa"/>
            </w:tcMar>
          </w:tcPr>
          <w:tbl>
            <w:tblPr>
              <w:tblW w:w="9610" w:type="dxa"/>
              <w:tblInd w:w="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2665"/>
              <w:gridCol w:w="1389"/>
              <w:gridCol w:w="1389"/>
              <w:gridCol w:w="1389"/>
              <w:gridCol w:w="1389"/>
              <w:gridCol w:w="1389"/>
            </w:tblGrid>
            <w:tr w:rsidR="001E6FB8" w:rsidRPr="00E141F1" w:rsidTr="001E6FB8">
              <w:trPr>
                <w:trHeight w:val="321"/>
              </w:trPr>
              <w:tc>
                <w:tcPr>
                  <w:tcW w:w="2665" w:type="dxa"/>
                  <w:shd w:val="clear" w:color="auto" w:fill="00709E"/>
                  <w:tcMar>
                    <w:top w:w="34" w:type="dxa"/>
                    <w:left w:w="113" w:type="dxa"/>
                  </w:tcMar>
                </w:tcPr>
                <w:p w:rsidR="001E6FB8" w:rsidRPr="00E141F1" w:rsidRDefault="001E6FB8" w:rsidP="001E6FB8">
                  <w:pPr>
                    <w:pStyle w:val="TableHeading"/>
                    <w:rPr>
                      <w:rFonts w:cs="Arial"/>
                      <w:color w:val="FFFFFF" w:themeColor="background1"/>
                      <w:sz w:val="18"/>
                      <w:szCs w:val="18"/>
                    </w:rPr>
                  </w:pPr>
                  <w:r w:rsidRPr="00E141F1">
                    <w:rPr>
                      <w:rFonts w:cs="Arial"/>
                      <w:color w:val="FFFFFF" w:themeColor="background1"/>
                      <w:sz w:val="18"/>
                      <w:szCs w:val="18"/>
                    </w:rPr>
                    <w:t xml:space="preserve">Numbers ported </w:t>
                  </w:r>
                </w:p>
              </w:tc>
              <w:tc>
                <w:tcPr>
                  <w:tcW w:w="1389" w:type="dxa"/>
                  <w:shd w:val="clear" w:color="auto" w:fill="00709E"/>
                  <w:tcMar>
                    <w:left w:w="113" w:type="dxa"/>
                  </w:tcMar>
                  <w:vAlign w:val="center"/>
                </w:tcPr>
                <w:p w:rsidR="001E6FB8" w:rsidRPr="00E141F1" w:rsidRDefault="001E6FB8" w:rsidP="001E6FB8">
                  <w:pPr>
                    <w:spacing w:before="40" w:after="40" w:line="240" w:lineRule="auto"/>
                    <w:ind w:right="134"/>
                    <w:jc w:val="right"/>
                    <w:rPr>
                      <w:rFonts w:cs="Arial"/>
                      <w:b/>
                      <w:color w:val="FFFFFF" w:themeColor="background1"/>
                      <w:sz w:val="18"/>
                      <w:szCs w:val="18"/>
                    </w:rPr>
                  </w:pPr>
                  <w:r w:rsidRPr="00E141F1">
                    <w:rPr>
                      <w:rFonts w:cs="Arial"/>
                      <w:b/>
                      <w:color w:val="FFFFFF" w:themeColor="background1"/>
                      <w:sz w:val="18"/>
                      <w:szCs w:val="18"/>
                    </w:rPr>
                    <w:t>2008–09</w:t>
                  </w:r>
                </w:p>
              </w:tc>
              <w:tc>
                <w:tcPr>
                  <w:tcW w:w="1389" w:type="dxa"/>
                  <w:shd w:val="clear" w:color="auto" w:fill="00709E"/>
                  <w:vAlign w:val="center"/>
                </w:tcPr>
                <w:p w:rsidR="001E6FB8" w:rsidRPr="00E141F1" w:rsidRDefault="001E6FB8" w:rsidP="001E6FB8">
                  <w:pPr>
                    <w:spacing w:before="40" w:after="40" w:line="240" w:lineRule="auto"/>
                    <w:ind w:right="134"/>
                    <w:jc w:val="right"/>
                    <w:rPr>
                      <w:rFonts w:cs="Arial"/>
                      <w:b/>
                      <w:color w:val="FFFFFF" w:themeColor="background1"/>
                      <w:sz w:val="18"/>
                      <w:szCs w:val="18"/>
                    </w:rPr>
                  </w:pPr>
                  <w:r w:rsidRPr="00E141F1">
                    <w:rPr>
                      <w:rFonts w:cs="Arial"/>
                      <w:b/>
                      <w:color w:val="FFFFFF" w:themeColor="background1"/>
                      <w:sz w:val="18"/>
                      <w:szCs w:val="18"/>
                    </w:rPr>
                    <w:t>2009–10</w:t>
                  </w:r>
                </w:p>
              </w:tc>
              <w:tc>
                <w:tcPr>
                  <w:tcW w:w="1389" w:type="dxa"/>
                  <w:shd w:val="clear" w:color="auto" w:fill="00709E"/>
                  <w:tcMar>
                    <w:left w:w="113" w:type="dxa"/>
                  </w:tcMar>
                  <w:vAlign w:val="center"/>
                </w:tcPr>
                <w:p w:rsidR="001E6FB8" w:rsidRPr="00E141F1" w:rsidRDefault="001E6FB8" w:rsidP="001E6FB8">
                  <w:pPr>
                    <w:spacing w:before="40" w:after="40" w:line="240" w:lineRule="auto"/>
                    <w:ind w:right="134"/>
                    <w:jc w:val="right"/>
                    <w:rPr>
                      <w:rFonts w:cs="Arial"/>
                      <w:b/>
                      <w:color w:val="FFFFFF" w:themeColor="background1"/>
                      <w:sz w:val="18"/>
                      <w:szCs w:val="18"/>
                    </w:rPr>
                  </w:pPr>
                  <w:r w:rsidRPr="00E141F1">
                    <w:rPr>
                      <w:rFonts w:cs="Arial"/>
                      <w:b/>
                      <w:color w:val="FFFFFF" w:themeColor="background1"/>
                      <w:sz w:val="18"/>
                      <w:szCs w:val="18"/>
                    </w:rPr>
                    <w:t>2010–11</w:t>
                  </w:r>
                </w:p>
              </w:tc>
              <w:tc>
                <w:tcPr>
                  <w:tcW w:w="1389" w:type="dxa"/>
                  <w:shd w:val="clear" w:color="auto" w:fill="00709E"/>
                  <w:vAlign w:val="center"/>
                </w:tcPr>
                <w:p w:rsidR="001E6FB8" w:rsidRPr="00E141F1" w:rsidRDefault="001E6FB8" w:rsidP="001E6FB8">
                  <w:pPr>
                    <w:spacing w:before="40" w:after="40" w:line="240" w:lineRule="auto"/>
                    <w:ind w:right="134"/>
                    <w:jc w:val="right"/>
                    <w:rPr>
                      <w:rFonts w:cs="Arial"/>
                      <w:b/>
                      <w:color w:val="FFFFFF" w:themeColor="background1"/>
                      <w:sz w:val="18"/>
                      <w:szCs w:val="18"/>
                    </w:rPr>
                  </w:pPr>
                  <w:r w:rsidRPr="00E141F1">
                    <w:rPr>
                      <w:rFonts w:cs="Arial"/>
                      <w:b/>
                      <w:color w:val="FFFFFF" w:themeColor="background1"/>
                      <w:sz w:val="18"/>
                      <w:szCs w:val="18"/>
                    </w:rPr>
                    <w:t>2011–12</w:t>
                  </w:r>
                </w:p>
              </w:tc>
              <w:tc>
                <w:tcPr>
                  <w:tcW w:w="1389" w:type="dxa"/>
                  <w:shd w:val="clear" w:color="auto" w:fill="00709E"/>
                  <w:vAlign w:val="center"/>
                </w:tcPr>
                <w:p w:rsidR="001E6FB8" w:rsidRPr="00E141F1" w:rsidRDefault="001E6FB8" w:rsidP="001E6FB8">
                  <w:pPr>
                    <w:spacing w:before="40" w:after="40" w:line="240" w:lineRule="auto"/>
                    <w:ind w:right="134"/>
                    <w:jc w:val="right"/>
                    <w:rPr>
                      <w:rFonts w:cs="Arial"/>
                      <w:b/>
                      <w:color w:val="FFFFFF" w:themeColor="background1"/>
                      <w:sz w:val="18"/>
                      <w:szCs w:val="18"/>
                    </w:rPr>
                  </w:pPr>
                  <w:r w:rsidRPr="00E141F1">
                    <w:rPr>
                      <w:rFonts w:cs="Arial"/>
                      <w:b/>
                      <w:color w:val="FFFFFF" w:themeColor="background1"/>
                      <w:sz w:val="18"/>
                      <w:szCs w:val="18"/>
                    </w:rPr>
                    <w:t>2012–13</w:t>
                  </w:r>
                </w:p>
              </w:tc>
            </w:tr>
            <w:tr w:rsidR="001E6FB8" w:rsidRPr="00E141F1" w:rsidTr="001E6FB8">
              <w:trPr>
                <w:trHeight w:val="318"/>
              </w:trPr>
              <w:tc>
                <w:tcPr>
                  <w:tcW w:w="2665" w:type="dxa"/>
                  <w:shd w:val="clear" w:color="auto" w:fill="auto"/>
                  <w:tcMar>
                    <w:left w:w="113" w:type="dxa"/>
                  </w:tcMar>
                  <w:vAlign w:val="center"/>
                </w:tcPr>
                <w:p w:rsidR="001E6FB8" w:rsidRPr="00E141F1" w:rsidRDefault="001E6FB8" w:rsidP="001E6FB8">
                  <w:pPr>
                    <w:ind w:right="134"/>
                    <w:rPr>
                      <w:rFonts w:cs="Arial"/>
                      <w:sz w:val="18"/>
                      <w:szCs w:val="18"/>
                    </w:rPr>
                  </w:pPr>
                  <w:r w:rsidRPr="00E141F1">
                    <w:rPr>
                      <w:rFonts w:cs="Arial"/>
                      <w:sz w:val="18"/>
                      <w:szCs w:val="18"/>
                    </w:rPr>
                    <w:t xml:space="preserve">Local </w:t>
                  </w:r>
                </w:p>
              </w:tc>
              <w:tc>
                <w:tcPr>
                  <w:tcW w:w="1389" w:type="dxa"/>
                  <w:tcMar>
                    <w:left w:w="113" w:type="dxa"/>
                  </w:tcMar>
                  <w:vAlign w:val="center"/>
                </w:tcPr>
                <w:p w:rsidR="001E6FB8" w:rsidRPr="00E141F1" w:rsidRDefault="001E6FB8" w:rsidP="001E6FB8">
                  <w:pPr>
                    <w:ind w:right="134"/>
                    <w:jc w:val="right"/>
                    <w:rPr>
                      <w:rFonts w:cs="Arial"/>
                      <w:sz w:val="18"/>
                      <w:szCs w:val="18"/>
                    </w:rPr>
                  </w:pPr>
                  <w:r w:rsidRPr="00E141F1">
                    <w:rPr>
                      <w:rFonts w:cs="Arial"/>
                      <w:sz w:val="18"/>
                      <w:szCs w:val="18"/>
                    </w:rPr>
                    <w:t>832,218</w:t>
                  </w:r>
                </w:p>
              </w:tc>
              <w:tc>
                <w:tcPr>
                  <w:tcW w:w="1389" w:type="dxa"/>
                  <w:shd w:val="clear" w:color="auto" w:fill="auto"/>
                  <w:vAlign w:val="center"/>
                </w:tcPr>
                <w:p w:rsidR="001E6FB8" w:rsidRPr="00E141F1" w:rsidRDefault="001E6FB8" w:rsidP="001E6FB8">
                  <w:pPr>
                    <w:ind w:right="134"/>
                    <w:jc w:val="right"/>
                    <w:rPr>
                      <w:rFonts w:cs="Arial"/>
                      <w:sz w:val="18"/>
                      <w:szCs w:val="18"/>
                    </w:rPr>
                  </w:pPr>
                  <w:r w:rsidRPr="00E141F1">
                    <w:rPr>
                      <w:rFonts w:cs="Arial"/>
                      <w:sz w:val="18"/>
                      <w:szCs w:val="18"/>
                    </w:rPr>
                    <w:t>615,860</w:t>
                  </w:r>
                </w:p>
              </w:tc>
              <w:tc>
                <w:tcPr>
                  <w:tcW w:w="1389" w:type="dxa"/>
                  <w:tcMar>
                    <w:left w:w="113" w:type="dxa"/>
                  </w:tcMar>
                  <w:vAlign w:val="center"/>
                </w:tcPr>
                <w:p w:rsidR="001E6FB8" w:rsidRPr="00E141F1" w:rsidRDefault="001E6FB8" w:rsidP="001E6FB8">
                  <w:pPr>
                    <w:ind w:right="134"/>
                    <w:jc w:val="right"/>
                    <w:rPr>
                      <w:rFonts w:cs="Arial"/>
                      <w:sz w:val="18"/>
                      <w:szCs w:val="18"/>
                    </w:rPr>
                  </w:pPr>
                  <w:r w:rsidRPr="00E141F1">
                    <w:rPr>
                      <w:rFonts w:cs="Arial"/>
                      <w:sz w:val="18"/>
                      <w:szCs w:val="18"/>
                    </w:rPr>
                    <w:t>702,369</w:t>
                  </w:r>
                </w:p>
              </w:tc>
              <w:tc>
                <w:tcPr>
                  <w:tcW w:w="1389" w:type="dxa"/>
                  <w:vAlign w:val="center"/>
                </w:tcPr>
                <w:p w:rsidR="001E6FB8" w:rsidRPr="00E141F1" w:rsidRDefault="001E6FB8" w:rsidP="001E6FB8">
                  <w:pPr>
                    <w:ind w:right="134"/>
                    <w:jc w:val="right"/>
                    <w:rPr>
                      <w:rFonts w:cs="Arial"/>
                      <w:sz w:val="18"/>
                      <w:szCs w:val="18"/>
                    </w:rPr>
                  </w:pPr>
                  <w:r w:rsidRPr="00E141F1">
                    <w:rPr>
                      <w:rFonts w:cs="Arial"/>
                      <w:sz w:val="18"/>
                      <w:szCs w:val="18"/>
                    </w:rPr>
                    <w:t>627,160</w:t>
                  </w:r>
                </w:p>
              </w:tc>
              <w:tc>
                <w:tcPr>
                  <w:tcW w:w="1389" w:type="dxa"/>
                  <w:vAlign w:val="center"/>
                </w:tcPr>
                <w:p w:rsidR="001E6FB8" w:rsidRPr="00E141F1" w:rsidRDefault="001E6FB8" w:rsidP="001E6FB8">
                  <w:pPr>
                    <w:ind w:right="134"/>
                    <w:jc w:val="right"/>
                    <w:rPr>
                      <w:rFonts w:cs="Arial"/>
                      <w:sz w:val="18"/>
                      <w:szCs w:val="18"/>
                    </w:rPr>
                  </w:pPr>
                  <w:r w:rsidRPr="00E141F1">
                    <w:rPr>
                      <w:rFonts w:cs="Arial"/>
                      <w:sz w:val="18"/>
                      <w:szCs w:val="18"/>
                    </w:rPr>
                    <w:t>763,422</w:t>
                  </w:r>
                </w:p>
              </w:tc>
            </w:tr>
            <w:tr w:rsidR="001E6FB8" w:rsidRPr="00E141F1" w:rsidTr="001E6FB8">
              <w:trPr>
                <w:trHeight w:val="318"/>
              </w:trPr>
              <w:tc>
                <w:tcPr>
                  <w:tcW w:w="2665" w:type="dxa"/>
                  <w:shd w:val="clear" w:color="auto" w:fill="auto"/>
                  <w:tcMar>
                    <w:left w:w="113" w:type="dxa"/>
                  </w:tcMar>
                  <w:vAlign w:val="center"/>
                </w:tcPr>
                <w:p w:rsidR="001E6FB8" w:rsidRPr="00E141F1" w:rsidRDefault="001E6FB8" w:rsidP="001E6FB8">
                  <w:pPr>
                    <w:ind w:right="134"/>
                    <w:rPr>
                      <w:rFonts w:cs="Arial"/>
                      <w:sz w:val="18"/>
                      <w:szCs w:val="18"/>
                    </w:rPr>
                  </w:pPr>
                  <w:proofErr w:type="spellStart"/>
                  <w:r w:rsidRPr="00E141F1">
                    <w:rPr>
                      <w:rFonts w:cs="Arial"/>
                      <w:sz w:val="18"/>
                      <w:szCs w:val="18"/>
                    </w:rPr>
                    <w:t>Freephone</w:t>
                  </w:r>
                  <w:proofErr w:type="spellEnd"/>
                  <w:r w:rsidRPr="00E141F1">
                    <w:rPr>
                      <w:rFonts w:cs="Arial"/>
                      <w:sz w:val="18"/>
                      <w:szCs w:val="18"/>
                    </w:rPr>
                    <w:t xml:space="preserve"> and local rate</w:t>
                  </w:r>
                </w:p>
              </w:tc>
              <w:tc>
                <w:tcPr>
                  <w:tcW w:w="1389" w:type="dxa"/>
                  <w:tcMar>
                    <w:left w:w="113" w:type="dxa"/>
                  </w:tcMar>
                  <w:vAlign w:val="center"/>
                </w:tcPr>
                <w:p w:rsidR="001E6FB8" w:rsidRPr="00E141F1" w:rsidRDefault="001E6FB8" w:rsidP="001E6FB8">
                  <w:pPr>
                    <w:ind w:right="134"/>
                    <w:jc w:val="right"/>
                    <w:rPr>
                      <w:rFonts w:cs="Arial"/>
                      <w:sz w:val="18"/>
                      <w:szCs w:val="18"/>
                    </w:rPr>
                  </w:pPr>
                  <w:r w:rsidRPr="00E141F1">
                    <w:rPr>
                      <w:rFonts w:cs="Arial"/>
                      <w:sz w:val="18"/>
                      <w:szCs w:val="18"/>
                    </w:rPr>
                    <w:t>10,792</w:t>
                  </w:r>
                </w:p>
              </w:tc>
              <w:tc>
                <w:tcPr>
                  <w:tcW w:w="1389" w:type="dxa"/>
                  <w:shd w:val="clear" w:color="auto" w:fill="auto"/>
                  <w:vAlign w:val="center"/>
                </w:tcPr>
                <w:p w:rsidR="001E6FB8" w:rsidRPr="00E141F1" w:rsidRDefault="001E6FB8" w:rsidP="001E6FB8">
                  <w:pPr>
                    <w:ind w:right="134"/>
                    <w:jc w:val="right"/>
                    <w:rPr>
                      <w:rFonts w:cs="Arial"/>
                      <w:sz w:val="18"/>
                      <w:szCs w:val="18"/>
                    </w:rPr>
                  </w:pPr>
                  <w:r w:rsidRPr="00E141F1">
                    <w:rPr>
                      <w:rFonts w:cs="Arial"/>
                      <w:sz w:val="18"/>
                      <w:szCs w:val="18"/>
                    </w:rPr>
                    <w:t>11,529</w:t>
                  </w:r>
                </w:p>
              </w:tc>
              <w:tc>
                <w:tcPr>
                  <w:tcW w:w="1389" w:type="dxa"/>
                  <w:tcMar>
                    <w:left w:w="113" w:type="dxa"/>
                  </w:tcMar>
                  <w:vAlign w:val="center"/>
                </w:tcPr>
                <w:p w:rsidR="001E6FB8" w:rsidRPr="00E141F1" w:rsidRDefault="001E6FB8" w:rsidP="001E6FB8">
                  <w:pPr>
                    <w:ind w:right="134"/>
                    <w:jc w:val="right"/>
                    <w:rPr>
                      <w:rFonts w:cs="Arial"/>
                      <w:sz w:val="18"/>
                      <w:szCs w:val="18"/>
                    </w:rPr>
                  </w:pPr>
                  <w:r w:rsidRPr="00E141F1">
                    <w:rPr>
                      <w:rFonts w:cs="Arial"/>
                      <w:sz w:val="18"/>
                      <w:szCs w:val="18"/>
                    </w:rPr>
                    <w:t>18,830</w:t>
                  </w:r>
                </w:p>
              </w:tc>
              <w:tc>
                <w:tcPr>
                  <w:tcW w:w="1389" w:type="dxa"/>
                  <w:vAlign w:val="center"/>
                </w:tcPr>
                <w:p w:rsidR="001E6FB8" w:rsidRPr="00E141F1" w:rsidRDefault="001E6FB8" w:rsidP="001E6FB8">
                  <w:pPr>
                    <w:ind w:right="134"/>
                    <w:jc w:val="right"/>
                    <w:rPr>
                      <w:rFonts w:cs="Arial"/>
                      <w:sz w:val="18"/>
                      <w:szCs w:val="18"/>
                    </w:rPr>
                  </w:pPr>
                  <w:r w:rsidRPr="00E141F1">
                    <w:rPr>
                      <w:rFonts w:cs="Arial"/>
                      <w:sz w:val="18"/>
                      <w:szCs w:val="18"/>
                    </w:rPr>
                    <w:t>12,814</w:t>
                  </w:r>
                </w:p>
              </w:tc>
              <w:tc>
                <w:tcPr>
                  <w:tcW w:w="1389" w:type="dxa"/>
                  <w:vAlign w:val="center"/>
                </w:tcPr>
                <w:p w:rsidR="001E6FB8" w:rsidRPr="00E141F1" w:rsidRDefault="001E6FB8" w:rsidP="001E6FB8">
                  <w:pPr>
                    <w:ind w:right="134"/>
                    <w:jc w:val="right"/>
                    <w:rPr>
                      <w:rFonts w:cs="Arial"/>
                      <w:sz w:val="18"/>
                      <w:szCs w:val="18"/>
                    </w:rPr>
                  </w:pPr>
                  <w:r w:rsidRPr="00E141F1">
                    <w:rPr>
                      <w:rFonts w:cs="Arial"/>
                      <w:sz w:val="18"/>
                      <w:szCs w:val="18"/>
                    </w:rPr>
                    <w:t>13,096</w:t>
                  </w:r>
                </w:p>
              </w:tc>
            </w:tr>
            <w:tr w:rsidR="001E6FB8" w:rsidRPr="00E141F1" w:rsidTr="001E6FB8">
              <w:trPr>
                <w:trHeight w:val="318"/>
              </w:trPr>
              <w:tc>
                <w:tcPr>
                  <w:tcW w:w="2665" w:type="dxa"/>
                  <w:shd w:val="clear" w:color="auto" w:fill="auto"/>
                  <w:tcMar>
                    <w:left w:w="113" w:type="dxa"/>
                  </w:tcMar>
                  <w:vAlign w:val="center"/>
                </w:tcPr>
                <w:p w:rsidR="001E6FB8" w:rsidRPr="00E141F1" w:rsidRDefault="001E6FB8" w:rsidP="001E6FB8">
                  <w:pPr>
                    <w:ind w:right="134"/>
                    <w:rPr>
                      <w:rFonts w:cs="Arial"/>
                      <w:sz w:val="18"/>
                      <w:szCs w:val="18"/>
                    </w:rPr>
                  </w:pPr>
                  <w:r w:rsidRPr="00E141F1">
                    <w:rPr>
                      <w:rFonts w:cs="Arial"/>
                      <w:sz w:val="18"/>
                      <w:szCs w:val="18"/>
                    </w:rPr>
                    <w:t>Mobile</w:t>
                  </w:r>
                </w:p>
              </w:tc>
              <w:tc>
                <w:tcPr>
                  <w:tcW w:w="1389" w:type="dxa"/>
                  <w:tcMar>
                    <w:left w:w="113" w:type="dxa"/>
                  </w:tcMar>
                  <w:vAlign w:val="center"/>
                </w:tcPr>
                <w:p w:rsidR="001E6FB8" w:rsidRPr="00E141F1" w:rsidRDefault="001E6FB8" w:rsidP="001E6FB8">
                  <w:pPr>
                    <w:ind w:right="134"/>
                    <w:jc w:val="right"/>
                    <w:rPr>
                      <w:rFonts w:cs="Arial"/>
                      <w:sz w:val="18"/>
                      <w:szCs w:val="18"/>
                    </w:rPr>
                  </w:pPr>
                  <w:r w:rsidRPr="00E141F1">
                    <w:rPr>
                      <w:rFonts w:cs="Arial"/>
                      <w:sz w:val="18"/>
                      <w:szCs w:val="18"/>
                    </w:rPr>
                    <w:t>1,346,689</w:t>
                  </w:r>
                </w:p>
              </w:tc>
              <w:tc>
                <w:tcPr>
                  <w:tcW w:w="1389" w:type="dxa"/>
                  <w:shd w:val="clear" w:color="auto" w:fill="auto"/>
                  <w:vAlign w:val="center"/>
                </w:tcPr>
                <w:p w:rsidR="001E6FB8" w:rsidRPr="00E141F1" w:rsidRDefault="001E6FB8" w:rsidP="001E6FB8">
                  <w:pPr>
                    <w:ind w:right="134"/>
                    <w:jc w:val="right"/>
                    <w:rPr>
                      <w:rFonts w:cs="Arial"/>
                      <w:sz w:val="18"/>
                      <w:szCs w:val="18"/>
                    </w:rPr>
                  </w:pPr>
                  <w:r w:rsidRPr="00E141F1">
                    <w:rPr>
                      <w:rFonts w:cs="Arial"/>
                      <w:sz w:val="18"/>
                      <w:szCs w:val="18"/>
                    </w:rPr>
                    <w:t>1,660,873</w:t>
                  </w:r>
                </w:p>
              </w:tc>
              <w:tc>
                <w:tcPr>
                  <w:tcW w:w="1389" w:type="dxa"/>
                  <w:tcMar>
                    <w:left w:w="113" w:type="dxa"/>
                  </w:tcMar>
                  <w:vAlign w:val="center"/>
                </w:tcPr>
                <w:p w:rsidR="001E6FB8" w:rsidRPr="00E141F1" w:rsidRDefault="001E6FB8" w:rsidP="001E6FB8">
                  <w:pPr>
                    <w:ind w:right="134"/>
                    <w:jc w:val="right"/>
                    <w:rPr>
                      <w:rFonts w:cs="Arial"/>
                      <w:sz w:val="18"/>
                      <w:szCs w:val="18"/>
                    </w:rPr>
                  </w:pPr>
                  <w:r w:rsidRPr="00E141F1">
                    <w:rPr>
                      <w:rFonts w:cs="Arial"/>
                      <w:sz w:val="18"/>
                      <w:szCs w:val="18"/>
                    </w:rPr>
                    <w:t>1,896,016</w:t>
                  </w:r>
                </w:p>
              </w:tc>
              <w:tc>
                <w:tcPr>
                  <w:tcW w:w="1389" w:type="dxa"/>
                  <w:vAlign w:val="center"/>
                </w:tcPr>
                <w:p w:rsidR="001E6FB8" w:rsidRPr="00E141F1" w:rsidRDefault="001E6FB8" w:rsidP="001E6FB8">
                  <w:pPr>
                    <w:ind w:right="134"/>
                    <w:jc w:val="right"/>
                    <w:rPr>
                      <w:rFonts w:cs="Arial"/>
                      <w:sz w:val="18"/>
                      <w:szCs w:val="18"/>
                    </w:rPr>
                  </w:pPr>
                  <w:r w:rsidRPr="00E141F1">
                    <w:rPr>
                      <w:rFonts w:cs="Arial"/>
                      <w:sz w:val="18"/>
                      <w:szCs w:val="18"/>
                    </w:rPr>
                    <w:t>2,627,350</w:t>
                  </w:r>
                </w:p>
              </w:tc>
              <w:tc>
                <w:tcPr>
                  <w:tcW w:w="1389" w:type="dxa"/>
                  <w:vAlign w:val="center"/>
                </w:tcPr>
                <w:p w:rsidR="001E6FB8" w:rsidRPr="00E141F1" w:rsidRDefault="001E6FB8" w:rsidP="001E6FB8">
                  <w:pPr>
                    <w:ind w:right="134"/>
                    <w:jc w:val="right"/>
                    <w:rPr>
                      <w:rFonts w:cs="Arial"/>
                      <w:sz w:val="18"/>
                      <w:szCs w:val="18"/>
                    </w:rPr>
                  </w:pPr>
                  <w:r w:rsidRPr="00E141F1">
                    <w:rPr>
                      <w:rFonts w:cs="Arial"/>
                      <w:sz w:val="18"/>
                      <w:szCs w:val="18"/>
                    </w:rPr>
                    <w:t>1,743,485</w:t>
                  </w:r>
                </w:p>
              </w:tc>
            </w:tr>
          </w:tbl>
          <w:p w:rsidR="001E6FB8" w:rsidRPr="00E141F1" w:rsidRDefault="001E6FB8" w:rsidP="001E6FB8">
            <w:pPr>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60" w:after="60"/>
              <w:rPr>
                <w:rFonts w:cs="Arial"/>
                <w:i/>
                <w:sz w:val="16"/>
                <w:szCs w:val="16"/>
              </w:rPr>
            </w:pPr>
            <w:r w:rsidRPr="00E141F1">
              <w:rPr>
                <w:rFonts w:cs="Arial"/>
                <w:i/>
                <w:sz w:val="16"/>
                <w:szCs w:val="16"/>
              </w:rPr>
              <w:t>Source: The ACMA and INMS.</w:t>
            </w:r>
          </w:p>
        </w:tc>
      </w:tr>
    </w:tbl>
    <w:p w:rsidR="001E6FB8" w:rsidRPr="00E141F1" w:rsidRDefault="001E6FB8" w:rsidP="001E6FB8"/>
    <w:p w:rsidR="001E6FB8" w:rsidRPr="00E141F1" w:rsidRDefault="001E6FB8" w:rsidP="001E6FB8">
      <w:pPr>
        <w:pStyle w:val="Heading3"/>
      </w:pPr>
      <w:bookmarkStart w:id="426" w:name="_Toc371589063"/>
      <w:bookmarkStart w:id="427" w:name="_Toc373149125"/>
      <w:r w:rsidRPr="00E141F1">
        <w:t>Consumer awareness and attitudes towards local number portability</w:t>
      </w:r>
      <w:bookmarkEnd w:id="426"/>
      <w:bookmarkEnd w:id="427"/>
    </w:p>
    <w:p w:rsidR="001E6FB8" w:rsidRPr="00E141F1" w:rsidRDefault="001E6FB8" w:rsidP="001E6FB8">
      <w:pPr>
        <w:rPr>
          <w:rFonts w:cs="Arial"/>
        </w:rPr>
      </w:pPr>
      <w:r w:rsidRPr="00E141F1">
        <w:rPr>
          <w:rFonts w:cs="Arial"/>
        </w:rPr>
        <w:t xml:space="preserve">In 2012–13, the ACMA-commissioned research to get a better understanding of consumer awareness and attitudes towards local number portability and previous experiences with porting a fixed-line telephone number to another communications service provider.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Consumer awareness of local number portability is relatively high with 79 per cent of Australians aged 18 years and over aware of local number portability. However, only one in four Australians had ported their fixed-line telephone number to another provider in the past 10 years.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While the number of fixed-line services is declining, </w:t>
      </w:r>
      <w:r>
        <w:rPr>
          <w:rFonts w:cs="Arial"/>
        </w:rPr>
        <w:t>three-</w:t>
      </w:r>
      <w:r w:rsidRPr="000E35D4">
        <w:rPr>
          <w:rFonts w:cs="Arial"/>
        </w:rPr>
        <w:t>quarters</w:t>
      </w:r>
      <w:r w:rsidRPr="00E141F1">
        <w:rPr>
          <w:rFonts w:cs="Arial"/>
        </w:rPr>
        <w:t xml:space="preserve"> of Australians </w:t>
      </w:r>
      <w:r>
        <w:rPr>
          <w:rFonts w:cs="Arial"/>
        </w:rPr>
        <w:t>consider</w:t>
      </w:r>
      <w:r w:rsidRPr="00E141F1">
        <w:rPr>
          <w:rFonts w:cs="Arial"/>
        </w:rPr>
        <w:t xml:space="preserve"> it is important to be able to keep their telephone number when changing providers, with 53 per cent citing it as very important (Figure 3.5).</w:t>
      </w:r>
    </w:p>
    <w:p w:rsidR="001E6FB8" w:rsidRPr="00E141F1" w:rsidRDefault="001E6FB8" w:rsidP="001E6FB8">
      <w:pPr>
        <w:rPr>
          <w:rFonts w:cs="Arial"/>
        </w:rPr>
      </w:pPr>
    </w:p>
    <w:tbl>
      <w:tblPr>
        <w:tblW w:w="9420" w:type="dxa"/>
        <w:tblLayout w:type="fixed"/>
        <w:tblCellMar>
          <w:left w:w="0" w:type="dxa"/>
          <w:right w:w="0" w:type="dxa"/>
        </w:tblCellMar>
        <w:tblLook w:val="01E0"/>
      </w:tblPr>
      <w:tblGrid>
        <w:gridCol w:w="9420"/>
      </w:tblGrid>
      <w:tr w:rsidR="001E6FB8" w:rsidRPr="00E141F1" w:rsidTr="001E6FB8">
        <w:trPr>
          <w:trHeight w:val="652"/>
        </w:trPr>
        <w:tc>
          <w:tcPr>
            <w:tcW w:w="9420"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3.5 Importance of keeping fixed-line number</w:t>
            </w:r>
          </w:p>
        </w:tc>
      </w:tr>
      <w:tr w:rsidR="001E6FB8" w:rsidRPr="00E141F1" w:rsidTr="001E6FB8">
        <w:tblPrEx>
          <w:tblCellMar>
            <w:left w:w="108" w:type="dxa"/>
            <w:right w:w="108" w:type="dxa"/>
          </w:tblCellMar>
        </w:tblPrEx>
        <w:trPr>
          <w:trHeight w:val="3533"/>
        </w:trPr>
        <w:tc>
          <w:tcPr>
            <w:tcW w:w="9420" w:type="dxa"/>
            <w:shd w:val="clear" w:color="auto" w:fill="auto"/>
          </w:tcPr>
          <w:p w:rsidR="001E6FB8" w:rsidRPr="00E141F1" w:rsidRDefault="001E6FB8" w:rsidP="001E6FB8">
            <w:pPr>
              <w:keepNext/>
              <w:keepLines/>
              <w:rPr>
                <w:rFonts w:cs="Arial"/>
              </w:rPr>
            </w:pPr>
            <w:r w:rsidRPr="00F430BD">
              <w:rPr>
                <w:rFonts w:cs="Arial"/>
                <w:noProof/>
              </w:rPr>
              <w:drawing>
                <wp:inline distT="0" distB="0" distL="0" distR="0">
                  <wp:extent cx="5973418" cy="2385391"/>
                  <wp:effectExtent l="0" t="0" r="0" b="0"/>
                  <wp:docPr id="225"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1E6FB8" w:rsidRPr="00E141F1" w:rsidTr="001E6FB8">
        <w:trPr>
          <w:trHeight w:val="259"/>
        </w:trPr>
        <w:tc>
          <w:tcPr>
            <w:tcW w:w="9420" w:type="dxa"/>
            <w:tcBorders>
              <w:bottom w:val="single" w:sz="2" w:space="0" w:color="505050"/>
            </w:tcBorders>
            <w:shd w:val="clear" w:color="auto" w:fill="auto"/>
          </w:tcPr>
          <w:p w:rsidR="001E6FB8" w:rsidRPr="00E141F1" w:rsidRDefault="001E6FB8" w:rsidP="001E6FB8">
            <w:pPr>
              <w:keepNext/>
              <w:keepLines/>
              <w:widowControl w:val="0"/>
              <w:spacing w:before="120" w:after="60"/>
              <w:outlineLvl w:val="0"/>
              <w:rPr>
                <w:rFonts w:cs="Arial"/>
              </w:rPr>
            </w:pPr>
            <w:r w:rsidRPr="00E141F1">
              <w:rPr>
                <w:rFonts w:cs="Arial"/>
                <w:i/>
                <w:sz w:val="16"/>
                <w:szCs w:val="16"/>
              </w:rPr>
              <w:t>Source: ACMA-commissioned research, May 2013.</w:t>
            </w:r>
          </w:p>
        </w:tc>
      </w:tr>
    </w:tbl>
    <w:p w:rsidR="001E6FB8" w:rsidRPr="00E141F1" w:rsidRDefault="001E6FB8" w:rsidP="001E6FB8">
      <w:pPr>
        <w:rPr>
          <w:rFonts w:cs="Arial"/>
        </w:rPr>
      </w:pPr>
    </w:p>
    <w:p w:rsidR="001E6FB8" w:rsidRPr="00E141F1" w:rsidRDefault="001E6FB8" w:rsidP="001E6FB8">
      <w:pPr>
        <w:pStyle w:val="Heading2"/>
      </w:pPr>
      <w:bookmarkStart w:id="428" w:name="_Toc371589064"/>
      <w:bookmarkStart w:id="429" w:name="_Toc373149126"/>
      <w:r w:rsidRPr="00E141F1">
        <w:t>Pre-selection and call override</w:t>
      </w:r>
      <w:bookmarkEnd w:id="428"/>
      <w:bookmarkEnd w:id="429"/>
    </w:p>
    <w:p w:rsidR="001E6FB8" w:rsidRDefault="001E6FB8" w:rsidP="001E6FB8">
      <w:pPr>
        <w:spacing w:after="80"/>
        <w:rPr>
          <w:rFonts w:cs="Arial"/>
        </w:rPr>
      </w:pPr>
      <w:r w:rsidRPr="00E141F1">
        <w:rPr>
          <w:rFonts w:cs="Arial"/>
        </w:rPr>
        <w:t>Pre-selection and call override are features provided on a standard telephone service that allow a consumer to nominate a preferred provider to supply specific call types, either on an ongoing basis or for an individual call. Pre-selectable services include:</w:t>
      </w:r>
    </w:p>
    <w:p w:rsidR="001E6FB8" w:rsidRPr="00E141F1" w:rsidRDefault="001E6FB8" w:rsidP="001E6FB8">
      <w:pPr>
        <w:pStyle w:val="ListBullet"/>
        <w:rPr>
          <w:rFonts w:cs="Arial"/>
        </w:rPr>
      </w:pPr>
      <w:r w:rsidRPr="00E141F1">
        <w:rPr>
          <w:rFonts w:cs="Arial"/>
        </w:rPr>
        <w:t>national long-distance calls</w:t>
      </w:r>
    </w:p>
    <w:p w:rsidR="001E6FB8" w:rsidRPr="00E141F1" w:rsidRDefault="001E6FB8" w:rsidP="001E6FB8">
      <w:pPr>
        <w:pStyle w:val="ListBullet"/>
        <w:rPr>
          <w:rFonts w:cs="Arial"/>
        </w:rPr>
      </w:pPr>
      <w:r w:rsidRPr="00E141F1">
        <w:rPr>
          <w:rFonts w:cs="Arial"/>
        </w:rPr>
        <w:t>international direct-dial calls (0011)</w:t>
      </w:r>
    </w:p>
    <w:p w:rsidR="001E6FB8" w:rsidRPr="00E141F1" w:rsidRDefault="001E6FB8" w:rsidP="001E6FB8">
      <w:pPr>
        <w:pStyle w:val="ListBullet"/>
        <w:rPr>
          <w:rFonts w:cs="Arial"/>
        </w:rPr>
      </w:pPr>
      <w:r w:rsidRPr="00E141F1">
        <w:rPr>
          <w:rFonts w:cs="Arial"/>
        </w:rPr>
        <w:t>certain operator-assisted calls</w:t>
      </w:r>
    </w:p>
    <w:p w:rsidR="001E6FB8" w:rsidRPr="00E141F1" w:rsidRDefault="001E6FB8" w:rsidP="001E6FB8">
      <w:pPr>
        <w:pStyle w:val="ListBullet"/>
        <w:rPr>
          <w:rFonts w:cs="Arial"/>
        </w:rPr>
      </w:pPr>
      <w:r w:rsidRPr="00E141F1">
        <w:rPr>
          <w:rFonts w:cs="Arial"/>
        </w:rPr>
        <w:t>international ring-back pricing code (0012) calls</w:t>
      </w:r>
    </w:p>
    <w:p w:rsidR="001E6FB8" w:rsidRPr="00E141F1" w:rsidRDefault="001E6FB8" w:rsidP="001E6FB8">
      <w:pPr>
        <w:pStyle w:val="ListBullet"/>
        <w:spacing w:after="240"/>
        <w:rPr>
          <w:rFonts w:cs="Arial"/>
        </w:rPr>
      </w:pPr>
      <w:r w:rsidRPr="00E141F1">
        <w:rPr>
          <w:rFonts w:cs="Arial"/>
        </w:rPr>
        <w:t>fixed-to-mobile calls.</w:t>
      </w:r>
    </w:p>
    <w:p w:rsidR="001E6FB8" w:rsidRDefault="001E6FB8" w:rsidP="001E6FB8">
      <w:r w:rsidRPr="00E141F1">
        <w:t>There were a total of 13 active pre-selection agreements between carriers during 2012–13, and a total of 16 active override dial codes allocated to carriers during the same period. There were no complaints concerning pre-selection.</w:t>
      </w:r>
    </w:p>
    <w:p w:rsidR="001E6FB8" w:rsidRPr="00E141F1" w:rsidRDefault="001E6FB8" w:rsidP="001E6FB8">
      <w:pPr>
        <w:rPr>
          <w:rFonts w:cs="Arial"/>
        </w:rPr>
      </w:pPr>
      <w:bookmarkStart w:id="430" w:name="_Toc341428386"/>
      <w:bookmarkEnd w:id="413"/>
      <w:bookmarkEnd w:id="414"/>
      <w:bookmarkEnd w:id="415"/>
      <w:bookmarkEnd w:id="416"/>
      <w:bookmarkEnd w:id="417"/>
    </w:p>
    <w:p w:rsidR="001E6FB8" w:rsidRPr="00E141F1" w:rsidRDefault="001E6FB8" w:rsidP="001E6FB8">
      <w:pPr>
        <w:pStyle w:val="Heading2"/>
      </w:pPr>
      <w:bookmarkStart w:id="431" w:name="_Toc371589065"/>
      <w:bookmarkStart w:id="432" w:name="_Toc373149127"/>
      <w:r w:rsidRPr="00E141F1">
        <w:t>Cabling regulation</w:t>
      </w:r>
      <w:bookmarkEnd w:id="430"/>
      <w:bookmarkEnd w:id="431"/>
      <w:bookmarkEnd w:id="432"/>
    </w:p>
    <w:p w:rsidR="001E6FB8" w:rsidRPr="00E141F1" w:rsidRDefault="001E6FB8" w:rsidP="001E6FB8">
      <w:pPr>
        <w:pStyle w:val="Heading3"/>
      </w:pPr>
      <w:bookmarkStart w:id="433" w:name="_Toc287540209"/>
      <w:bookmarkStart w:id="434" w:name="_Toc308517233"/>
      <w:bookmarkStart w:id="435" w:name="_Toc308523673"/>
      <w:bookmarkStart w:id="436" w:name="_Toc312157188"/>
      <w:bookmarkStart w:id="437" w:name="_Toc341428387"/>
      <w:bookmarkStart w:id="438" w:name="_Toc371589066"/>
      <w:bookmarkStart w:id="439" w:name="_Toc373149128"/>
      <w:r w:rsidRPr="00E141F1">
        <w:t xml:space="preserve">Registered </w:t>
      </w:r>
      <w:proofErr w:type="spellStart"/>
      <w:r w:rsidRPr="00E141F1">
        <w:t>cablers</w:t>
      </w:r>
      <w:bookmarkEnd w:id="433"/>
      <w:bookmarkEnd w:id="434"/>
      <w:bookmarkEnd w:id="435"/>
      <w:bookmarkEnd w:id="436"/>
      <w:bookmarkEnd w:id="437"/>
      <w:bookmarkEnd w:id="438"/>
      <w:bookmarkEnd w:id="439"/>
      <w:proofErr w:type="spellEnd"/>
    </w:p>
    <w:p w:rsidR="001E6FB8" w:rsidRPr="00E141F1" w:rsidRDefault="001E6FB8" w:rsidP="001E6FB8">
      <w:pPr>
        <w:rPr>
          <w:rFonts w:cs="Arial"/>
        </w:rPr>
      </w:pPr>
      <w:r w:rsidRPr="00E141F1">
        <w:rPr>
          <w:rFonts w:cs="Arial"/>
        </w:rPr>
        <w:t xml:space="preserve">All individual </w:t>
      </w:r>
      <w:proofErr w:type="spellStart"/>
      <w:r w:rsidRPr="00E141F1">
        <w:rPr>
          <w:rFonts w:cs="Arial"/>
        </w:rPr>
        <w:t>cablers</w:t>
      </w:r>
      <w:proofErr w:type="spellEnd"/>
      <w:r w:rsidRPr="00E141F1">
        <w:rPr>
          <w:rFonts w:cs="Arial"/>
        </w:rPr>
        <w:t xml:space="preserve"> who perform customer cabling work connected to the telecommunications network or intended for use on the customer side of the network boundary must either be registered with an ACMA-accredited registrar as a cabling provider or supervised by a person who is registered.</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Table 3.15 shows that the total number of registered </w:t>
      </w:r>
      <w:proofErr w:type="spellStart"/>
      <w:r w:rsidRPr="00E141F1">
        <w:rPr>
          <w:rFonts w:cs="Arial"/>
        </w:rPr>
        <w:t>cablers</w:t>
      </w:r>
      <w:proofErr w:type="spellEnd"/>
      <w:r w:rsidRPr="00E141F1">
        <w:rPr>
          <w:rFonts w:cs="Arial"/>
        </w:rPr>
        <w:t xml:space="preserve"> in the industry has increased marginally each year since 30 June 2008.</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 xml:space="preserve">Table 3.15 Total number of licensed/registered </w:t>
            </w:r>
            <w:proofErr w:type="spellStart"/>
            <w:r w:rsidRPr="00E141F1">
              <w:rPr>
                <w:rFonts w:cs="Arial"/>
              </w:rPr>
              <w:t>cablers</w:t>
            </w:r>
            <w:proofErr w:type="spellEnd"/>
          </w:p>
        </w:tc>
      </w:tr>
      <w:tr w:rsidR="001E6FB8" w:rsidRPr="00E141F1" w:rsidTr="001E6FB8">
        <w:trPr>
          <w:trHeight w:val="764"/>
        </w:trPr>
        <w:tc>
          <w:tcPr>
            <w:tcW w:w="9645" w:type="dxa"/>
            <w:shd w:val="clear" w:color="auto" w:fill="auto"/>
            <w:tcMar>
              <w:left w:w="28" w:type="dxa"/>
            </w:tcMar>
          </w:tcPr>
          <w:tbl>
            <w:tblPr>
              <w:tblW w:w="9650" w:type="dxa"/>
              <w:tblInd w:w="1"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2479"/>
              <w:gridCol w:w="1204"/>
              <w:gridCol w:w="1206"/>
              <w:gridCol w:w="1146"/>
              <w:gridCol w:w="1204"/>
              <w:gridCol w:w="1203"/>
              <w:gridCol w:w="1208"/>
            </w:tblGrid>
            <w:tr w:rsidR="001E6FB8" w:rsidRPr="00E141F1" w:rsidTr="001E6FB8">
              <w:trPr>
                <w:trHeight w:val="342"/>
              </w:trPr>
              <w:tc>
                <w:tcPr>
                  <w:tcW w:w="2479" w:type="dxa"/>
                  <w:shd w:val="clear" w:color="auto" w:fill="00709E"/>
                  <w:tcMar>
                    <w:top w:w="34" w:type="dxa"/>
                    <w:left w:w="113" w:type="dxa"/>
                  </w:tcMar>
                </w:tcPr>
                <w:p w:rsidR="001E6FB8" w:rsidRPr="00E141F1" w:rsidRDefault="001E6FB8" w:rsidP="001E6FB8">
                  <w:pPr>
                    <w:spacing w:before="40" w:after="40" w:line="240" w:lineRule="auto"/>
                    <w:ind w:left="114" w:right="87"/>
                    <w:jc w:val="right"/>
                    <w:rPr>
                      <w:rFonts w:cs="Arial"/>
                      <w:b/>
                      <w:color w:val="FFFFFF" w:themeColor="background1"/>
                      <w:sz w:val="18"/>
                      <w:szCs w:val="18"/>
                    </w:rPr>
                  </w:pPr>
                </w:p>
              </w:tc>
              <w:tc>
                <w:tcPr>
                  <w:tcW w:w="1204" w:type="dxa"/>
                  <w:shd w:val="clear" w:color="auto" w:fill="00709E"/>
                  <w:vAlign w:val="center"/>
                </w:tcPr>
                <w:p w:rsidR="001E6FB8" w:rsidRPr="00E141F1" w:rsidRDefault="001E6FB8" w:rsidP="001E6FB8">
                  <w:pPr>
                    <w:spacing w:before="40" w:after="40" w:line="240" w:lineRule="auto"/>
                    <w:ind w:left="114" w:right="109"/>
                    <w:jc w:val="right"/>
                    <w:rPr>
                      <w:rFonts w:cs="Arial"/>
                      <w:b/>
                      <w:color w:val="FFFFFF" w:themeColor="background1"/>
                      <w:sz w:val="18"/>
                      <w:szCs w:val="18"/>
                    </w:rPr>
                  </w:pPr>
                  <w:r w:rsidRPr="00E141F1">
                    <w:rPr>
                      <w:rFonts w:cs="Arial"/>
                      <w:b/>
                      <w:color w:val="FFFFFF" w:themeColor="background1"/>
                      <w:sz w:val="18"/>
                      <w:szCs w:val="18"/>
                    </w:rPr>
                    <w:t>Jun-08</w:t>
                  </w:r>
                </w:p>
              </w:tc>
              <w:tc>
                <w:tcPr>
                  <w:tcW w:w="1206" w:type="dxa"/>
                  <w:shd w:val="clear" w:color="auto" w:fill="00709E"/>
                  <w:tcMar>
                    <w:left w:w="113" w:type="dxa"/>
                  </w:tcMar>
                  <w:vAlign w:val="center"/>
                </w:tcPr>
                <w:p w:rsidR="001E6FB8" w:rsidRPr="00E141F1" w:rsidRDefault="001E6FB8" w:rsidP="001E6FB8">
                  <w:pPr>
                    <w:spacing w:before="40" w:after="40" w:line="240" w:lineRule="auto"/>
                    <w:ind w:left="114" w:right="109"/>
                    <w:jc w:val="right"/>
                    <w:rPr>
                      <w:rFonts w:cs="Arial"/>
                      <w:b/>
                      <w:color w:val="FFFFFF" w:themeColor="background1"/>
                      <w:sz w:val="18"/>
                      <w:szCs w:val="18"/>
                    </w:rPr>
                  </w:pPr>
                  <w:r w:rsidRPr="00E141F1">
                    <w:rPr>
                      <w:rFonts w:cs="Arial"/>
                      <w:b/>
                      <w:color w:val="FFFFFF" w:themeColor="background1"/>
                      <w:sz w:val="18"/>
                      <w:szCs w:val="18"/>
                    </w:rPr>
                    <w:t>Jun-09</w:t>
                  </w:r>
                </w:p>
              </w:tc>
              <w:tc>
                <w:tcPr>
                  <w:tcW w:w="1146" w:type="dxa"/>
                  <w:shd w:val="clear" w:color="auto" w:fill="00709E"/>
                  <w:vAlign w:val="center"/>
                </w:tcPr>
                <w:p w:rsidR="001E6FB8" w:rsidRPr="00E141F1" w:rsidRDefault="001E6FB8" w:rsidP="001E6FB8">
                  <w:pPr>
                    <w:spacing w:before="40" w:after="40" w:line="240" w:lineRule="auto"/>
                    <w:ind w:left="114" w:right="109"/>
                    <w:jc w:val="right"/>
                    <w:rPr>
                      <w:rFonts w:cs="Arial"/>
                      <w:b/>
                      <w:color w:val="FFFFFF" w:themeColor="background1"/>
                      <w:sz w:val="18"/>
                      <w:szCs w:val="18"/>
                    </w:rPr>
                  </w:pPr>
                  <w:r w:rsidRPr="00E141F1">
                    <w:rPr>
                      <w:rFonts w:cs="Arial"/>
                      <w:b/>
                      <w:color w:val="FFFFFF" w:themeColor="background1"/>
                      <w:sz w:val="18"/>
                      <w:szCs w:val="18"/>
                    </w:rPr>
                    <w:t>Jun-10</w:t>
                  </w:r>
                </w:p>
              </w:tc>
              <w:tc>
                <w:tcPr>
                  <w:tcW w:w="1204" w:type="dxa"/>
                  <w:shd w:val="clear" w:color="auto" w:fill="00709E"/>
                  <w:tcMar>
                    <w:left w:w="113" w:type="dxa"/>
                  </w:tcMar>
                  <w:vAlign w:val="center"/>
                </w:tcPr>
                <w:p w:rsidR="001E6FB8" w:rsidRPr="00E141F1" w:rsidRDefault="001E6FB8" w:rsidP="001E6FB8">
                  <w:pPr>
                    <w:spacing w:before="40" w:after="40" w:line="240" w:lineRule="auto"/>
                    <w:ind w:left="114" w:right="109"/>
                    <w:jc w:val="right"/>
                    <w:rPr>
                      <w:rFonts w:cs="Arial"/>
                      <w:b/>
                      <w:color w:val="FFFFFF" w:themeColor="background1"/>
                      <w:sz w:val="18"/>
                      <w:szCs w:val="18"/>
                    </w:rPr>
                  </w:pPr>
                  <w:r w:rsidRPr="00E141F1">
                    <w:rPr>
                      <w:rFonts w:cs="Arial"/>
                      <w:b/>
                      <w:color w:val="FFFFFF" w:themeColor="background1"/>
                      <w:sz w:val="18"/>
                      <w:szCs w:val="18"/>
                    </w:rPr>
                    <w:t>Jun-11</w:t>
                  </w:r>
                </w:p>
              </w:tc>
              <w:tc>
                <w:tcPr>
                  <w:tcW w:w="1203" w:type="dxa"/>
                  <w:shd w:val="clear" w:color="auto" w:fill="00709E"/>
                  <w:vAlign w:val="center"/>
                </w:tcPr>
                <w:p w:rsidR="001E6FB8" w:rsidRPr="00E141F1" w:rsidRDefault="001E6FB8" w:rsidP="001E6FB8">
                  <w:pPr>
                    <w:spacing w:before="40" w:after="40" w:line="240" w:lineRule="auto"/>
                    <w:ind w:left="114" w:right="109"/>
                    <w:jc w:val="right"/>
                    <w:rPr>
                      <w:rFonts w:cs="Arial"/>
                      <w:b/>
                      <w:color w:val="FFFFFF" w:themeColor="background1"/>
                      <w:sz w:val="18"/>
                      <w:szCs w:val="18"/>
                    </w:rPr>
                  </w:pPr>
                  <w:r w:rsidRPr="00E141F1">
                    <w:rPr>
                      <w:rFonts w:cs="Arial"/>
                      <w:b/>
                      <w:color w:val="FFFFFF" w:themeColor="background1"/>
                      <w:sz w:val="18"/>
                      <w:szCs w:val="18"/>
                    </w:rPr>
                    <w:t>Jun-12</w:t>
                  </w:r>
                </w:p>
              </w:tc>
              <w:tc>
                <w:tcPr>
                  <w:tcW w:w="1208" w:type="dxa"/>
                  <w:shd w:val="clear" w:color="auto" w:fill="00709E"/>
                  <w:vAlign w:val="center"/>
                </w:tcPr>
                <w:p w:rsidR="001E6FB8" w:rsidRPr="00E141F1" w:rsidRDefault="001E6FB8" w:rsidP="001E6FB8">
                  <w:pPr>
                    <w:spacing w:before="40" w:after="40" w:line="240" w:lineRule="auto"/>
                    <w:ind w:left="114" w:right="109"/>
                    <w:jc w:val="right"/>
                    <w:rPr>
                      <w:rFonts w:cs="Arial"/>
                      <w:b/>
                      <w:color w:val="FFFFFF" w:themeColor="background1"/>
                      <w:sz w:val="18"/>
                      <w:szCs w:val="18"/>
                    </w:rPr>
                  </w:pPr>
                  <w:r w:rsidRPr="00E141F1">
                    <w:rPr>
                      <w:rFonts w:cs="Arial"/>
                      <w:b/>
                      <w:color w:val="FFFFFF" w:themeColor="background1"/>
                      <w:sz w:val="18"/>
                      <w:szCs w:val="18"/>
                    </w:rPr>
                    <w:t>Jun-13</w:t>
                  </w:r>
                </w:p>
              </w:tc>
            </w:tr>
            <w:tr w:rsidR="001E6FB8" w:rsidRPr="00E141F1" w:rsidTr="001E6FB8">
              <w:trPr>
                <w:trHeight w:val="339"/>
              </w:trPr>
              <w:tc>
                <w:tcPr>
                  <w:tcW w:w="2479" w:type="dxa"/>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 xml:space="preserve">Number of </w:t>
                  </w:r>
                  <w:proofErr w:type="spellStart"/>
                  <w:r w:rsidRPr="00E141F1">
                    <w:rPr>
                      <w:rFonts w:cs="Arial"/>
                      <w:sz w:val="18"/>
                      <w:szCs w:val="18"/>
                    </w:rPr>
                    <w:t>cablers</w:t>
                  </w:r>
                  <w:proofErr w:type="spellEnd"/>
                </w:p>
              </w:tc>
              <w:tc>
                <w:tcPr>
                  <w:tcW w:w="1204" w:type="dxa"/>
                  <w:shd w:val="clear" w:color="auto" w:fill="auto"/>
                  <w:vAlign w:val="center"/>
                </w:tcPr>
                <w:p w:rsidR="001E6FB8" w:rsidRPr="00E141F1" w:rsidRDefault="001E6FB8" w:rsidP="001E6FB8">
                  <w:pPr>
                    <w:ind w:left="114" w:right="109"/>
                    <w:jc w:val="right"/>
                    <w:rPr>
                      <w:rFonts w:cs="Arial"/>
                      <w:sz w:val="18"/>
                      <w:szCs w:val="18"/>
                    </w:rPr>
                  </w:pPr>
                  <w:r w:rsidRPr="00E141F1">
                    <w:rPr>
                      <w:rFonts w:cs="Arial"/>
                      <w:sz w:val="18"/>
                      <w:szCs w:val="18"/>
                    </w:rPr>
                    <w:t>59,743</w:t>
                  </w:r>
                </w:p>
              </w:tc>
              <w:tc>
                <w:tcPr>
                  <w:tcW w:w="1206" w:type="dxa"/>
                  <w:tcMar>
                    <w:left w:w="113" w:type="dxa"/>
                  </w:tcMar>
                  <w:vAlign w:val="center"/>
                </w:tcPr>
                <w:p w:rsidR="001E6FB8" w:rsidRPr="00E141F1" w:rsidRDefault="001E6FB8" w:rsidP="001E6FB8">
                  <w:pPr>
                    <w:ind w:left="114" w:right="109"/>
                    <w:jc w:val="right"/>
                    <w:rPr>
                      <w:rFonts w:cs="Arial"/>
                      <w:sz w:val="18"/>
                      <w:szCs w:val="18"/>
                    </w:rPr>
                  </w:pPr>
                  <w:r w:rsidRPr="00E141F1">
                    <w:rPr>
                      <w:rFonts w:cs="Arial"/>
                      <w:sz w:val="18"/>
                      <w:szCs w:val="18"/>
                    </w:rPr>
                    <w:t>61,904</w:t>
                  </w:r>
                </w:p>
              </w:tc>
              <w:tc>
                <w:tcPr>
                  <w:tcW w:w="1146" w:type="dxa"/>
                  <w:shd w:val="clear" w:color="auto" w:fill="auto"/>
                  <w:vAlign w:val="center"/>
                </w:tcPr>
                <w:p w:rsidR="001E6FB8" w:rsidRPr="00E141F1" w:rsidRDefault="001E6FB8" w:rsidP="001E6FB8">
                  <w:pPr>
                    <w:ind w:left="114" w:right="109"/>
                    <w:jc w:val="right"/>
                    <w:rPr>
                      <w:rFonts w:cs="Arial"/>
                      <w:sz w:val="18"/>
                      <w:szCs w:val="18"/>
                    </w:rPr>
                  </w:pPr>
                  <w:r w:rsidRPr="00E141F1">
                    <w:rPr>
                      <w:rFonts w:cs="Arial"/>
                      <w:sz w:val="18"/>
                      <w:szCs w:val="18"/>
                    </w:rPr>
                    <w:t>64,587</w:t>
                  </w:r>
                </w:p>
              </w:tc>
              <w:tc>
                <w:tcPr>
                  <w:tcW w:w="1204" w:type="dxa"/>
                  <w:tcMar>
                    <w:left w:w="113" w:type="dxa"/>
                  </w:tcMar>
                  <w:vAlign w:val="center"/>
                </w:tcPr>
                <w:p w:rsidR="001E6FB8" w:rsidRPr="00E141F1" w:rsidRDefault="001E6FB8" w:rsidP="001E6FB8">
                  <w:pPr>
                    <w:ind w:left="114" w:right="109"/>
                    <w:jc w:val="right"/>
                    <w:rPr>
                      <w:rFonts w:cs="Arial"/>
                      <w:sz w:val="18"/>
                      <w:szCs w:val="18"/>
                    </w:rPr>
                  </w:pPr>
                  <w:r w:rsidRPr="00E141F1">
                    <w:rPr>
                      <w:rFonts w:cs="Arial"/>
                      <w:sz w:val="18"/>
                      <w:szCs w:val="18"/>
                    </w:rPr>
                    <w:t>65,696</w:t>
                  </w:r>
                </w:p>
              </w:tc>
              <w:tc>
                <w:tcPr>
                  <w:tcW w:w="1203" w:type="dxa"/>
                  <w:vAlign w:val="center"/>
                </w:tcPr>
                <w:p w:rsidR="001E6FB8" w:rsidRPr="00E141F1" w:rsidRDefault="001E6FB8" w:rsidP="001E6FB8">
                  <w:pPr>
                    <w:ind w:left="114" w:right="109"/>
                    <w:jc w:val="right"/>
                    <w:rPr>
                      <w:rFonts w:cs="Arial"/>
                      <w:sz w:val="18"/>
                      <w:szCs w:val="18"/>
                    </w:rPr>
                  </w:pPr>
                  <w:r w:rsidRPr="00E141F1">
                    <w:rPr>
                      <w:rFonts w:cs="Arial"/>
                      <w:sz w:val="18"/>
                      <w:szCs w:val="18"/>
                    </w:rPr>
                    <w:t>67,637</w:t>
                  </w:r>
                </w:p>
              </w:tc>
              <w:tc>
                <w:tcPr>
                  <w:tcW w:w="1208" w:type="dxa"/>
                  <w:vAlign w:val="center"/>
                </w:tcPr>
                <w:p w:rsidR="001E6FB8" w:rsidRPr="00E141F1" w:rsidRDefault="001E6FB8" w:rsidP="001E6FB8">
                  <w:pPr>
                    <w:ind w:left="114" w:right="109"/>
                    <w:jc w:val="right"/>
                    <w:rPr>
                      <w:rFonts w:cs="Arial"/>
                      <w:b/>
                      <w:color w:val="FFFFFF" w:themeColor="background1"/>
                      <w:sz w:val="18"/>
                      <w:szCs w:val="18"/>
                    </w:rPr>
                  </w:pPr>
                  <w:r w:rsidRPr="00E141F1">
                    <w:rPr>
                      <w:rFonts w:cs="Arial"/>
                      <w:sz w:val="18"/>
                      <w:szCs w:val="18"/>
                    </w:rPr>
                    <w:t>69,155</w:t>
                  </w:r>
                </w:p>
              </w:tc>
            </w:tr>
          </w:tbl>
          <w:p w:rsidR="001E6FB8" w:rsidRPr="00E141F1" w:rsidRDefault="001E6FB8" w:rsidP="001E6FB8">
            <w:pPr>
              <w:ind w:left="114"/>
              <w:rPr>
                <w:rFonts w:cs="Arial"/>
                <w:sz w:val="18"/>
                <w:szCs w:val="18"/>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60" w:after="60"/>
              <w:ind w:left="114"/>
              <w:rPr>
                <w:rFonts w:cs="Arial"/>
                <w:i/>
                <w:sz w:val="16"/>
                <w:szCs w:val="16"/>
              </w:rPr>
            </w:pPr>
            <w:r w:rsidRPr="00E141F1">
              <w:rPr>
                <w:rFonts w:cs="Arial"/>
                <w:i/>
                <w:sz w:val="16"/>
                <w:szCs w:val="16"/>
              </w:rPr>
              <w:t>Source: The ACMA.</w:t>
            </w:r>
          </w:p>
        </w:tc>
      </w:tr>
    </w:tbl>
    <w:p w:rsidR="001E6FB8" w:rsidRDefault="001E6FB8" w:rsidP="001E6FB8">
      <w:pPr>
        <w:spacing w:after="120"/>
        <w:rPr>
          <w:rFonts w:cs="Arial"/>
        </w:rPr>
      </w:pPr>
    </w:p>
    <w:p w:rsidR="001E6FB8" w:rsidRDefault="001E6FB8" w:rsidP="001E6FB8">
      <w:pPr>
        <w:spacing w:after="80"/>
        <w:rPr>
          <w:rFonts w:cs="Arial"/>
        </w:rPr>
      </w:pPr>
      <w:r w:rsidRPr="00E141F1">
        <w:rPr>
          <w:rFonts w:cs="Arial"/>
        </w:rPr>
        <w:t xml:space="preserve">In 2012–13, there were five ACMA-accredited registrars providing registration and other associated services to </w:t>
      </w:r>
      <w:proofErr w:type="spellStart"/>
      <w:r w:rsidRPr="00E141F1">
        <w:rPr>
          <w:rFonts w:cs="Arial"/>
        </w:rPr>
        <w:t>cablers</w:t>
      </w:r>
      <w:proofErr w:type="spellEnd"/>
      <w:r w:rsidRPr="00E141F1">
        <w:rPr>
          <w:rFonts w:cs="Arial"/>
        </w:rPr>
        <w:t xml:space="preserve">. Registrars offered three types of </w:t>
      </w:r>
      <w:proofErr w:type="spellStart"/>
      <w:r w:rsidRPr="00E141F1">
        <w:rPr>
          <w:rFonts w:cs="Arial"/>
        </w:rPr>
        <w:t>cabler</w:t>
      </w:r>
      <w:proofErr w:type="spellEnd"/>
      <w:r w:rsidRPr="00E141F1">
        <w:rPr>
          <w:rFonts w:cs="Arial"/>
        </w:rPr>
        <w:t xml:space="preserve"> registration in accordance with the Telecommunications Cabling Provider Rules 2000 (the Cabling Provider Rules):</w:t>
      </w:r>
    </w:p>
    <w:p w:rsidR="001E6FB8" w:rsidRPr="00E141F1" w:rsidRDefault="001E6FB8" w:rsidP="001E6FB8">
      <w:pPr>
        <w:pStyle w:val="ListBullet"/>
        <w:rPr>
          <w:rFonts w:cs="Arial"/>
        </w:rPr>
      </w:pPr>
      <w:r w:rsidRPr="00E141F1">
        <w:rPr>
          <w:rFonts w:cs="Arial"/>
        </w:rPr>
        <w:t>open—covering all types of residential and commercial cabling work</w:t>
      </w:r>
    </w:p>
    <w:p w:rsidR="001E6FB8" w:rsidRPr="00E141F1" w:rsidRDefault="001E6FB8" w:rsidP="001E6FB8">
      <w:pPr>
        <w:pStyle w:val="ListBullet"/>
        <w:rPr>
          <w:rFonts w:cs="Arial"/>
        </w:rPr>
      </w:pPr>
      <w:r w:rsidRPr="00E141F1">
        <w:rPr>
          <w:rFonts w:cs="Arial"/>
        </w:rPr>
        <w:t>restricted—covering a restricted range of cabling work typically conducted in residential and small business settings</w:t>
      </w:r>
    </w:p>
    <w:p w:rsidR="001E6FB8" w:rsidRPr="00E141F1" w:rsidRDefault="001E6FB8" w:rsidP="001E6FB8">
      <w:pPr>
        <w:pStyle w:val="ListBullet"/>
        <w:spacing w:after="240"/>
        <w:rPr>
          <w:rFonts w:cs="Arial"/>
        </w:rPr>
      </w:pPr>
      <w:r w:rsidRPr="00E141F1">
        <w:rPr>
          <w:rFonts w:cs="Arial"/>
        </w:rPr>
        <w:t>lift—covering telecommunications cabling for lift installations.</w:t>
      </w:r>
    </w:p>
    <w:p w:rsidR="001E6FB8" w:rsidRPr="00E141F1" w:rsidRDefault="001E6FB8" w:rsidP="001E6FB8">
      <w:pPr>
        <w:rPr>
          <w:rFonts w:cs="Arial"/>
        </w:rPr>
      </w:pPr>
      <w:r w:rsidRPr="00E141F1">
        <w:rPr>
          <w:rFonts w:cs="Arial"/>
        </w:rPr>
        <w:t xml:space="preserve">Before being granted registration, </w:t>
      </w:r>
      <w:proofErr w:type="spellStart"/>
      <w:r w:rsidRPr="00E141F1">
        <w:rPr>
          <w:rFonts w:cs="Arial"/>
        </w:rPr>
        <w:t>cablers</w:t>
      </w:r>
      <w:proofErr w:type="spellEnd"/>
      <w:r w:rsidRPr="00E141F1">
        <w:rPr>
          <w:rFonts w:cs="Arial"/>
        </w:rPr>
        <w:t xml:space="preserve"> must meet the ACMA’s competency requirements that address health, safety and network integrity issues.</w:t>
      </w:r>
    </w:p>
    <w:p w:rsidR="001E6FB8" w:rsidRPr="00E141F1" w:rsidRDefault="001E6FB8" w:rsidP="001E6FB8">
      <w:pPr>
        <w:rPr>
          <w:rFonts w:cs="Arial"/>
        </w:rPr>
      </w:pPr>
    </w:p>
    <w:p w:rsidR="001E6FB8" w:rsidRPr="00E141F1" w:rsidRDefault="001E6FB8" w:rsidP="001E6FB8">
      <w:pPr>
        <w:pStyle w:val="Heading3"/>
      </w:pPr>
      <w:bookmarkStart w:id="440" w:name="_Toc287540210"/>
      <w:bookmarkStart w:id="441" w:name="_Toc308517234"/>
      <w:bookmarkStart w:id="442" w:name="_Toc308523674"/>
      <w:bookmarkStart w:id="443" w:name="_Toc312157189"/>
      <w:bookmarkStart w:id="444" w:name="_Toc341428388"/>
      <w:bookmarkStart w:id="445" w:name="_Toc371589067"/>
      <w:bookmarkStart w:id="446" w:name="_Toc373149129"/>
      <w:r w:rsidRPr="00E141F1">
        <w:t>Enforcing cabling compliance</w:t>
      </w:r>
      <w:bookmarkEnd w:id="440"/>
      <w:bookmarkEnd w:id="441"/>
      <w:bookmarkEnd w:id="442"/>
      <w:bookmarkEnd w:id="443"/>
      <w:bookmarkEnd w:id="444"/>
      <w:bookmarkEnd w:id="445"/>
      <w:bookmarkEnd w:id="446"/>
    </w:p>
    <w:p w:rsidR="001E6FB8" w:rsidRPr="00E141F1" w:rsidRDefault="001E6FB8" w:rsidP="001E6FB8">
      <w:pPr>
        <w:rPr>
          <w:rFonts w:cs="Arial"/>
        </w:rPr>
      </w:pPr>
      <w:r w:rsidRPr="00E141F1">
        <w:rPr>
          <w:rFonts w:cs="Arial"/>
        </w:rPr>
        <w:t xml:space="preserve">The ACMA investigates complaints about non-compliant cabling work or work performed by unregistered </w:t>
      </w:r>
      <w:proofErr w:type="spellStart"/>
      <w:r w:rsidRPr="00E141F1">
        <w:rPr>
          <w:rFonts w:cs="Arial"/>
        </w:rPr>
        <w:t>cablers</w:t>
      </w:r>
      <w:proofErr w:type="spellEnd"/>
      <w:r w:rsidRPr="00E141F1">
        <w:rPr>
          <w:rFonts w:cs="Arial"/>
        </w:rPr>
        <w:t>. Where appropriate, the ACMA conducts investigations arising from these complaints.</w:t>
      </w:r>
    </w:p>
    <w:p w:rsidR="001E6FB8" w:rsidRPr="00E141F1" w:rsidRDefault="001E6FB8" w:rsidP="001E6FB8">
      <w:pPr>
        <w:rPr>
          <w:rFonts w:cs="Arial"/>
        </w:rPr>
      </w:pPr>
    </w:p>
    <w:p w:rsidR="001E6FB8" w:rsidRPr="00E141F1" w:rsidRDefault="001E6FB8" w:rsidP="001E6FB8">
      <w:r w:rsidRPr="00E141F1">
        <w:t>During 2012–13, the ACMA received 31 cabling-related complaints predominantly related to contraventions of the Cabling Provider Rules</w:t>
      </w:r>
      <w:r w:rsidRPr="00E141F1" w:rsidDel="007B6F9C">
        <w:t xml:space="preserve"> </w:t>
      </w:r>
      <w:r w:rsidRPr="00E141F1">
        <w:t xml:space="preserve">or alleged unregistered </w:t>
      </w:r>
      <w:proofErr w:type="spellStart"/>
      <w:r w:rsidRPr="00E141F1">
        <w:t>cablers</w:t>
      </w:r>
      <w:proofErr w:type="spellEnd"/>
      <w:r w:rsidRPr="00E141F1">
        <w:t>. During the period, the ACMA also conducted 11 cabling inspections.</w:t>
      </w:r>
    </w:p>
    <w:p w:rsidR="001E6FB8" w:rsidRPr="00E141F1" w:rsidRDefault="001E6FB8" w:rsidP="001E6FB8"/>
    <w:p w:rsidR="001E6FB8" w:rsidRDefault="001E6FB8" w:rsidP="001E6FB8">
      <w:r w:rsidRPr="00E141F1">
        <w:t>The ACMA issued two warning notices under the Act for labelling of non-compliant cable. There were no telecommunications infringement notices issued.</w:t>
      </w:r>
    </w:p>
    <w:p w:rsidR="001E6FB8" w:rsidRPr="00E141F1" w:rsidRDefault="001E6FB8" w:rsidP="001E6FB8">
      <w:pPr>
        <w:rPr>
          <w:rFonts w:cs="Arial"/>
          <w:color w:val="FFFFFF" w:themeColor="background1"/>
        </w:rPr>
      </w:pPr>
    </w:p>
    <w:p w:rsidR="001E6FB8" w:rsidRPr="00C66CB4" w:rsidRDefault="001E6FB8" w:rsidP="001E6FB8">
      <w:pPr>
        <w:pStyle w:val="Heading2"/>
      </w:pPr>
      <w:bookmarkStart w:id="447" w:name="_Toc371589068"/>
      <w:bookmarkStart w:id="448" w:name="_Toc373149130"/>
      <w:r w:rsidRPr="00C66CB4">
        <w:t>Do Not Call Register</w:t>
      </w:r>
      <w:bookmarkEnd w:id="447"/>
      <w:bookmarkEnd w:id="448"/>
      <w:r w:rsidRPr="00C66CB4">
        <w:t xml:space="preserve"> </w:t>
      </w:r>
    </w:p>
    <w:p w:rsidR="001E6FB8" w:rsidRDefault="001E6FB8" w:rsidP="001E6FB8">
      <w:pPr>
        <w:spacing w:after="80"/>
        <w:rPr>
          <w:rFonts w:cs="Arial"/>
        </w:rPr>
      </w:pPr>
      <w:r w:rsidRPr="00E141F1">
        <w:rPr>
          <w:rFonts w:cs="Arial"/>
        </w:rPr>
        <w:t>The DNCR is a secure database that allows people to list their numbers to avoid receiving unsolicited telemarketing calls and marketing faxes. A number is eligible to be registered if it is:</w:t>
      </w:r>
    </w:p>
    <w:p w:rsidR="001E6FB8" w:rsidRPr="00E141F1" w:rsidRDefault="001E6FB8" w:rsidP="001E6FB8">
      <w:pPr>
        <w:pStyle w:val="ListBullet"/>
        <w:rPr>
          <w:rFonts w:cs="Arial"/>
        </w:rPr>
      </w:pPr>
      <w:r w:rsidRPr="00E141F1">
        <w:rPr>
          <w:rFonts w:cs="Arial"/>
        </w:rPr>
        <w:t>used or maintained primarily for private or domestic purposes</w:t>
      </w:r>
    </w:p>
    <w:p w:rsidR="001E6FB8" w:rsidRPr="00E141F1" w:rsidRDefault="001E6FB8" w:rsidP="001E6FB8">
      <w:pPr>
        <w:pStyle w:val="ListBullet"/>
        <w:rPr>
          <w:rFonts w:cs="Arial"/>
        </w:rPr>
      </w:pPr>
      <w:r w:rsidRPr="00E141F1">
        <w:rPr>
          <w:rFonts w:cs="Arial"/>
        </w:rPr>
        <w:t>used for transmitting and/or receiving faxes</w:t>
      </w:r>
    </w:p>
    <w:p w:rsidR="001E6FB8" w:rsidRPr="00E141F1" w:rsidRDefault="001E6FB8" w:rsidP="001E6FB8">
      <w:pPr>
        <w:pStyle w:val="ListBullet"/>
        <w:rPr>
          <w:rFonts w:cs="Arial"/>
        </w:rPr>
      </w:pPr>
      <w:r w:rsidRPr="00E141F1">
        <w:rPr>
          <w:rFonts w:cs="Arial"/>
        </w:rPr>
        <w:t>used exclusively by a government body</w:t>
      </w:r>
    </w:p>
    <w:p w:rsidR="001E6FB8" w:rsidRPr="00E141F1" w:rsidRDefault="001E6FB8" w:rsidP="001E6FB8">
      <w:pPr>
        <w:pStyle w:val="ListBullet"/>
        <w:spacing w:after="240"/>
        <w:rPr>
          <w:rFonts w:cs="Arial"/>
        </w:rPr>
      </w:pPr>
      <w:r w:rsidRPr="00E141F1">
        <w:rPr>
          <w:rFonts w:cs="Arial"/>
        </w:rPr>
        <w:t>an emergency service number.</w:t>
      </w:r>
    </w:p>
    <w:p w:rsidR="001E6FB8" w:rsidRPr="00E141F1" w:rsidRDefault="001E6FB8" w:rsidP="001E6FB8">
      <w:pPr>
        <w:rPr>
          <w:rFonts w:cs="Arial"/>
        </w:rPr>
      </w:pPr>
      <w:r w:rsidRPr="00E141F1">
        <w:rPr>
          <w:rFonts w:cs="Arial"/>
        </w:rPr>
        <w:t xml:space="preserve">In April 2013, the minister extended the period for which numbers are registered from six to eight years.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More than one million numbers were added to the DNCR in 2012–13, taking the total number of numbers listed to 8.74 million.</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To avoid breaching the DNCR Act, telemarketers and fax marketers are able to submit their contact lists to the DNCR operator for checking, or ‘washing’, against the DNCR. During 2012–13, 1,251 telemarketers and fax marketers submitted databases with a total of over 1.25 billion numbers for checking (Table 3.16).</w:t>
      </w:r>
    </w:p>
    <w:p w:rsidR="001E6FB8" w:rsidRDefault="001E6FB8" w:rsidP="001E6FB8">
      <w:pPr>
        <w:spacing w:line="240" w:lineRule="auto"/>
        <w:rPr>
          <w:rFonts w:cs="Arial"/>
        </w:rPr>
      </w:pPr>
      <w:r>
        <w:rPr>
          <w:rFonts w:cs="Arial"/>
        </w:rPr>
        <w:br w:type="page"/>
      </w: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Table 3.16 Numbers submitted for checking against the DNCR, by financial year</w:t>
            </w:r>
          </w:p>
        </w:tc>
      </w:tr>
      <w:tr w:rsidR="001E6FB8" w:rsidRPr="00E141F1" w:rsidTr="001E6FB8">
        <w:trPr>
          <w:trHeight w:val="753"/>
        </w:trPr>
        <w:tc>
          <w:tcPr>
            <w:tcW w:w="9645" w:type="dxa"/>
            <w:shd w:val="clear" w:color="auto" w:fill="auto"/>
            <w:tcMar>
              <w:left w:w="28" w:type="dxa"/>
            </w:tcMar>
          </w:tcPr>
          <w:tbl>
            <w:tblPr>
              <w:tblW w:w="9581" w:type="dxa"/>
              <w:tblInd w:w="1"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2687"/>
              <w:gridCol w:w="1159"/>
              <w:gridCol w:w="1160"/>
              <w:gridCol w:w="1102"/>
              <w:gridCol w:w="1159"/>
              <w:gridCol w:w="1157"/>
              <w:gridCol w:w="1157"/>
            </w:tblGrid>
            <w:tr w:rsidR="001E6FB8" w:rsidRPr="00E141F1" w:rsidTr="001E6FB8">
              <w:trPr>
                <w:trHeight w:val="321"/>
              </w:trPr>
              <w:tc>
                <w:tcPr>
                  <w:tcW w:w="2687" w:type="dxa"/>
                  <w:tcBorders>
                    <w:top w:val="single" w:sz="4" w:space="0" w:color="C8C8C8"/>
                    <w:left w:val="nil"/>
                    <w:bottom w:val="single" w:sz="4" w:space="0" w:color="C8C8C8"/>
                    <w:right w:val="nil"/>
                  </w:tcBorders>
                  <w:shd w:val="clear" w:color="auto" w:fill="00709E"/>
                  <w:tcMar>
                    <w:top w:w="34" w:type="dxa"/>
                    <w:left w:w="113" w:type="dxa"/>
                  </w:tcMar>
                </w:tcPr>
                <w:p w:rsidR="001E6FB8" w:rsidRPr="00E141F1" w:rsidRDefault="001E6FB8" w:rsidP="001E6FB8">
                  <w:pPr>
                    <w:spacing w:before="40" w:after="40" w:line="240" w:lineRule="auto"/>
                    <w:ind w:right="87"/>
                    <w:jc w:val="right"/>
                    <w:rPr>
                      <w:rFonts w:cs="Arial"/>
                      <w:b/>
                      <w:color w:val="FFFFFF" w:themeColor="background1"/>
                      <w:sz w:val="18"/>
                      <w:szCs w:val="18"/>
                    </w:rPr>
                  </w:pPr>
                </w:p>
              </w:tc>
              <w:tc>
                <w:tcPr>
                  <w:tcW w:w="1159" w:type="dxa"/>
                  <w:tcBorders>
                    <w:top w:val="single" w:sz="4" w:space="0" w:color="C8C8C8"/>
                    <w:left w:val="nil"/>
                    <w:bottom w:val="single" w:sz="4" w:space="0" w:color="C8C8C8"/>
                    <w:right w:val="nil"/>
                  </w:tcBorders>
                  <w:shd w:val="clear" w:color="auto" w:fill="00709E"/>
                  <w:vAlign w:val="center"/>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2007–08</w:t>
                  </w:r>
                </w:p>
              </w:tc>
              <w:tc>
                <w:tcPr>
                  <w:tcW w:w="1160" w:type="dxa"/>
                  <w:tcBorders>
                    <w:top w:val="single" w:sz="4" w:space="0" w:color="C8C8C8"/>
                    <w:left w:val="nil"/>
                    <w:bottom w:val="single" w:sz="4" w:space="0" w:color="C8C8C8"/>
                    <w:right w:val="nil"/>
                  </w:tcBorders>
                  <w:shd w:val="clear" w:color="auto" w:fill="00709E"/>
                  <w:tcMar>
                    <w:left w:w="113" w:type="dxa"/>
                  </w:tcMar>
                  <w:vAlign w:val="center"/>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2008–09</w:t>
                  </w:r>
                </w:p>
              </w:tc>
              <w:tc>
                <w:tcPr>
                  <w:tcW w:w="1102" w:type="dxa"/>
                  <w:tcBorders>
                    <w:top w:val="single" w:sz="4" w:space="0" w:color="C8C8C8"/>
                    <w:left w:val="nil"/>
                    <w:bottom w:val="single" w:sz="4" w:space="0" w:color="C8C8C8"/>
                    <w:right w:val="nil"/>
                  </w:tcBorders>
                  <w:shd w:val="clear" w:color="auto" w:fill="00709E"/>
                  <w:vAlign w:val="center"/>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2009–10</w:t>
                  </w:r>
                </w:p>
              </w:tc>
              <w:tc>
                <w:tcPr>
                  <w:tcW w:w="1159" w:type="dxa"/>
                  <w:tcBorders>
                    <w:top w:val="single" w:sz="4" w:space="0" w:color="C8C8C8"/>
                    <w:left w:val="nil"/>
                    <w:bottom w:val="single" w:sz="4" w:space="0" w:color="C8C8C8"/>
                    <w:right w:val="nil"/>
                  </w:tcBorders>
                  <w:shd w:val="clear" w:color="auto" w:fill="00709E"/>
                  <w:tcMar>
                    <w:left w:w="113" w:type="dxa"/>
                  </w:tcMar>
                  <w:vAlign w:val="center"/>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2010–11</w:t>
                  </w:r>
                </w:p>
              </w:tc>
              <w:tc>
                <w:tcPr>
                  <w:tcW w:w="1157" w:type="dxa"/>
                  <w:tcBorders>
                    <w:top w:val="single" w:sz="4" w:space="0" w:color="C8C8C8"/>
                    <w:left w:val="nil"/>
                    <w:bottom w:val="single" w:sz="4" w:space="0" w:color="C8C8C8"/>
                    <w:right w:val="nil"/>
                  </w:tcBorders>
                  <w:shd w:val="clear" w:color="auto" w:fill="00709E"/>
                  <w:vAlign w:val="center"/>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2011–12</w:t>
                  </w:r>
                </w:p>
              </w:tc>
              <w:tc>
                <w:tcPr>
                  <w:tcW w:w="1157" w:type="dxa"/>
                  <w:tcBorders>
                    <w:top w:val="single" w:sz="4" w:space="0" w:color="C8C8C8"/>
                    <w:left w:val="nil"/>
                    <w:bottom w:val="single" w:sz="4" w:space="0" w:color="C8C8C8"/>
                    <w:right w:val="nil"/>
                  </w:tcBorders>
                  <w:shd w:val="clear" w:color="auto" w:fill="00709E"/>
                  <w:vAlign w:val="center"/>
                </w:tcPr>
                <w:p w:rsidR="001E6FB8" w:rsidRPr="00E141F1" w:rsidRDefault="001E6FB8" w:rsidP="001E6FB8">
                  <w:pPr>
                    <w:spacing w:before="40" w:after="40" w:line="240" w:lineRule="auto"/>
                    <w:ind w:right="109"/>
                    <w:jc w:val="right"/>
                    <w:rPr>
                      <w:rFonts w:cs="Arial"/>
                      <w:b/>
                      <w:color w:val="FFFFFF" w:themeColor="background1"/>
                      <w:sz w:val="18"/>
                      <w:szCs w:val="18"/>
                    </w:rPr>
                  </w:pPr>
                  <w:r w:rsidRPr="00E141F1">
                    <w:rPr>
                      <w:rFonts w:cs="Arial"/>
                      <w:b/>
                      <w:color w:val="FFFFFF" w:themeColor="background1"/>
                      <w:sz w:val="18"/>
                      <w:szCs w:val="18"/>
                    </w:rPr>
                    <w:t>2012–13</w:t>
                  </w:r>
                </w:p>
              </w:tc>
            </w:tr>
            <w:tr w:rsidR="001E6FB8" w:rsidRPr="00E141F1" w:rsidTr="001E6FB8">
              <w:trPr>
                <w:trHeight w:val="318"/>
              </w:trPr>
              <w:tc>
                <w:tcPr>
                  <w:tcW w:w="2687" w:type="dxa"/>
                  <w:tcBorders>
                    <w:top w:val="single" w:sz="4" w:space="0" w:color="C8C8C8"/>
                    <w:left w:val="nil"/>
                    <w:right w:val="nil"/>
                  </w:tcBorders>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Numbers submitted for checking</w:t>
                  </w:r>
                </w:p>
              </w:tc>
              <w:tc>
                <w:tcPr>
                  <w:tcW w:w="1159" w:type="dxa"/>
                  <w:tcBorders>
                    <w:top w:val="single" w:sz="4" w:space="0" w:color="C8C8C8"/>
                    <w:left w:val="nil"/>
                    <w:right w:val="nil"/>
                  </w:tcBorders>
                  <w:shd w:val="clear" w:color="auto" w:fill="auto"/>
                  <w:vAlign w:val="center"/>
                </w:tcPr>
                <w:p w:rsidR="001E6FB8" w:rsidRPr="00E141F1" w:rsidRDefault="001E6FB8" w:rsidP="001E6FB8">
                  <w:pPr>
                    <w:ind w:right="109"/>
                    <w:jc w:val="right"/>
                    <w:rPr>
                      <w:rFonts w:cs="Arial"/>
                      <w:sz w:val="18"/>
                      <w:szCs w:val="18"/>
                    </w:rPr>
                  </w:pPr>
                  <w:r w:rsidRPr="00E141F1">
                    <w:rPr>
                      <w:rFonts w:cs="Arial"/>
                      <w:sz w:val="18"/>
                      <w:szCs w:val="18"/>
                    </w:rPr>
                    <w:t>1.05 b</w:t>
                  </w:r>
                </w:p>
              </w:tc>
              <w:tc>
                <w:tcPr>
                  <w:tcW w:w="1160" w:type="dxa"/>
                  <w:tcBorders>
                    <w:top w:val="single" w:sz="4" w:space="0" w:color="C8C8C8"/>
                    <w:left w:val="nil"/>
                    <w:right w:val="nil"/>
                  </w:tcBorders>
                  <w:tcMar>
                    <w:left w:w="113" w:type="dxa"/>
                  </w:tcMar>
                  <w:vAlign w:val="center"/>
                </w:tcPr>
                <w:p w:rsidR="001E6FB8" w:rsidRPr="00E141F1" w:rsidRDefault="001E6FB8" w:rsidP="001E6FB8">
                  <w:pPr>
                    <w:ind w:right="109"/>
                    <w:jc w:val="right"/>
                    <w:rPr>
                      <w:rFonts w:cs="Arial"/>
                      <w:sz w:val="18"/>
                      <w:szCs w:val="18"/>
                    </w:rPr>
                  </w:pPr>
                  <w:r w:rsidRPr="00E141F1">
                    <w:rPr>
                      <w:rFonts w:cs="Arial"/>
                      <w:sz w:val="18"/>
                      <w:szCs w:val="18"/>
                    </w:rPr>
                    <w:t>0.98 b</w:t>
                  </w:r>
                </w:p>
              </w:tc>
              <w:tc>
                <w:tcPr>
                  <w:tcW w:w="1102" w:type="dxa"/>
                  <w:tcBorders>
                    <w:top w:val="single" w:sz="4" w:space="0" w:color="C8C8C8"/>
                    <w:left w:val="nil"/>
                    <w:right w:val="nil"/>
                  </w:tcBorders>
                  <w:shd w:val="clear" w:color="auto" w:fill="auto"/>
                  <w:vAlign w:val="center"/>
                </w:tcPr>
                <w:p w:rsidR="001E6FB8" w:rsidRPr="00E141F1" w:rsidRDefault="001E6FB8" w:rsidP="001E6FB8">
                  <w:pPr>
                    <w:ind w:right="109"/>
                    <w:jc w:val="right"/>
                    <w:rPr>
                      <w:rFonts w:cs="Arial"/>
                      <w:sz w:val="18"/>
                      <w:szCs w:val="18"/>
                    </w:rPr>
                  </w:pPr>
                  <w:r w:rsidRPr="00E141F1">
                    <w:rPr>
                      <w:rFonts w:cs="Arial"/>
                      <w:sz w:val="18"/>
                      <w:szCs w:val="18"/>
                    </w:rPr>
                    <w:t>1.08 b</w:t>
                  </w:r>
                </w:p>
              </w:tc>
              <w:tc>
                <w:tcPr>
                  <w:tcW w:w="1159" w:type="dxa"/>
                  <w:tcBorders>
                    <w:top w:val="single" w:sz="4" w:space="0" w:color="C8C8C8"/>
                    <w:left w:val="nil"/>
                    <w:right w:val="nil"/>
                  </w:tcBorders>
                  <w:tcMar>
                    <w:left w:w="113" w:type="dxa"/>
                  </w:tcMar>
                  <w:vAlign w:val="center"/>
                </w:tcPr>
                <w:p w:rsidR="001E6FB8" w:rsidRPr="00E141F1" w:rsidRDefault="001E6FB8" w:rsidP="001E6FB8">
                  <w:pPr>
                    <w:ind w:right="109"/>
                    <w:jc w:val="right"/>
                    <w:rPr>
                      <w:rFonts w:cs="Arial"/>
                      <w:sz w:val="18"/>
                      <w:szCs w:val="18"/>
                    </w:rPr>
                  </w:pPr>
                  <w:r w:rsidRPr="00E141F1">
                    <w:rPr>
                      <w:rFonts w:cs="Arial"/>
                      <w:sz w:val="18"/>
                      <w:szCs w:val="18"/>
                    </w:rPr>
                    <w:t>1.12 b</w:t>
                  </w:r>
                </w:p>
              </w:tc>
              <w:tc>
                <w:tcPr>
                  <w:tcW w:w="1157" w:type="dxa"/>
                  <w:tcBorders>
                    <w:top w:val="single" w:sz="4" w:space="0" w:color="C8C8C8"/>
                    <w:left w:val="nil"/>
                    <w:right w:val="nil"/>
                  </w:tcBorders>
                  <w:vAlign w:val="center"/>
                </w:tcPr>
                <w:p w:rsidR="001E6FB8" w:rsidRPr="00E141F1" w:rsidRDefault="001E6FB8" w:rsidP="001E6FB8">
                  <w:pPr>
                    <w:ind w:right="109"/>
                    <w:jc w:val="right"/>
                    <w:rPr>
                      <w:rFonts w:cs="Arial"/>
                      <w:sz w:val="18"/>
                      <w:szCs w:val="18"/>
                    </w:rPr>
                  </w:pPr>
                  <w:r w:rsidRPr="00E141F1">
                    <w:rPr>
                      <w:rFonts w:cs="Arial"/>
                      <w:sz w:val="18"/>
                      <w:szCs w:val="18"/>
                    </w:rPr>
                    <w:t>1.19 b</w:t>
                  </w:r>
                </w:p>
              </w:tc>
              <w:tc>
                <w:tcPr>
                  <w:tcW w:w="1157" w:type="dxa"/>
                  <w:tcBorders>
                    <w:top w:val="single" w:sz="4" w:space="0" w:color="C8C8C8"/>
                    <w:left w:val="nil"/>
                    <w:right w:val="nil"/>
                  </w:tcBorders>
                  <w:vAlign w:val="center"/>
                </w:tcPr>
                <w:p w:rsidR="001E6FB8" w:rsidRPr="00E141F1" w:rsidRDefault="001E6FB8" w:rsidP="001E6FB8">
                  <w:pPr>
                    <w:ind w:right="109"/>
                    <w:jc w:val="right"/>
                    <w:rPr>
                      <w:rFonts w:cs="Arial"/>
                      <w:sz w:val="18"/>
                      <w:szCs w:val="18"/>
                    </w:rPr>
                  </w:pPr>
                  <w:r w:rsidRPr="00E141F1">
                    <w:rPr>
                      <w:rFonts w:cs="Arial"/>
                      <w:sz w:val="18"/>
                      <w:szCs w:val="18"/>
                    </w:rPr>
                    <w:t>1.25 b</w:t>
                  </w:r>
                </w:p>
              </w:tc>
            </w:tr>
          </w:tbl>
          <w:p w:rsidR="001E6FB8" w:rsidRPr="00E141F1" w:rsidRDefault="001E6FB8" w:rsidP="001E6FB8">
            <w:pPr>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b=billion.</w:t>
            </w:r>
          </w:p>
          <w:p w:rsidR="001E6FB8" w:rsidRPr="00E141F1" w:rsidRDefault="001E6FB8" w:rsidP="001E6FB8">
            <w:pPr>
              <w:keepNext/>
              <w:keepLines/>
              <w:spacing w:after="60" w:line="240" w:lineRule="auto"/>
              <w:rPr>
                <w:rFonts w:cs="Arial"/>
                <w:i/>
                <w:sz w:val="16"/>
                <w:szCs w:val="16"/>
              </w:rPr>
            </w:pPr>
            <w:r w:rsidRPr="00782224">
              <w:rPr>
                <w:rFonts w:cs="Arial"/>
                <w:i/>
                <w:sz w:val="16"/>
                <w:szCs w:val="16"/>
              </w:rPr>
              <w:t>Source: Register operator (Service Stream Solutions Pty Ltd) reports to the ACMA.</w:t>
            </w:r>
          </w:p>
        </w:tc>
      </w:tr>
    </w:tbl>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Telemarketers and fax marketers may select one of four methods, or ‘channels’, to wash their contact lists. Figure 3.6 shows the volume of numbers submitted during 2012–13 using the primary washing channels. </w:t>
      </w:r>
    </w:p>
    <w:p w:rsidR="001E6FB8" w:rsidRPr="00E141F1" w:rsidRDefault="001E6FB8" w:rsidP="001E6FB8">
      <w:pPr>
        <w:spacing w:line="240" w:lineRule="auto"/>
        <w:rPr>
          <w:rFonts w:cs="Arial"/>
        </w:rPr>
      </w:pPr>
    </w:p>
    <w:tbl>
      <w:tblPr>
        <w:tblW w:w="9705" w:type="dxa"/>
        <w:tblLayout w:type="fixed"/>
        <w:tblCellMar>
          <w:left w:w="0" w:type="dxa"/>
          <w:right w:w="0" w:type="dxa"/>
        </w:tblCellMar>
        <w:tblLook w:val="01E0"/>
      </w:tblPr>
      <w:tblGrid>
        <w:gridCol w:w="9705"/>
      </w:tblGrid>
      <w:tr w:rsidR="001E6FB8" w:rsidRPr="00E141F1" w:rsidTr="001E6FB8">
        <w:trPr>
          <w:trHeight w:val="492"/>
        </w:trPr>
        <w:tc>
          <w:tcPr>
            <w:tcW w:w="970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3.6 Numbers submitted for checking against the DNCR, by channel</w:t>
            </w:r>
          </w:p>
        </w:tc>
      </w:tr>
      <w:tr w:rsidR="001E6FB8" w:rsidRPr="00E141F1" w:rsidTr="001E6FB8">
        <w:tblPrEx>
          <w:tblCellMar>
            <w:left w:w="108" w:type="dxa"/>
            <w:right w:w="108" w:type="dxa"/>
          </w:tblCellMar>
        </w:tblPrEx>
        <w:trPr>
          <w:trHeight w:val="3640"/>
        </w:trPr>
        <w:tc>
          <w:tcPr>
            <w:tcW w:w="9705" w:type="dxa"/>
            <w:shd w:val="clear" w:color="auto" w:fill="auto"/>
          </w:tcPr>
          <w:p w:rsidR="001E6FB8" w:rsidRPr="00E141F1" w:rsidRDefault="001E6FB8" w:rsidP="001E6FB8">
            <w:pPr>
              <w:keepNext/>
              <w:keepLines/>
              <w:rPr>
                <w:rFonts w:cs="Arial"/>
              </w:rPr>
            </w:pPr>
            <w:r w:rsidRPr="00E206C3">
              <w:rPr>
                <w:rFonts w:cs="Arial"/>
                <w:noProof/>
              </w:rPr>
              <w:drawing>
                <wp:inline distT="0" distB="0" distL="0" distR="0">
                  <wp:extent cx="5731510" cy="2383665"/>
                  <wp:effectExtent l="0" t="0" r="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1E6FB8" w:rsidRPr="00E141F1" w:rsidTr="001E6FB8">
        <w:trPr>
          <w:trHeight w:val="343"/>
        </w:trPr>
        <w:tc>
          <w:tcPr>
            <w:tcW w:w="9705" w:type="dxa"/>
            <w:tcBorders>
              <w:bottom w:val="single" w:sz="2" w:space="0" w:color="505050"/>
            </w:tcBorders>
            <w:shd w:val="clear" w:color="auto" w:fill="auto"/>
          </w:tcPr>
          <w:p w:rsidR="001E6FB8" w:rsidRDefault="001E6FB8" w:rsidP="001E6FB8">
            <w:pPr>
              <w:keepNext/>
              <w:keepLines/>
              <w:spacing w:line="240" w:lineRule="auto"/>
              <w:rPr>
                <w:rFonts w:cs="Arial"/>
                <w:i/>
                <w:sz w:val="16"/>
                <w:szCs w:val="16"/>
              </w:rPr>
            </w:pPr>
            <w:r w:rsidRPr="00E141F1">
              <w:rPr>
                <w:rFonts w:cs="Arial"/>
                <w:i/>
                <w:sz w:val="16"/>
                <w:szCs w:val="16"/>
              </w:rPr>
              <w:t>N</w:t>
            </w:r>
            <w:r>
              <w:rPr>
                <w:rFonts w:cs="Arial"/>
                <w:i/>
                <w:sz w:val="16"/>
                <w:szCs w:val="16"/>
              </w:rPr>
              <w:t>ote: O</w:t>
            </w:r>
            <w:r w:rsidRPr="00E141F1">
              <w:rPr>
                <w:rFonts w:cs="Arial"/>
                <w:i/>
                <w:sz w:val="16"/>
                <w:szCs w:val="16"/>
              </w:rPr>
              <w:t>verall there are four channels available, however only the primary channels are included: real time access, manual file upload and automated washing service.</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Source: ACMA-commissioned research.</w:t>
            </w:r>
          </w:p>
        </w:tc>
      </w:tr>
    </w:tbl>
    <w:p w:rsidR="001E6FB8" w:rsidRPr="00E141F1" w:rsidRDefault="001E6FB8" w:rsidP="001E6FB8">
      <w:pPr>
        <w:spacing w:line="240" w:lineRule="auto"/>
        <w:rPr>
          <w:rFonts w:cs="Arial"/>
        </w:rPr>
      </w:pPr>
    </w:p>
    <w:p w:rsidR="001E6FB8" w:rsidRPr="00E141F1" w:rsidRDefault="001E6FB8" w:rsidP="001E6FB8">
      <w:pPr>
        <w:pStyle w:val="Heading3"/>
      </w:pPr>
      <w:bookmarkStart w:id="449" w:name="_Toc371589069"/>
      <w:bookmarkStart w:id="450" w:name="_Toc373149131"/>
      <w:r w:rsidRPr="00E141F1">
        <w:t>Compliance and enforcement</w:t>
      </w:r>
      <w:bookmarkEnd w:id="449"/>
      <w:bookmarkEnd w:id="450"/>
    </w:p>
    <w:p w:rsidR="001E6FB8" w:rsidRPr="00E141F1" w:rsidRDefault="001E6FB8" w:rsidP="001E6FB8">
      <w:pPr>
        <w:rPr>
          <w:rFonts w:cs="Arial"/>
        </w:rPr>
      </w:pPr>
      <w:r w:rsidRPr="00E141F1">
        <w:rPr>
          <w:rFonts w:cs="Arial"/>
        </w:rPr>
        <w:t>The ACMA administers a suite of legislation designed to minimise the impact on Australians of unsolicited telemarketing, fax marketing and commercial electronic messages (including emails, SMS, MMS and instant messaging).</w:t>
      </w:r>
    </w:p>
    <w:p w:rsidR="001E6FB8" w:rsidRPr="00E141F1" w:rsidRDefault="001E6FB8" w:rsidP="001E6FB8">
      <w:pPr>
        <w:rPr>
          <w:rFonts w:cs="Arial"/>
        </w:rPr>
      </w:pPr>
    </w:p>
    <w:p w:rsidR="001E6FB8" w:rsidRPr="00E141F1" w:rsidRDefault="001E6FB8" w:rsidP="001E6FB8">
      <w:pPr>
        <w:pStyle w:val="Heading3"/>
        <w:rPr>
          <w:i/>
        </w:rPr>
      </w:pPr>
      <w:bookmarkStart w:id="451" w:name="_Toc341428391"/>
      <w:bookmarkStart w:id="452" w:name="_Toc371589070"/>
      <w:bookmarkStart w:id="453" w:name="_Toc373149132"/>
      <w:r w:rsidRPr="00E141F1">
        <w:t>Complaints</w:t>
      </w:r>
      <w:bookmarkEnd w:id="451"/>
      <w:bookmarkEnd w:id="452"/>
      <w:bookmarkEnd w:id="453"/>
      <w:r w:rsidRPr="00E141F1">
        <w:t xml:space="preserve"> </w:t>
      </w:r>
    </w:p>
    <w:p w:rsidR="001E6FB8" w:rsidRPr="00E141F1" w:rsidRDefault="001E6FB8" w:rsidP="001E6FB8">
      <w:pPr>
        <w:rPr>
          <w:rFonts w:cs="Arial"/>
        </w:rPr>
      </w:pPr>
      <w:r w:rsidRPr="00E141F1">
        <w:rPr>
          <w:rFonts w:cs="Arial"/>
        </w:rPr>
        <w:t xml:space="preserve">In 2012–13, the ACMA received a total of 19,677 complaints from Australians under Part 26 of the </w:t>
      </w:r>
      <w:r>
        <w:rPr>
          <w:rFonts w:cs="Arial"/>
        </w:rPr>
        <w:t xml:space="preserve">Telecommunications </w:t>
      </w:r>
      <w:r w:rsidRPr="00E141F1">
        <w:rPr>
          <w:rFonts w:cs="Arial"/>
        </w:rPr>
        <w:t>Act (see Figure 3.7).This was a decrease on the previous year, due in part to a decline in the number of complaints about the ‘Microsoft Imposters’ scam following joint action by the ACMA, the US Federal Trade Commission and the Canadian Radio-television and Telecommunications Commission in October 2012.</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Figure 3.7 Complaints received</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rPr>
                <w:rFonts w:cs="Arial"/>
              </w:rPr>
            </w:pPr>
            <w:r w:rsidRPr="00D919D4">
              <w:rPr>
                <w:rFonts w:cs="Arial"/>
                <w:noProof/>
              </w:rPr>
              <w:drawing>
                <wp:inline distT="0" distB="0" distL="0" distR="0">
                  <wp:extent cx="5953540" cy="1898374"/>
                  <wp:effectExtent l="0" t="0" r="0" b="0"/>
                  <wp:docPr id="231"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1E6FB8" w:rsidRPr="00E141F1" w:rsidTr="001E6FB8">
        <w:trPr>
          <w:trHeight w:val="80"/>
        </w:trPr>
        <w:tc>
          <w:tcPr>
            <w:tcW w:w="9645" w:type="dxa"/>
            <w:tcBorders>
              <w:bottom w:val="single" w:sz="2" w:space="0" w:color="505050"/>
            </w:tcBorders>
            <w:shd w:val="clear" w:color="auto" w:fill="auto"/>
          </w:tcPr>
          <w:p w:rsidR="001E6FB8" w:rsidRPr="00E141F1" w:rsidRDefault="001E6FB8" w:rsidP="001E6FB8">
            <w:pPr>
              <w:keepNext/>
              <w:widowControl w:val="0"/>
              <w:spacing w:after="60" w:line="240" w:lineRule="auto"/>
              <w:outlineLvl w:val="0"/>
              <w:rPr>
                <w:rFonts w:cs="Arial"/>
                <w:bCs/>
                <w:i/>
                <w:color w:val="4D4D4F"/>
                <w:kern w:val="32"/>
                <w:sz w:val="16"/>
                <w:szCs w:val="16"/>
              </w:rPr>
            </w:pPr>
            <w:r w:rsidRPr="00E141F1">
              <w:rPr>
                <w:rFonts w:cs="Arial"/>
                <w:i/>
                <w:sz w:val="16"/>
                <w:szCs w:val="16"/>
              </w:rPr>
              <w:t>Source: Complaints to the Do Not Call Register.</w:t>
            </w:r>
          </w:p>
        </w:tc>
      </w:tr>
    </w:tbl>
    <w:p w:rsidR="001E6FB8" w:rsidRPr="00E141F1" w:rsidRDefault="001E6FB8" w:rsidP="001E6FB8">
      <w:pPr>
        <w:rPr>
          <w:rFonts w:cs="Arial"/>
        </w:rPr>
      </w:pPr>
    </w:p>
    <w:p w:rsidR="001E6FB8" w:rsidRPr="00E141F1" w:rsidRDefault="001E6FB8" w:rsidP="001E6FB8">
      <w:pPr>
        <w:pStyle w:val="Heading3"/>
        <w:rPr>
          <w:i/>
        </w:rPr>
      </w:pPr>
      <w:bookmarkStart w:id="454" w:name="_Toc371589071"/>
      <w:bookmarkStart w:id="455" w:name="_Toc373149133"/>
      <w:r w:rsidRPr="00E141F1">
        <w:t>Complaint classifications</w:t>
      </w:r>
      <w:bookmarkEnd w:id="454"/>
      <w:bookmarkEnd w:id="455"/>
    </w:p>
    <w:p w:rsidR="001E6FB8" w:rsidRPr="00E141F1" w:rsidRDefault="001E6FB8" w:rsidP="001E6FB8">
      <w:pPr>
        <w:rPr>
          <w:rFonts w:cs="Arial"/>
        </w:rPr>
      </w:pPr>
      <w:r w:rsidRPr="00E141F1">
        <w:rPr>
          <w:rFonts w:cs="Arial"/>
        </w:rPr>
        <w:t xml:space="preserve">Figure 3.8 shows the classification of the complaints the ACMA received during </w:t>
      </w:r>
      <w:r>
        <w:rPr>
          <w:rFonts w:cs="Arial"/>
        </w:rPr>
        <w:br/>
      </w:r>
      <w:r w:rsidRPr="00E141F1">
        <w:rPr>
          <w:rFonts w:cs="Arial"/>
        </w:rPr>
        <w:t xml:space="preserve">2012–13 in terms of potential breaches of the DNCR Act, Telemarketing and Research Standard and Fax Marketing Standard. </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3.8 Classification of the complaints received by the ACMA 2012–13</w:t>
            </w:r>
          </w:p>
        </w:tc>
      </w:tr>
      <w:tr w:rsidR="001E6FB8" w:rsidRPr="00E141F1" w:rsidTr="001E6FB8">
        <w:trPr>
          <w:trHeight w:val="2469"/>
        </w:trPr>
        <w:tc>
          <w:tcPr>
            <w:tcW w:w="9645" w:type="dxa"/>
            <w:shd w:val="clear" w:color="auto" w:fill="auto"/>
            <w:tcMar>
              <w:left w:w="28" w:type="dxa"/>
            </w:tcMar>
          </w:tcPr>
          <w:p w:rsidR="001E6FB8" w:rsidRPr="00D919D4" w:rsidRDefault="001E6FB8" w:rsidP="001E6FB8">
            <w:pPr>
              <w:tabs>
                <w:tab w:val="left" w:pos="2598"/>
              </w:tabs>
              <w:rPr>
                <w:rFonts w:cs="Arial"/>
              </w:rPr>
            </w:pPr>
            <w:r w:rsidRPr="00D919D4">
              <w:rPr>
                <w:rFonts w:cs="Arial"/>
                <w:noProof/>
              </w:rPr>
              <w:drawing>
                <wp:inline distT="0" distB="0" distL="0" distR="0">
                  <wp:extent cx="6052930" cy="2027582"/>
                  <wp:effectExtent l="0" t="0" r="0" b="0"/>
                  <wp:docPr id="234"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1E6FB8" w:rsidRPr="00E141F1" w:rsidTr="001E6FB8">
        <w:trPr>
          <w:trHeight w:val="353"/>
        </w:trPr>
        <w:tc>
          <w:tcPr>
            <w:tcW w:w="9645" w:type="dxa"/>
            <w:tcBorders>
              <w:bottom w:val="single" w:sz="2" w:space="0" w:color="505050"/>
            </w:tcBorders>
            <w:shd w:val="clear" w:color="auto" w:fill="auto"/>
          </w:tcPr>
          <w:p w:rsidR="001E6FB8" w:rsidRPr="00E141F1" w:rsidRDefault="001E6FB8" w:rsidP="001E6FB8">
            <w:pPr>
              <w:keepNext/>
              <w:keepLines/>
              <w:spacing w:after="60" w:line="240" w:lineRule="auto"/>
              <w:rPr>
                <w:rFonts w:cs="Arial"/>
                <w:bCs/>
                <w:i/>
                <w:color w:val="4D4D4F"/>
                <w:kern w:val="32"/>
                <w:sz w:val="16"/>
                <w:szCs w:val="16"/>
              </w:rPr>
            </w:pPr>
            <w:r w:rsidRPr="00E141F1">
              <w:rPr>
                <w:rFonts w:cs="Arial"/>
                <w:i/>
                <w:sz w:val="16"/>
                <w:szCs w:val="16"/>
              </w:rPr>
              <w:t>Note: Complaints may potentially breach both the DNCR Act and one of the standards so figures will not add up to 100 per cent.</w:t>
            </w:r>
            <w:r w:rsidRPr="00E141F1">
              <w:rPr>
                <w:rFonts w:cs="Arial"/>
                <w:i/>
                <w:sz w:val="16"/>
                <w:szCs w:val="16"/>
              </w:rPr>
              <w:br/>
              <w:t>Source: Complaints to the Do Not Call Register.</w:t>
            </w:r>
          </w:p>
        </w:tc>
      </w:tr>
    </w:tbl>
    <w:p w:rsidR="001E6FB8" w:rsidRPr="00E141F1" w:rsidRDefault="001E6FB8" w:rsidP="001E6FB8">
      <w:pPr>
        <w:rPr>
          <w:rFonts w:cs="Arial"/>
        </w:rPr>
      </w:pPr>
    </w:p>
    <w:p w:rsidR="001E6FB8" w:rsidRPr="00E141F1" w:rsidRDefault="001E6FB8" w:rsidP="001E6FB8">
      <w:pPr>
        <w:pStyle w:val="Heading3"/>
      </w:pPr>
      <w:bookmarkStart w:id="456" w:name="_Toc371589072"/>
      <w:bookmarkStart w:id="457" w:name="_Toc373149134"/>
      <w:r w:rsidRPr="00E141F1">
        <w:t>Telemarketing and fax marketing</w:t>
      </w:r>
      <w:bookmarkEnd w:id="456"/>
      <w:bookmarkEnd w:id="457"/>
    </w:p>
    <w:p w:rsidR="001E6FB8" w:rsidRPr="00E141F1" w:rsidRDefault="001E6FB8" w:rsidP="001E6FB8">
      <w:pPr>
        <w:rPr>
          <w:rFonts w:cs="Arial"/>
        </w:rPr>
      </w:pPr>
      <w:r w:rsidRPr="00E141F1">
        <w:rPr>
          <w:rFonts w:cs="Arial"/>
        </w:rPr>
        <w:t>Telemarketing complaints in 2012–13 continue to indicate the preference of Australian businesses to conduct most of their telemarketing during the cooler months (July</w:t>
      </w:r>
      <w:r>
        <w:rPr>
          <w:rFonts w:cs="Arial"/>
        </w:rPr>
        <w:t>–</w:t>
      </w:r>
      <w:r w:rsidRPr="00E141F1">
        <w:rPr>
          <w:rFonts w:cs="Arial"/>
        </w:rPr>
        <w:t>October and April</w:t>
      </w:r>
      <w:r>
        <w:rPr>
          <w:rFonts w:cs="Arial"/>
        </w:rPr>
        <w:t>–</w:t>
      </w:r>
      <w:r w:rsidRPr="00E141F1">
        <w:rPr>
          <w:rFonts w:cs="Arial"/>
        </w:rPr>
        <w:t>June) when more consumers tend to be home, and reduced activity as the weather gets warmer (November</w:t>
      </w:r>
      <w:r>
        <w:rPr>
          <w:rFonts w:cs="Arial"/>
        </w:rPr>
        <w:t>–</w:t>
      </w:r>
      <w:r w:rsidRPr="00E141F1">
        <w:rPr>
          <w:rFonts w:cs="Arial"/>
        </w:rPr>
        <w:t>March).</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In 2012–13, the solar product and home maintenance industries were, respectively, the first and third industries generating consumer complaints about telemarketing (Table 3.17). The high level of telemarketing complaints in both of these industries has, in part, been due to the activities of ‘lead generators’. Lead generators independently make telemarketing calls to generate interest in various products or services and identify potential purchasers. Calling lists developed through these calls are then sold on to relevant businesses. </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 xml:space="preserve">Table 3.17 Top </w:t>
            </w:r>
            <w:r>
              <w:rPr>
                <w:rFonts w:cs="Arial"/>
              </w:rPr>
              <w:t>10</w:t>
            </w:r>
            <w:r w:rsidRPr="00E141F1">
              <w:rPr>
                <w:rFonts w:cs="Arial"/>
              </w:rPr>
              <w:t xml:space="preserve"> industries the subject of telemarketing complaints in 2012–13</w:t>
            </w:r>
          </w:p>
        </w:tc>
      </w:tr>
      <w:tr w:rsidR="001E6FB8" w:rsidRPr="00E141F1" w:rsidTr="001E6FB8">
        <w:trPr>
          <w:trHeight w:val="753"/>
        </w:trPr>
        <w:tc>
          <w:tcPr>
            <w:tcW w:w="9645" w:type="dxa"/>
            <w:shd w:val="clear" w:color="auto" w:fill="auto"/>
            <w:tcMar>
              <w:left w:w="28" w:type="dxa"/>
            </w:tcMar>
          </w:tcPr>
          <w:tbl>
            <w:tblPr>
              <w:tblW w:w="9610" w:type="dxa"/>
              <w:tblInd w:w="1"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1105"/>
              <w:gridCol w:w="8505"/>
            </w:tblGrid>
            <w:tr w:rsidR="001E6FB8" w:rsidRPr="00E141F1" w:rsidTr="001E6FB8">
              <w:trPr>
                <w:trHeight w:val="321"/>
              </w:trPr>
              <w:tc>
                <w:tcPr>
                  <w:tcW w:w="1105" w:type="dxa"/>
                  <w:tcBorders>
                    <w:top w:val="single" w:sz="4" w:space="0" w:color="C8C8C8"/>
                    <w:left w:val="nil"/>
                    <w:bottom w:val="single" w:sz="4" w:space="0" w:color="C8C8C8"/>
                    <w:right w:val="nil"/>
                  </w:tcBorders>
                  <w:shd w:val="clear" w:color="auto" w:fill="00709E"/>
                  <w:tcMar>
                    <w:top w:w="34" w:type="dxa"/>
                    <w:left w:w="113" w:type="dxa"/>
                  </w:tcMar>
                </w:tcPr>
                <w:p w:rsidR="001E6FB8" w:rsidRPr="00E141F1" w:rsidRDefault="001E6FB8" w:rsidP="001E6FB8">
                  <w:pPr>
                    <w:spacing w:before="40" w:after="40" w:line="240" w:lineRule="auto"/>
                    <w:ind w:right="87"/>
                    <w:jc w:val="right"/>
                    <w:rPr>
                      <w:rFonts w:cs="Arial"/>
                      <w:b/>
                      <w:color w:val="FFFFFF" w:themeColor="background1"/>
                      <w:sz w:val="18"/>
                      <w:szCs w:val="18"/>
                    </w:rPr>
                  </w:pPr>
                </w:p>
              </w:tc>
              <w:tc>
                <w:tcPr>
                  <w:tcW w:w="8505" w:type="dxa"/>
                  <w:tcBorders>
                    <w:top w:val="single" w:sz="4" w:space="0" w:color="C8C8C8"/>
                    <w:left w:val="nil"/>
                    <w:bottom w:val="single" w:sz="4" w:space="0" w:color="C8C8C8"/>
                    <w:right w:val="nil"/>
                  </w:tcBorders>
                  <w:shd w:val="clear" w:color="auto" w:fill="00709E"/>
                  <w:vAlign w:val="center"/>
                </w:tcPr>
                <w:p w:rsidR="001E6FB8" w:rsidRPr="00E141F1" w:rsidRDefault="001E6FB8" w:rsidP="001E6FB8">
                  <w:pPr>
                    <w:spacing w:before="40" w:after="40" w:line="240" w:lineRule="auto"/>
                    <w:ind w:right="109"/>
                    <w:rPr>
                      <w:rFonts w:cs="Arial"/>
                      <w:b/>
                      <w:color w:val="FFFFFF" w:themeColor="background1"/>
                      <w:sz w:val="18"/>
                      <w:szCs w:val="18"/>
                    </w:rPr>
                  </w:pPr>
                  <w:r w:rsidRPr="00E141F1">
                    <w:rPr>
                      <w:rFonts w:cs="Arial"/>
                      <w:b/>
                      <w:color w:val="FFFFFF" w:themeColor="background1"/>
                      <w:sz w:val="18"/>
                      <w:szCs w:val="18"/>
                    </w:rPr>
                    <w:t>Industry</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1</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color w:val="000000"/>
                      <w:sz w:val="18"/>
                      <w:szCs w:val="18"/>
                    </w:rPr>
                    <w:t xml:space="preserve">Solar </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2</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color w:val="000000"/>
                      <w:sz w:val="18"/>
                      <w:szCs w:val="18"/>
                    </w:rPr>
                    <w:t>Telecommunications</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3</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color w:val="000000"/>
                      <w:sz w:val="18"/>
                      <w:szCs w:val="18"/>
                    </w:rPr>
                    <w:t>Home maintenance</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4</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color w:val="000000"/>
                      <w:sz w:val="18"/>
                      <w:szCs w:val="18"/>
                    </w:rPr>
                    <w:t>Finance</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5</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color w:val="000000"/>
                      <w:sz w:val="18"/>
                      <w:szCs w:val="18"/>
                    </w:rPr>
                    <w:t>Energy</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6</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color w:val="000000"/>
                      <w:sz w:val="18"/>
                      <w:szCs w:val="18"/>
                    </w:rPr>
                    <w:t>Travel/Tourism</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7</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color w:val="000000"/>
                      <w:sz w:val="18"/>
                      <w:szCs w:val="18"/>
                    </w:rPr>
                    <w:t>Marketing</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8</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color w:val="000000"/>
                      <w:sz w:val="18"/>
                      <w:szCs w:val="18"/>
                    </w:rPr>
                    <w:t>Personal services</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9</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color w:val="000000"/>
                      <w:sz w:val="18"/>
                      <w:szCs w:val="18"/>
                    </w:rPr>
                  </w:pPr>
                  <w:r w:rsidRPr="00E141F1">
                    <w:rPr>
                      <w:rFonts w:ascii="Arial" w:hAnsi="Arial" w:cs="Arial"/>
                      <w:color w:val="000000"/>
                      <w:sz w:val="18"/>
                      <w:szCs w:val="18"/>
                    </w:rPr>
                    <w:t>Pharmaceuticals</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pStyle w:val="ListParagraph"/>
                    <w:spacing w:line="240" w:lineRule="auto"/>
                    <w:ind w:left="0"/>
                    <w:rPr>
                      <w:rFonts w:ascii="Arial" w:hAnsi="Arial" w:cs="Arial"/>
                      <w:sz w:val="18"/>
                      <w:szCs w:val="18"/>
                    </w:rPr>
                  </w:pPr>
                  <w:r w:rsidRPr="00E141F1">
                    <w:rPr>
                      <w:rFonts w:ascii="Arial" w:hAnsi="Arial" w:cs="Arial"/>
                      <w:sz w:val="18"/>
                      <w:szCs w:val="18"/>
                    </w:rPr>
                    <w:t>10</w:t>
                  </w:r>
                </w:p>
              </w:tc>
              <w:tc>
                <w:tcPr>
                  <w:tcW w:w="8505" w:type="dxa"/>
                  <w:tcBorders>
                    <w:top w:val="single" w:sz="4" w:space="0" w:color="C8C8C8"/>
                    <w:left w:val="nil"/>
                    <w:right w:val="nil"/>
                  </w:tcBorders>
                  <w:shd w:val="clear" w:color="auto" w:fill="auto"/>
                  <w:vAlign w:val="center"/>
                </w:tcPr>
                <w:p w:rsidR="001E6FB8" w:rsidRPr="00E141F1" w:rsidRDefault="001E6FB8" w:rsidP="001E6FB8">
                  <w:pPr>
                    <w:pStyle w:val="ListParagraph"/>
                    <w:spacing w:line="240" w:lineRule="auto"/>
                    <w:ind w:left="0"/>
                    <w:rPr>
                      <w:rFonts w:ascii="Arial" w:hAnsi="Arial" w:cs="Arial"/>
                      <w:color w:val="000000"/>
                      <w:sz w:val="18"/>
                      <w:szCs w:val="18"/>
                    </w:rPr>
                  </w:pPr>
                  <w:r w:rsidRPr="00E141F1">
                    <w:rPr>
                      <w:rFonts w:ascii="Arial" w:hAnsi="Arial" w:cs="Arial"/>
                      <w:color w:val="000000"/>
                      <w:sz w:val="18"/>
                      <w:szCs w:val="18"/>
                    </w:rPr>
                    <w:t>Real estate</w:t>
                  </w:r>
                </w:p>
              </w:tc>
            </w:tr>
          </w:tbl>
          <w:p w:rsidR="001E6FB8" w:rsidRPr="00E141F1" w:rsidRDefault="001E6FB8" w:rsidP="001E6FB8">
            <w:pPr>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60" w:after="60"/>
              <w:rPr>
                <w:rFonts w:cs="Arial"/>
                <w:i/>
                <w:sz w:val="16"/>
                <w:szCs w:val="16"/>
              </w:rPr>
            </w:pPr>
            <w:r w:rsidRPr="00E141F1">
              <w:rPr>
                <w:rFonts w:cs="Arial"/>
                <w:i/>
                <w:sz w:val="16"/>
                <w:szCs w:val="16"/>
              </w:rPr>
              <w:t>Source: The ACMA.</w:t>
            </w:r>
          </w:p>
        </w:tc>
      </w:tr>
    </w:tbl>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Businesses operating in the telecommunications industry generated the second highest level of consumer complaints in 2012–13. The majority of complaints received were about smaller </w:t>
      </w:r>
      <w:r>
        <w:rPr>
          <w:rFonts w:cs="Arial"/>
        </w:rPr>
        <w:t>CSPs</w:t>
      </w:r>
      <w:r w:rsidRPr="00E141F1">
        <w:rPr>
          <w:rFonts w:cs="Arial"/>
        </w:rPr>
        <w:t xml:space="preserve"> (complaints about larger carriers have fallen following successful compliance action in previous years).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Businesses in the finance, energy, marketing and real estate and marketing industries were also in the top </w:t>
      </w:r>
      <w:r>
        <w:rPr>
          <w:rFonts w:cs="Arial"/>
        </w:rPr>
        <w:t>10</w:t>
      </w:r>
      <w:r w:rsidRPr="00E141F1">
        <w:rPr>
          <w:rFonts w:cs="Arial"/>
        </w:rPr>
        <w:t xml:space="preserve">, generating numerous complaints from consumers. The ACMA conducted six investigations into businesses operating in these sectors. </w:t>
      </w:r>
    </w:p>
    <w:p w:rsidR="001E6FB8" w:rsidRPr="00E141F1" w:rsidRDefault="001E6FB8" w:rsidP="001E6FB8">
      <w:pPr>
        <w:rPr>
          <w:rFonts w:cs="Arial"/>
        </w:rPr>
      </w:pPr>
    </w:p>
    <w:p w:rsidR="001E6FB8" w:rsidRPr="00E141F1" w:rsidRDefault="001E6FB8" w:rsidP="001E6FB8">
      <w:pPr>
        <w:pStyle w:val="Heading3"/>
        <w:rPr>
          <w:i/>
        </w:rPr>
      </w:pPr>
      <w:bookmarkStart w:id="458" w:name="_Toc371589073"/>
      <w:bookmarkStart w:id="459" w:name="_Toc373149135"/>
      <w:r w:rsidRPr="00E141F1">
        <w:t>Advisory and warning letters (informal phase)</w:t>
      </w:r>
      <w:bookmarkEnd w:id="458"/>
      <w:bookmarkEnd w:id="459"/>
    </w:p>
    <w:p w:rsidR="001E6FB8" w:rsidRPr="00E141F1" w:rsidRDefault="001E6FB8" w:rsidP="001E6FB8">
      <w:pPr>
        <w:rPr>
          <w:rFonts w:cs="Arial"/>
        </w:rPr>
      </w:pPr>
      <w:r w:rsidRPr="00E141F1">
        <w:rPr>
          <w:rFonts w:cs="Arial"/>
        </w:rPr>
        <w:t xml:space="preserve">Advisory and warning letters are an informal approach to compliance problems and, in most cases, lead to recipients rectifying their poor compliance without further intervention by the ACMA. </w:t>
      </w:r>
    </w:p>
    <w:p w:rsidR="001E6FB8" w:rsidRPr="00E141F1" w:rsidRDefault="001E6FB8" w:rsidP="001E6FB8">
      <w:pPr>
        <w:rPr>
          <w:rFonts w:cs="Arial"/>
        </w:rPr>
      </w:pPr>
    </w:p>
    <w:p w:rsidR="001E6FB8" w:rsidRPr="00E141F1" w:rsidRDefault="001E6FB8" w:rsidP="001E6FB8">
      <w:r w:rsidRPr="00E141F1">
        <w:t>During 2012–13, the ACMA sent 918 advisory letters to people and businesses identified as potentially in breach of the requirements of the DNCR Act and industry standards.</w:t>
      </w:r>
      <w:r>
        <w:t xml:space="preserve"> </w:t>
      </w:r>
    </w:p>
    <w:p w:rsidR="001E6FB8" w:rsidRPr="00E141F1" w:rsidRDefault="001E6FB8" w:rsidP="001E6FB8"/>
    <w:p w:rsidR="001E6FB8" w:rsidRPr="00E141F1" w:rsidRDefault="001E6FB8" w:rsidP="001E6FB8">
      <w:pPr>
        <w:pStyle w:val="Heading3"/>
        <w:rPr>
          <w:i/>
        </w:rPr>
      </w:pPr>
      <w:bookmarkStart w:id="460" w:name="_Toc287540218"/>
      <w:bookmarkStart w:id="461" w:name="_Toc371589074"/>
      <w:bookmarkStart w:id="462" w:name="_Toc373149136"/>
      <w:r w:rsidRPr="00E141F1">
        <w:t>Investigation and enforcement</w:t>
      </w:r>
      <w:bookmarkEnd w:id="460"/>
      <w:r w:rsidRPr="00E141F1">
        <w:t xml:space="preserve"> (formal phase)</w:t>
      </w:r>
      <w:bookmarkEnd w:id="461"/>
      <w:bookmarkEnd w:id="462"/>
    </w:p>
    <w:p w:rsidR="001E6FB8" w:rsidRPr="00E141F1" w:rsidRDefault="001E6FB8" w:rsidP="001E6FB8">
      <w:pPr>
        <w:rPr>
          <w:rFonts w:cs="Arial"/>
        </w:rPr>
      </w:pPr>
      <w:r w:rsidRPr="00E141F1">
        <w:rPr>
          <w:rFonts w:cs="Arial"/>
        </w:rPr>
        <w:t xml:space="preserve">During 2012–13, the ACMA finalised 11 telemarketing-related investigations under Part 26 of the </w:t>
      </w:r>
      <w:r>
        <w:rPr>
          <w:rFonts w:cs="Arial"/>
        </w:rPr>
        <w:t xml:space="preserve">Telecommunications </w:t>
      </w:r>
      <w:r w:rsidRPr="00E141F1">
        <w:rPr>
          <w:rFonts w:cs="Arial"/>
        </w:rPr>
        <w:t xml:space="preserve">Act.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As a result of these investigations, the ACMA accepted two enforceable undertakings, issued three infringement notices and issued three informal warnings. </w:t>
      </w:r>
    </w:p>
    <w:p w:rsidR="001E6FB8" w:rsidRPr="00E141F1" w:rsidRDefault="001E6FB8" w:rsidP="001E6FB8">
      <w:pPr>
        <w:rPr>
          <w:rFonts w:cs="Arial"/>
        </w:rPr>
      </w:pPr>
    </w:p>
    <w:p w:rsidR="001E6FB8" w:rsidRPr="00E141F1" w:rsidRDefault="001E6FB8" w:rsidP="001E6FB8">
      <w:pPr>
        <w:pStyle w:val="Heading2"/>
      </w:pPr>
      <w:bookmarkStart w:id="463" w:name="_Toc371589075"/>
      <w:bookmarkStart w:id="464" w:name="_Toc373149137"/>
      <w:r w:rsidRPr="00E141F1">
        <w:t>Spam and e-marketing</w:t>
      </w:r>
      <w:bookmarkEnd w:id="463"/>
      <w:bookmarkEnd w:id="464"/>
    </w:p>
    <w:p w:rsidR="001E6FB8" w:rsidRPr="00E141F1" w:rsidRDefault="001E6FB8" w:rsidP="001E6FB8">
      <w:pPr>
        <w:pStyle w:val="Heading3"/>
      </w:pPr>
      <w:bookmarkStart w:id="465" w:name="_Toc371589076"/>
      <w:bookmarkStart w:id="466" w:name="_Toc373149138"/>
      <w:r w:rsidRPr="00E141F1">
        <w:t>Spam</w:t>
      </w:r>
      <w:bookmarkEnd w:id="465"/>
      <w:bookmarkEnd w:id="466"/>
    </w:p>
    <w:p w:rsidR="001E6FB8" w:rsidRPr="00E141F1" w:rsidRDefault="001E6FB8" w:rsidP="001E6FB8">
      <w:pPr>
        <w:rPr>
          <w:rFonts w:cs="Arial"/>
        </w:rPr>
      </w:pPr>
      <w:r w:rsidRPr="00E141F1">
        <w:rPr>
          <w:rFonts w:cs="Arial"/>
        </w:rPr>
        <w:t xml:space="preserve">The </w:t>
      </w:r>
      <w:r w:rsidRPr="00E141F1">
        <w:rPr>
          <w:rFonts w:cs="Arial"/>
          <w:i/>
        </w:rPr>
        <w:t>Spam Act 2003</w:t>
      </w:r>
      <w:r w:rsidRPr="00E141F1">
        <w:rPr>
          <w:rFonts w:cs="Arial"/>
        </w:rPr>
        <w:t xml:space="preserve"> sets out rules and requirements for the sending of all commercial electronic messages—emails, SMS and MMS, and instant messaging.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Australians may lodge complaints about spam under Part 26 of the</w:t>
      </w:r>
      <w:r>
        <w:rPr>
          <w:rFonts w:cs="Arial"/>
        </w:rPr>
        <w:t xml:space="preserve"> Telecommunications</w:t>
      </w:r>
      <w:r w:rsidRPr="00E141F1">
        <w:rPr>
          <w:rFonts w:cs="Arial"/>
        </w:rPr>
        <w:t xml:space="preserve"> Act and report spam or make enquiries via the ACMA website, email, telephone or SMS.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In 2012–13, the ACMA received a total of 412,743 complaints, reports and enquiries directly from members of the public about spam</w:t>
      </w:r>
      <w:r>
        <w:rPr>
          <w:rFonts w:cs="Arial"/>
        </w:rPr>
        <w:t xml:space="preserve"> compared to 226,816 during 2011–12</w:t>
      </w:r>
      <w:r w:rsidRPr="00E141F1">
        <w:rPr>
          <w:rFonts w:cs="Arial"/>
        </w:rPr>
        <w:t xml:space="preserve">. The majority of these (396,908) were about email spam. </w:t>
      </w:r>
    </w:p>
    <w:p w:rsidR="001E6FB8" w:rsidRPr="00E141F1" w:rsidRDefault="001E6FB8" w:rsidP="001E6FB8"/>
    <w:p w:rsidR="001E6FB8" w:rsidRPr="00E141F1" w:rsidRDefault="001E6FB8" w:rsidP="001E6FB8">
      <w:r w:rsidRPr="00E141F1">
        <w:t>The ACMA aims to action 90 per cent of the complaints it receives about spam within eight days of receipt. In 2012–13, 99 per cent of complaints were actioned.</w:t>
      </w:r>
    </w:p>
    <w:p w:rsidR="001E6FB8" w:rsidRDefault="001E6FB8" w:rsidP="001E6FB8"/>
    <w:p w:rsidR="001E6FB8" w:rsidRPr="00E141F1" w:rsidRDefault="001E6FB8" w:rsidP="001E6FB8">
      <w:pPr>
        <w:pStyle w:val="Heading3"/>
      </w:pPr>
      <w:bookmarkStart w:id="467" w:name="_Toc371589077"/>
      <w:bookmarkStart w:id="468" w:name="_Toc373149139"/>
      <w:r w:rsidRPr="00E141F1">
        <w:t>E-marketing</w:t>
      </w:r>
      <w:bookmarkEnd w:id="467"/>
      <w:bookmarkEnd w:id="468"/>
    </w:p>
    <w:p w:rsidR="001E6FB8" w:rsidRDefault="001E6FB8" w:rsidP="001E6FB8">
      <w:pPr>
        <w:rPr>
          <w:rFonts w:cs="Arial"/>
        </w:rPr>
      </w:pPr>
      <w:r w:rsidRPr="00E141F1">
        <w:rPr>
          <w:rFonts w:cs="Arial"/>
        </w:rPr>
        <w:t xml:space="preserve">The breadth of industries using e-marketing in 2012–13 has been evident in the complaints the ACMA has received from consumers, with more than 40 industries being identified. Table 3.18 lists the top </w:t>
      </w:r>
      <w:r>
        <w:rPr>
          <w:rFonts w:cs="Arial"/>
        </w:rPr>
        <w:t>10</w:t>
      </w:r>
      <w:r w:rsidRPr="00E141F1">
        <w:rPr>
          <w:rFonts w:cs="Arial"/>
        </w:rPr>
        <w:t xml:space="preserve"> industries that have been the subject of </w:t>
      </w:r>
      <w:r>
        <w:rPr>
          <w:rFonts w:cs="Arial"/>
        </w:rPr>
        <w:br/>
      </w:r>
      <w:r w:rsidRPr="00E141F1">
        <w:rPr>
          <w:rFonts w:cs="Arial"/>
        </w:rPr>
        <w:t>e-marketing complaints in 2012–13.</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Default="001E6FB8" w:rsidP="001E6FB8">
            <w:pPr>
              <w:pStyle w:val="Caption"/>
              <w:rPr>
                <w:rFonts w:cs="Arial"/>
              </w:rPr>
            </w:pPr>
            <w:r w:rsidRPr="00E141F1">
              <w:rPr>
                <w:rFonts w:cs="Arial"/>
              </w:rPr>
              <w:t xml:space="preserve">Table 3.18 Top </w:t>
            </w:r>
            <w:r>
              <w:rPr>
                <w:rFonts w:cs="Arial"/>
              </w:rPr>
              <w:t>10</w:t>
            </w:r>
            <w:r w:rsidRPr="00E141F1">
              <w:rPr>
                <w:rFonts w:cs="Arial"/>
              </w:rPr>
              <w:t xml:space="preserve"> industries the subject of spam contacts in 2012–13</w:t>
            </w:r>
          </w:p>
        </w:tc>
      </w:tr>
      <w:tr w:rsidR="001E6FB8" w:rsidRPr="00E141F1" w:rsidTr="001E6FB8">
        <w:trPr>
          <w:trHeight w:val="753"/>
        </w:trPr>
        <w:tc>
          <w:tcPr>
            <w:tcW w:w="9645" w:type="dxa"/>
            <w:shd w:val="clear" w:color="auto" w:fill="auto"/>
            <w:tcMar>
              <w:left w:w="28" w:type="dxa"/>
            </w:tcMar>
            <w:vAlign w:val="center"/>
          </w:tcPr>
          <w:tbl>
            <w:tblPr>
              <w:tblW w:w="9610" w:type="dxa"/>
              <w:tblInd w:w="1"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1105"/>
              <w:gridCol w:w="8505"/>
            </w:tblGrid>
            <w:tr w:rsidR="001E6FB8" w:rsidRPr="00E141F1" w:rsidTr="001E6FB8">
              <w:trPr>
                <w:trHeight w:val="321"/>
              </w:trPr>
              <w:tc>
                <w:tcPr>
                  <w:tcW w:w="1105" w:type="dxa"/>
                  <w:tcBorders>
                    <w:top w:val="single" w:sz="4" w:space="0" w:color="C8C8C8"/>
                    <w:left w:val="nil"/>
                    <w:bottom w:val="single" w:sz="4" w:space="0" w:color="C8C8C8"/>
                    <w:right w:val="nil"/>
                  </w:tcBorders>
                  <w:shd w:val="clear" w:color="auto" w:fill="00709E"/>
                  <w:tcMar>
                    <w:top w:w="34" w:type="dxa"/>
                    <w:left w:w="113" w:type="dxa"/>
                  </w:tcMar>
                </w:tcPr>
                <w:p w:rsidR="001E6FB8" w:rsidRPr="00E141F1" w:rsidRDefault="001E6FB8" w:rsidP="001E6FB8">
                  <w:pPr>
                    <w:spacing w:before="40" w:after="40" w:line="240" w:lineRule="auto"/>
                    <w:ind w:right="87"/>
                    <w:rPr>
                      <w:rFonts w:cs="Arial"/>
                      <w:b/>
                      <w:color w:val="FFFFFF" w:themeColor="background1"/>
                      <w:sz w:val="18"/>
                      <w:szCs w:val="18"/>
                    </w:rPr>
                  </w:pPr>
                </w:p>
              </w:tc>
              <w:tc>
                <w:tcPr>
                  <w:tcW w:w="8505" w:type="dxa"/>
                  <w:tcBorders>
                    <w:top w:val="single" w:sz="4" w:space="0" w:color="C8C8C8"/>
                    <w:left w:val="nil"/>
                    <w:bottom w:val="single" w:sz="4" w:space="0" w:color="C8C8C8"/>
                    <w:right w:val="nil"/>
                  </w:tcBorders>
                  <w:shd w:val="clear" w:color="auto" w:fill="00709E"/>
                  <w:vAlign w:val="center"/>
                </w:tcPr>
                <w:p w:rsidR="001E6FB8" w:rsidRPr="00E141F1" w:rsidRDefault="001E6FB8" w:rsidP="001E6FB8">
                  <w:pPr>
                    <w:spacing w:before="40" w:after="40" w:line="240" w:lineRule="auto"/>
                    <w:ind w:right="109"/>
                    <w:rPr>
                      <w:rFonts w:cs="Arial"/>
                      <w:b/>
                      <w:color w:val="FFFFFF" w:themeColor="background1"/>
                      <w:sz w:val="18"/>
                      <w:szCs w:val="18"/>
                    </w:rPr>
                  </w:pPr>
                  <w:r w:rsidRPr="00E141F1">
                    <w:rPr>
                      <w:rFonts w:cs="Arial"/>
                      <w:b/>
                      <w:color w:val="FFFFFF" w:themeColor="background1"/>
                      <w:sz w:val="18"/>
                      <w:szCs w:val="18"/>
                    </w:rPr>
                    <w:t>Industry</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spacing w:line="240" w:lineRule="auto"/>
                    <w:rPr>
                      <w:rFonts w:cs="Arial"/>
                      <w:bCs/>
                      <w:color w:val="000000"/>
                      <w:sz w:val="18"/>
                      <w:szCs w:val="18"/>
                    </w:rPr>
                  </w:pPr>
                  <w:r w:rsidRPr="00E141F1">
                    <w:rPr>
                      <w:rFonts w:cs="Arial"/>
                      <w:bCs/>
                      <w:color w:val="000000"/>
                      <w:sz w:val="18"/>
                      <w:szCs w:val="18"/>
                    </w:rPr>
                    <w:t>1</w:t>
                  </w:r>
                </w:p>
              </w:tc>
              <w:tc>
                <w:tcPr>
                  <w:tcW w:w="8505" w:type="dxa"/>
                  <w:tcBorders>
                    <w:top w:val="single" w:sz="4" w:space="0" w:color="C8C8C8"/>
                    <w:left w:val="nil"/>
                    <w:right w:val="nil"/>
                  </w:tcBorders>
                  <w:shd w:val="clear" w:color="auto" w:fill="auto"/>
                  <w:vAlign w:val="center"/>
                </w:tcPr>
                <w:p w:rsidR="001E6FB8" w:rsidRPr="00E141F1" w:rsidRDefault="001E6FB8" w:rsidP="001E6FB8">
                  <w:pPr>
                    <w:spacing w:line="240" w:lineRule="auto"/>
                    <w:rPr>
                      <w:rFonts w:cs="Arial"/>
                      <w:bCs/>
                      <w:color w:val="000000"/>
                      <w:sz w:val="18"/>
                      <w:szCs w:val="18"/>
                    </w:rPr>
                  </w:pPr>
                  <w:r>
                    <w:rPr>
                      <w:rFonts w:cs="Arial"/>
                      <w:bCs/>
                      <w:sz w:val="18"/>
                      <w:szCs w:val="18"/>
                    </w:rPr>
                    <w:t>E</w:t>
                  </w:r>
                  <w:r w:rsidRPr="00E141F1">
                    <w:rPr>
                      <w:rFonts w:cs="Arial"/>
                      <w:bCs/>
                      <w:sz w:val="18"/>
                      <w:szCs w:val="18"/>
                    </w:rPr>
                    <w:t>-business and online stores</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spacing w:line="240" w:lineRule="auto"/>
                    <w:rPr>
                      <w:rFonts w:cs="Arial"/>
                      <w:bCs/>
                      <w:color w:val="000000"/>
                      <w:sz w:val="18"/>
                      <w:szCs w:val="18"/>
                    </w:rPr>
                  </w:pPr>
                  <w:r w:rsidRPr="00E141F1">
                    <w:rPr>
                      <w:rFonts w:cs="Arial"/>
                      <w:bCs/>
                      <w:color w:val="000000"/>
                      <w:sz w:val="18"/>
                      <w:szCs w:val="18"/>
                    </w:rPr>
                    <w:t>2</w:t>
                  </w:r>
                </w:p>
              </w:tc>
              <w:tc>
                <w:tcPr>
                  <w:tcW w:w="8505" w:type="dxa"/>
                  <w:tcBorders>
                    <w:top w:val="single" w:sz="4" w:space="0" w:color="C8C8C8"/>
                    <w:left w:val="nil"/>
                    <w:right w:val="nil"/>
                  </w:tcBorders>
                  <w:shd w:val="clear" w:color="auto" w:fill="auto"/>
                  <w:vAlign w:val="center"/>
                </w:tcPr>
                <w:p w:rsidR="001E6FB8" w:rsidRPr="00E141F1" w:rsidRDefault="001E6FB8" w:rsidP="001E6FB8">
                  <w:pPr>
                    <w:spacing w:line="240" w:lineRule="auto"/>
                    <w:rPr>
                      <w:rFonts w:cs="Arial"/>
                      <w:bCs/>
                      <w:color w:val="000000"/>
                      <w:sz w:val="18"/>
                      <w:szCs w:val="18"/>
                    </w:rPr>
                  </w:pPr>
                  <w:r w:rsidRPr="00E141F1">
                    <w:rPr>
                      <w:rFonts w:cs="Arial"/>
                      <w:bCs/>
                      <w:sz w:val="18"/>
                      <w:szCs w:val="18"/>
                    </w:rPr>
                    <w:t>Retail</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spacing w:line="240" w:lineRule="auto"/>
                    <w:rPr>
                      <w:rFonts w:cs="Arial"/>
                      <w:bCs/>
                      <w:color w:val="000000"/>
                      <w:sz w:val="18"/>
                      <w:szCs w:val="18"/>
                    </w:rPr>
                  </w:pPr>
                  <w:r w:rsidRPr="00E141F1">
                    <w:rPr>
                      <w:rFonts w:cs="Arial"/>
                      <w:bCs/>
                      <w:color w:val="000000"/>
                      <w:sz w:val="18"/>
                      <w:szCs w:val="18"/>
                    </w:rPr>
                    <w:t>3</w:t>
                  </w:r>
                </w:p>
              </w:tc>
              <w:tc>
                <w:tcPr>
                  <w:tcW w:w="8505" w:type="dxa"/>
                  <w:tcBorders>
                    <w:top w:val="single" w:sz="4" w:space="0" w:color="C8C8C8"/>
                    <w:left w:val="nil"/>
                    <w:right w:val="nil"/>
                  </w:tcBorders>
                  <w:shd w:val="clear" w:color="auto" w:fill="auto"/>
                  <w:vAlign w:val="center"/>
                </w:tcPr>
                <w:p w:rsidR="001E6FB8" w:rsidRPr="00E141F1" w:rsidRDefault="001E6FB8" w:rsidP="001E6FB8">
                  <w:pPr>
                    <w:spacing w:line="240" w:lineRule="auto"/>
                    <w:rPr>
                      <w:rFonts w:cs="Arial"/>
                      <w:bCs/>
                      <w:color w:val="000000"/>
                      <w:sz w:val="18"/>
                      <w:szCs w:val="18"/>
                    </w:rPr>
                  </w:pPr>
                  <w:r w:rsidRPr="00E141F1">
                    <w:rPr>
                      <w:rFonts w:cs="Arial"/>
                      <w:bCs/>
                      <w:sz w:val="18"/>
                      <w:szCs w:val="18"/>
                    </w:rPr>
                    <w:t>Finance</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spacing w:line="240" w:lineRule="auto"/>
                    <w:rPr>
                      <w:rFonts w:cs="Arial"/>
                      <w:bCs/>
                      <w:color w:val="000000"/>
                      <w:sz w:val="18"/>
                      <w:szCs w:val="18"/>
                    </w:rPr>
                  </w:pPr>
                  <w:r w:rsidRPr="00E141F1">
                    <w:rPr>
                      <w:rFonts w:cs="Arial"/>
                      <w:bCs/>
                      <w:color w:val="000000"/>
                      <w:sz w:val="18"/>
                      <w:szCs w:val="18"/>
                    </w:rPr>
                    <w:t>4</w:t>
                  </w:r>
                </w:p>
              </w:tc>
              <w:tc>
                <w:tcPr>
                  <w:tcW w:w="8505" w:type="dxa"/>
                  <w:tcBorders>
                    <w:top w:val="single" w:sz="4" w:space="0" w:color="C8C8C8"/>
                    <w:left w:val="nil"/>
                    <w:right w:val="nil"/>
                  </w:tcBorders>
                  <w:shd w:val="clear" w:color="auto" w:fill="auto"/>
                  <w:vAlign w:val="center"/>
                </w:tcPr>
                <w:p w:rsidR="001E6FB8" w:rsidRPr="00E141F1" w:rsidRDefault="001E6FB8" w:rsidP="001E6FB8">
                  <w:pPr>
                    <w:spacing w:line="240" w:lineRule="auto"/>
                    <w:rPr>
                      <w:rFonts w:cs="Arial"/>
                      <w:bCs/>
                      <w:color w:val="000000"/>
                      <w:sz w:val="18"/>
                      <w:szCs w:val="18"/>
                    </w:rPr>
                  </w:pPr>
                  <w:r w:rsidRPr="00E141F1">
                    <w:rPr>
                      <w:rFonts w:cs="Arial"/>
                      <w:bCs/>
                      <w:sz w:val="18"/>
                      <w:szCs w:val="18"/>
                    </w:rPr>
                    <w:t>Real estate</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spacing w:line="240" w:lineRule="auto"/>
                    <w:rPr>
                      <w:rFonts w:cs="Arial"/>
                      <w:bCs/>
                      <w:color w:val="000000"/>
                      <w:sz w:val="18"/>
                      <w:szCs w:val="18"/>
                    </w:rPr>
                  </w:pPr>
                  <w:r w:rsidRPr="00E141F1">
                    <w:rPr>
                      <w:rFonts w:cs="Arial"/>
                      <w:bCs/>
                      <w:color w:val="000000"/>
                      <w:sz w:val="18"/>
                      <w:szCs w:val="18"/>
                    </w:rPr>
                    <w:t>5</w:t>
                  </w:r>
                </w:p>
              </w:tc>
              <w:tc>
                <w:tcPr>
                  <w:tcW w:w="8505" w:type="dxa"/>
                  <w:tcBorders>
                    <w:top w:val="single" w:sz="4" w:space="0" w:color="C8C8C8"/>
                    <w:left w:val="nil"/>
                    <w:right w:val="nil"/>
                  </w:tcBorders>
                  <w:shd w:val="clear" w:color="auto" w:fill="auto"/>
                  <w:vAlign w:val="center"/>
                </w:tcPr>
                <w:p w:rsidR="001E6FB8" w:rsidRPr="00E141F1" w:rsidRDefault="001E6FB8" w:rsidP="001E6FB8">
                  <w:pPr>
                    <w:spacing w:line="240" w:lineRule="auto"/>
                    <w:rPr>
                      <w:rFonts w:cs="Arial"/>
                      <w:bCs/>
                      <w:color w:val="000000"/>
                      <w:sz w:val="18"/>
                      <w:szCs w:val="18"/>
                    </w:rPr>
                  </w:pPr>
                  <w:r w:rsidRPr="00E141F1">
                    <w:rPr>
                      <w:rFonts w:cs="Arial"/>
                      <w:bCs/>
                      <w:sz w:val="18"/>
                      <w:szCs w:val="18"/>
                    </w:rPr>
                    <w:t>Entertainment</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spacing w:line="240" w:lineRule="auto"/>
                    <w:rPr>
                      <w:rFonts w:cs="Arial"/>
                      <w:bCs/>
                      <w:color w:val="000000"/>
                      <w:sz w:val="18"/>
                      <w:szCs w:val="18"/>
                    </w:rPr>
                  </w:pPr>
                  <w:r w:rsidRPr="00E141F1">
                    <w:rPr>
                      <w:rFonts w:cs="Arial"/>
                      <w:bCs/>
                      <w:color w:val="000000"/>
                      <w:sz w:val="18"/>
                      <w:szCs w:val="18"/>
                    </w:rPr>
                    <w:t>6</w:t>
                  </w:r>
                </w:p>
              </w:tc>
              <w:tc>
                <w:tcPr>
                  <w:tcW w:w="8505" w:type="dxa"/>
                  <w:tcBorders>
                    <w:top w:val="single" w:sz="4" w:space="0" w:color="C8C8C8"/>
                    <w:left w:val="nil"/>
                    <w:right w:val="nil"/>
                  </w:tcBorders>
                  <w:shd w:val="clear" w:color="auto" w:fill="auto"/>
                  <w:vAlign w:val="center"/>
                </w:tcPr>
                <w:p w:rsidR="001E6FB8" w:rsidRPr="00E141F1" w:rsidRDefault="001E6FB8" w:rsidP="001E6FB8">
                  <w:pPr>
                    <w:spacing w:line="240" w:lineRule="auto"/>
                    <w:rPr>
                      <w:rFonts w:cs="Arial"/>
                      <w:bCs/>
                      <w:color w:val="000000"/>
                      <w:sz w:val="18"/>
                      <w:szCs w:val="18"/>
                    </w:rPr>
                  </w:pPr>
                  <w:r w:rsidRPr="00E141F1">
                    <w:rPr>
                      <w:rFonts w:cs="Arial"/>
                      <w:bCs/>
                      <w:sz w:val="18"/>
                      <w:szCs w:val="18"/>
                    </w:rPr>
                    <w:t>Telecommunications</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Pr="00E141F1" w:rsidRDefault="001E6FB8" w:rsidP="001E6FB8">
                  <w:pPr>
                    <w:spacing w:line="240" w:lineRule="auto"/>
                    <w:rPr>
                      <w:rFonts w:cs="Arial"/>
                      <w:bCs/>
                      <w:color w:val="000000"/>
                      <w:sz w:val="18"/>
                      <w:szCs w:val="18"/>
                    </w:rPr>
                  </w:pPr>
                  <w:r w:rsidRPr="00E141F1">
                    <w:rPr>
                      <w:rFonts w:cs="Arial"/>
                      <w:bCs/>
                      <w:color w:val="000000"/>
                      <w:sz w:val="18"/>
                      <w:szCs w:val="18"/>
                    </w:rPr>
                    <w:t>7</w:t>
                  </w:r>
                </w:p>
              </w:tc>
              <w:tc>
                <w:tcPr>
                  <w:tcW w:w="8505" w:type="dxa"/>
                  <w:tcBorders>
                    <w:top w:val="single" w:sz="4" w:space="0" w:color="C8C8C8"/>
                    <w:left w:val="nil"/>
                    <w:right w:val="nil"/>
                  </w:tcBorders>
                  <w:shd w:val="clear" w:color="auto" w:fill="auto"/>
                  <w:vAlign w:val="center"/>
                </w:tcPr>
                <w:p w:rsidR="001E6FB8" w:rsidRPr="00E141F1" w:rsidRDefault="001E6FB8" w:rsidP="001E6FB8">
                  <w:pPr>
                    <w:spacing w:line="240" w:lineRule="auto"/>
                    <w:rPr>
                      <w:rFonts w:cs="Arial"/>
                      <w:bCs/>
                      <w:color w:val="000000"/>
                      <w:sz w:val="18"/>
                      <w:szCs w:val="18"/>
                    </w:rPr>
                  </w:pPr>
                  <w:r w:rsidRPr="00E141F1">
                    <w:rPr>
                      <w:rFonts w:cs="Arial"/>
                      <w:bCs/>
                      <w:sz w:val="18"/>
                      <w:szCs w:val="18"/>
                    </w:rPr>
                    <w:t>IT &amp; C Marketing/Development</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Default="001E6FB8" w:rsidP="001E6FB8">
                  <w:pPr>
                    <w:spacing w:line="240" w:lineRule="auto"/>
                    <w:rPr>
                      <w:rFonts w:cs="Arial"/>
                      <w:bCs/>
                      <w:color w:val="000000"/>
                      <w:sz w:val="18"/>
                      <w:szCs w:val="18"/>
                    </w:rPr>
                  </w:pPr>
                  <w:r w:rsidRPr="00E141F1">
                    <w:rPr>
                      <w:rFonts w:cs="Arial"/>
                      <w:bCs/>
                      <w:color w:val="000000"/>
                      <w:sz w:val="18"/>
                      <w:szCs w:val="18"/>
                    </w:rPr>
                    <w:t>8</w:t>
                  </w:r>
                </w:p>
              </w:tc>
              <w:tc>
                <w:tcPr>
                  <w:tcW w:w="8505" w:type="dxa"/>
                  <w:tcBorders>
                    <w:top w:val="single" w:sz="4" w:space="0" w:color="C8C8C8"/>
                    <w:left w:val="nil"/>
                    <w:right w:val="nil"/>
                  </w:tcBorders>
                  <w:shd w:val="clear" w:color="auto" w:fill="auto"/>
                  <w:vAlign w:val="center"/>
                </w:tcPr>
                <w:p w:rsidR="001E6FB8" w:rsidRDefault="001E6FB8" w:rsidP="001E6FB8">
                  <w:pPr>
                    <w:spacing w:line="240" w:lineRule="auto"/>
                    <w:rPr>
                      <w:rFonts w:cs="Arial"/>
                      <w:bCs/>
                      <w:color w:val="000000"/>
                      <w:sz w:val="18"/>
                      <w:szCs w:val="18"/>
                    </w:rPr>
                  </w:pPr>
                  <w:r w:rsidRPr="00E141F1">
                    <w:rPr>
                      <w:rFonts w:cs="Arial"/>
                      <w:bCs/>
                      <w:sz w:val="18"/>
                      <w:szCs w:val="18"/>
                    </w:rPr>
                    <w:t>Advertising/Marketing</w:t>
                  </w:r>
                </w:p>
              </w:tc>
            </w:tr>
            <w:tr w:rsidR="001E6FB8" w:rsidRPr="00E141F1" w:rsidTr="001E6FB8">
              <w:trPr>
                <w:trHeight w:val="237"/>
              </w:trPr>
              <w:tc>
                <w:tcPr>
                  <w:tcW w:w="1105" w:type="dxa"/>
                  <w:tcBorders>
                    <w:top w:val="single" w:sz="4" w:space="0" w:color="C8C8C8"/>
                    <w:left w:val="nil"/>
                    <w:right w:val="nil"/>
                  </w:tcBorders>
                  <w:shd w:val="clear" w:color="auto" w:fill="auto"/>
                  <w:tcMar>
                    <w:left w:w="113" w:type="dxa"/>
                  </w:tcMar>
                  <w:vAlign w:val="center"/>
                </w:tcPr>
                <w:p w:rsidR="001E6FB8" w:rsidRDefault="001E6FB8" w:rsidP="001E6FB8">
                  <w:pPr>
                    <w:spacing w:line="240" w:lineRule="auto"/>
                    <w:rPr>
                      <w:rFonts w:cs="Arial"/>
                      <w:bCs/>
                      <w:color w:val="000000"/>
                      <w:sz w:val="18"/>
                      <w:szCs w:val="18"/>
                    </w:rPr>
                  </w:pPr>
                  <w:r w:rsidRPr="00E141F1">
                    <w:rPr>
                      <w:rFonts w:cs="Arial"/>
                      <w:bCs/>
                      <w:color w:val="000000"/>
                      <w:sz w:val="18"/>
                      <w:szCs w:val="18"/>
                    </w:rPr>
                    <w:t>9</w:t>
                  </w:r>
                </w:p>
              </w:tc>
              <w:tc>
                <w:tcPr>
                  <w:tcW w:w="8505" w:type="dxa"/>
                  <w:tcBorders>
                    <w:top w:val="single" w:sz="4" w:space="0" w:color="C8C8C8"/>
                    <w:left w:val="nil"/>
                    <w:right w:val="nil"/>
                  </w:tcBorders>
                  <w:shd w:val="clear" w:color="auto" w:fill="auto"/>
                  <w:vAlign w:val="center"/>
                </w:tcPr>
                <w:p w:rsidR="001E6FB8" w:rsidRDefault="001E6FB8" w:rsidP="001E6FB8">
                  <w:pPr>
                    <w:spacing w:line="240" w:lineRule="auto"/>
                    <w:rPr>
                      <w:rFonts w:cs="Arial"/>
                      <w:bCs/>
                      <w:color w:val="000000"/>
                      <w:sz w:val="18"/>
                      <w:szCs w:val="18"/>
                    </w:rPr>
                  </w:pPr>
                  <w:r w:rsidRPr="00E141F1">
                    <w:rPr>
                      <w:rFonts w:cs="Arial"/>
                      <w:bCs/>
                      <w:sz w:val="18"/>
                      <w:szCs w:val="18"/>
                    </w:rPr>
                    <w:t>Automotive</w:t>
                  </w:r>
                </w:p>
              </w:tc>
            </w:tr>
            <w:tr w:rsidR="001E6FB8" w:rsidRPr="00E141F1" w:rsidTr="001E6FB8">
              <w:trPr>
                <w:trHeight w:val="318"/>
              </w:trPr>
              <w:tc>
                <w:tcPr>
                  <w:tcW w:w="1105" w:type="dxa"/>
                  <w:tcBorders>
                    <w:top w:val="single" w:sz="4" w:space="0" w:color="C8C8C8"/>
                    <w:left w:val="nil"/>
                    <w:right w:val="nil"/>
                  </w:tcBorders>
                  <w:shd w:val="clear" w:color="auto" w:fill="auto"/>
                  <w:tcMar>
                    <w:left w:w="113" w:type="dxa"/>
                  </w:tcMar>
                  <w:vAlign w:val="center"/>
                </w:tcPr>
                <w:p w:rsidR="001E6FB8" w:rsidRDefault="001E6FB8" w:rsidP="001E6FB8">
                  <w:pPr>
                    <w:spacing w:line="240" w:lineRule="auto"/>
                    <w:rPr>
                      <w:rFonts w:cs="Arial"/>
                      <w:bCs/>
                      <w:color w:val="000000"/>
                      <w:sz w:val="18"/>
                      <w:szCs w:val="18"/>
                    </w:rPr>
                  </w:pPr>
                  <w:r w:rsidRPr="00E141F1">
                    <w:rPr>
                      <w:rFonts w:cs="Arial"/>
                      <w:bCs/>
                      <w:color w:val="000000"/>
                      <w:sz w:val="18"/>
                      <w:szCs w:val="18"/>
                    </w:rPr>
                    <w:t>10</w:t>
                  </w:r>
                </w:p>
              </w:tc>
              <w:tc>
                <w:tcPr>
                  <w:tcW w:w="8505" w:type="dxa"/>
                  <w:tcBorders>
                    <w:top w:val="single" w:sz="4" w:space="0" w:color="C8C8C8"/>
                    <w:left w:val="nil"/>
                    <w:right w:val="nil"/>
                  </w:tcBorders>
                  <w:shd w:val="clear" w:color="auto" w:fill="auto"/>
                  <w:vAlign w:val="center"/>
                </w:tcPr>
                <w:p w:rsidR="001E6FB8" w:rsidRDefault="001E6FB8" w:rsidP="001E6FB8">
                  <w:pPr>
                    <w:spacing w:line="240" w:lineRule="auto"/>
                    <w:rPr>
                      <w:rFonts w:cs="Arial"/>
                      <w:bCs/>
                      <w:sz w:val="18"/>
                      <w:szCs w:val="18"/>
                    </w:rPr>
                  </w:pPr>
                  <w:r w:rsidRPr="00E141F1">
                    <w:rPr>
                      <w:rFonts w:cs="Arial"/>
                      <w:bCs/>
                      <w:sz w:val="18"/>
                      <w:szCs w:val="18"/>
                    </w:rPr>
                    <w:t>Sports/Fitness</w:t>
                  </w:r>
                </w:p>
              </w:tc>
            </w:tr>
          </w:tbl>
          <w:p w:rsidR="001E6FB8" w:rsidRPr="00E141F1" w:rsidRDefault="001E6FB8" w:rsidP="001E6FB8">
            <w:pPr>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Default="001E6FB8" w:rsidP="001E6FB8">
            <w:pPr>
              <w:spacing w:before="120" w:after="60" w:line="240" w:lineRule="auto"/>
              <w:rPr>
                <w:rFonts w:cs="Arial"/>
                <w:i/>
                <w:sz w:val="16"/>
                <w:szCs w:val="16"/>
              </w:rPr>
            </w:pPr>
            <w:r w:rsidRPr="00E141F1">
              <w:rPr>
                <w:rFonts w:cs="Arial"/>
                <w:i/>
                <w:sz w:val="16"/>
                <w:szCs w:val="16"/>
              </w:rPr>
              <w:t>Source: The ACMA.</w:t>
            </w:r>
          </w:p>
        </w:tc>
      </w:tr>
    </w:tbl>
    <w:p w:rsidR="001E6FB8" w:rsidRPr="00E141F1" w:rsidRDefault="001E6FB8" w:rsidP="001E6FB8">
      <w:pPr>
        <w:rPr>
          <w:rFonts w:cs="Arial"/>
        </w:rPr>
      </w:pPr>
    </w:p>
    <w:p w:rsidR="001E6FB8" w:rsidRPr="00E141F1" w:rsidRDefault="001E6FB8" w:rsidP="001E6FB8">
      <w:pPr>
        <w:rPr>
          <w:rFonts w:cs="Arial"/>
        </w:rPr>
      </w:pPr>
      <w:r w:rsidRPr="00E141F1">
        <w:rPr>
          <w:rFonts w:cs="Arial"/>
        </w:rPr>
        <w:t>E-business and online stores have attracted the most complaints in the financial year, growing 17 per cent on the previous year, most likely reflecting a shift from traditional retail environments. In 2012–13, many large mainstream retailers participated in online marketing events such as ‘Click Frenzy’ to promote and sell online, with e-marketing operating as an important promotional tool. However, the ACMA has observed that not all customers respond positively and that they are suffering from ‘e-marketing fatigue’ as a result of the frequent messages some members of this industry send. The main compliance issues identified in the complaints were problems with consent and failure to action requests to unsubscribe, which resulted in the ACMA conducting two investigations into e-businesses and online stores in 2012–13.</w:t>
      </w:r>
      <w:r>
        <w:rPr>
          <w:rFonts w:cs="Arial"/>
        </w:rPr>
        <w:t xml:space="preserve"> </w:t>
      </w:r>
      <w:r w:rsidRPr="00E141F1">
        <w:rPr>
          <w:rFonts w:cs="Arial"/>
        </w:rPr>
        <w:t xml:space="preserv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ACMA’s e-market</w:t>
      </w:r>
      <w:r>
        <w:rPr>
          <w:rFonts w:cs="Arial"/>
        </w:rPr>
        <w:t xml:space="preserve">ing blog program </w:t>
      </w:r>
      <w:r w:rsidRPr="00410621">
        <w:rPr>
          <w:rFonts w:cs="Arial"/>
          <w:i/>
        </w:rPr>
        <w:t>Successful e-marketing ... it’s about reputation</w:t>
      </w:r>
      <w:r w:rsidRPr="00E141F1">
        <w:rPr>
          <w:rFonts w:cs="Arial"/>
        </w:rPr>
        <w:t xml:space="preserve"> in 2012–13 encourages best practice compliance for all industry, but it has a special focus on the e-business and online stores sector.</w:t>
      </w:r>
      <w:r>
        <w:rPr>
          <w:rFonts w:cs="Arial"/>
        </w:rPr>
        <w:t xml:space="preserve"> </w:t>
      </w:r>
      <w:r w:rsidRPr="00E141F1">
        <w:rPr>
          <w:rFonts w:cs="Arial"/>
        </w:rPr>
        <w:t>A blog released in November 2012, for example, encouraged best practice consent in the lead up to the ‘Click Frenzy’ event.</w:t>
      </w:r>
      <w:r w:rsidRPr="00E141F1">
        <w:rPr>
          <w:rStyle w:val="EndnoteReference"/>
          <w:rFonts w:cs="Arial"/>
        </w:rPr>
        <w:endnoteReference w:id="36"/>
      </w:r>
      <w:r w:rsidRPr="00E141F1">
        <w:rPr>
          <w:rFonts w:cs="Arial"/>
        </w:rPr>
        <w:t xml:space="preserve"> Around 600 e-marketers across all industries are directed to the ACMA’s </w:t>
      </w:r>
      <w:r>
        <w:rPr>
          <w:rFonts w:cs="Arial"/>
        </w:rPr>
        <w:br/>
      </w:r>
      <w:r w:rsidRPr="00E141F1">
        <w:rPr>
          <w:rFonts w:cs="Arial"/>
        </w:rPr>
        <w:t>e-marketing blog each month making this an effective mechanism to educate and address compliance.</w:t>
      </w:r>
    </w:p>
    <w:p w:rsidR="001E6FB8" w:rsidRPr="00E141F1" w:rsidRDefault="001E6FB8" w:rsidP="001E6FB8"/>
    <w:p w:rsidR="001E6FB8" w:rsidRPr="00E141F1" w:rsidRDefault="001E6FB8" w:rsidP="001E6FB8">
      <w:r w:rsidRPr="00E141F1">
        <w:t>Other industry sectors that featured prominently in complaints were the finance and advertising/marketing industries. Two investigations were conducted in 2012–13 that related to these sectors.</w:t>
      </w:r>
      <w:r>
        <w:t xml:space="preserve"> </w:t>
      </w:r>
      <w:r w:rsidRPr="00E141F1">
        <w:t xml:space="preserve"> </w:t>
      </w:r>
    </w:p>
    <w:p w:rsidR="001E6FB8" w:rsidRDefault="001E6FB8" w:rsidP="001E6FB8"/>
    <w:p w:rsidR="001E6FB8" w:rsidRPr="00E141F1" w:rsidRDefault="001E6FB8" w:rsidP="001E6FB8">
      <w:pPr>
        <w:pStyle w:val="Heading2"/>
      </w:pPr>
      <w:bookmarkStart w:id="469" w:name="_Toc371589078"/>
      <w:bookmarkStart w:id="470" w:name="_Toc373149140"/>
      <w:proofErr w:type="spellStart"/>
      <w:r w:rsidRPr="00E141F1">
        <w:t>Cybersecurity</w:t>
      </w:r>
      <w:bookmarkEnd w:id="469"/>
      <w:bookmarkEnd w:id="470"/>
      <w:proofErr w:type="spellEnd"/>
    </w:p>
    <w:p w:rsidR="001E6FB8" w:rsidRPr="00E141F1" w:rsidRDefault="001E6FB8" w:rsidP="001E6FB8">
      <w:pPr>
        <w:rPr>
          <w:rFonts w:cs="Arial"/>
        </w:rPr>
      </w:pPr>
      <w:r w:rsidRPr="00E141F1">
        <w:rPr>
          <w:rFonts w:cs="Arial"/>
        </w:rPr>
        <w:t xml:space="preserve">During 2012–13, the Internet Industry Association of Australia (IIA) continued its review of the </w:t>
      </w:r>
      <w:proofErr w:type="spellStart"/>
      <w:r w:rsidRPr="00E141F1">
        <w:rPr>
          <w:rFonts w:cs="Arial"/>
        </w:rPr>
        <w:t>icode</w:t>
      </w:r>
      <w:proofErr w:type="spellEnd"/>
      <w:r w:rsidRPr="00E141F1">
        <w:rPr>
          <w:rFonts w:cs="Arial"/>
        </w:rPr>
        <w:t xml:space="preserve">, a voluntary ISP code of practice aimed at promoting a security culture within the Australian internet industry. The </w:t>
      </w:r>
      <w:proofErr w:type="spellStart"/>
      <w:r w:rsidRPr="00E141F1">
        <w:rPr>
          <w:rFonts w:cs="Arial"/>
        </w:rPr>
        <w:t>icode</w:t>
      </w:r>
      <w:proofErr w:type="spellEnd"/>
      <w:r w:rsidRPr="00E141F1">
        <w:rPr>
          <w:rFonts w:cs="Arial"/>
        </w:rPr>
        <w:t xml:space="preserve">, which commenced operating on 1 December 2010, is designed to provide a consistent approach for Australian ISPs to help inform, educate and protect their customers against </w:t>
      </w:r>
      <w:proofErr w:type="spellStart"/>
      <w:r w:rsidRPr="00E141F1">
        <w:rPr>
          <w:rFonts w:cs="Arial"/>
        </w:rPr>
        <w:t>cybersecurity</w:t>
      </w:r>
      <w:proofErr w:type="spellEnd"/>
      <w:r w:rsidRPr="00E141F1">
        <w:rPr>
          <w:rFonts w:cs="Arial"/>
        </w:rPr>
        <w:t xml:space="preserve"> risks. At 30 June 2013, 34 Australian internet providers had confirmed to the IIA that they were ‘</w:t>
      </w:r>
      <w:proofErr w:type="spellStart"/>
      <w:r w:rsidRPr="00E141F1">
        <w:rPr>
          <w:rFonts w:cs="Arial"/>
        </w:rPr>
        <w:t>icode</w:t>
      </w:r>
      <w:proofErr w:type="spellEnd"/>
      <w:r w:rsidRPr="00E141F1">
        <w:rPr>
          <w:rFonts w:cs="Arial"/>
        </w:rPr>
        <w:t xml:space="preserve"> compliant’.</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A key objective of the </w:t>
      </w:r>
      <w:proofErr w:type="spellStart"/>
      <w:r w:rsidRPr="00E141F1">
        <w:rPr>
          <w:rFonts w:cs="Arial"/>
        </w:rPr>
        <w:t>icode</w:t>
      </w:r>
      <w:proofErr w:type="spellEnd"/>
      <w:r w:rsidRPr="00E141F1">
        <w:rPr>
          <w:rFonts w:cs="Arial"/>
        </w:rPr>
        <w:t xml:space="preserve"> is to reduce the number of compromised computers in Australia. Compromised computers often form into ‘</w:t>
      </w:r>
      <w:proofErr w:type="spellStart"/>
      <w:r w:rsidRPr="00E141F1">
        <w:rPr>
          <w:rFonts w:cs="Arial"/>
        </w:rPr>
        <w:t>botnets</w:t>
      </w:r>
      <w:proofErr w:type="spellEnd"/>
      <w:r w:rsidRPr="00E141F1">
        <w:rPr>
          <w:rFonts w:cs="Arial"/>
        </w:rPr>
        <w:t>’—networks of computing devices that have become compromised through the surreptitious installation of malicious software (malware). This malware enables these devices to be controlled remotely for illegal and harmful activities, including disseminating spam, hosting of ‘phishing’ sites and distributing denial of service attacks on internet infrastructure.</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w:t>
      </w:r>
      <w:proofErr w:type="spellStart"/>
      <w:r w:rsidRPr="00E141F1">
        <w:rPr>
          <w:rFonts w:cs="Arial"/>
        </w:rPr>
        <w:t>icode</w:t>
      </w:r>
      <w:proofErr w:type="spellEnd"/>
      <w:r w:rsidRPr="00E141F1">
        <w:rPr>
          <w:rFonts w:cs="Arial"/>
        </w:rPr>
        <w:t xml:space="preserve"> is supported by the ACMA’s Australian Internet Security Initiative (AISI) program, which provides daily reports to AISI participants—Australian ISPs and universities—about ‘infected’ computing devices residing on their networks. When they receive a report of an infection, AISI participants are expected to contact their customers, inform them that their computing devices are infected and provide information to help restore these devices to safe operation.</w:t>
      </w:r>
    </w:p>
    <w:p w:rsidR="001E6FB8" w:rsidRPr="00E141F1" w:rsidRDefault="001E6FB8" w:rsidP="001E6FB8">
      <w:pPr>
        <w:rPr>
          <w:rFonts w:cs="Arial"/>
        </w:rPr>
      </w:pPr>
    </w:p>
    <w:p w:rsidR="001E6FB8" w:rsidRPr="00E141F1" w:rsidRDefault="001E6FB8" w:rsidP="001E6FB8">
      <w:pPr>
        <w:rPr>
          <w:rFonts w:cs="Arial"/>
        </w:rPr>
      </w:pPr>
      <w:r w:rsidRPr="00E141F1">
        <w:rPr>
          <w:rFonts w:cs="Arial"/>
        </w:rPr>
        <w:t>At 30 June 2013, there were 133 participants in the AISI, with these participants covering around 98 per cent of allocated Australian IP address ranges. The average number of reports provided to ISPs per day in 2012–13 was 16,034, compared to 16,517 in 2011–12.</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A separate </w:t>
      </w:r>
      <w:proofErr w:type="spellStart"/>
      <w:r w:rsidRPr="00E141F1">
        <w:rPr>
          <w:rFonts w:cs="Arial"/>
        </w:rPr>
        <w:t>cybersecurity</w:t>
      </w:r>
      <w:proofErr w:type="spellEnd"/>
      <w:r w:rsidRPr="00E141F1">
        <w:rPr>
          <w:rFonts w:cs="Arial"/>
        </w:rPr>
        <w:t xml:space="preserve"> activity of the ACMA in 2012–13 was the expansion of its automated system for reporting suspected ‘phishing’ URLs extracted from spam emails reported to the ACMA. Phishing emails direct internet users to fraudulent websites that represent themselves as belonging to legitimate businesses, such as banks. Their main function is to obtain financial and personal information from unsuspecting internet users for criminal purposes.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Recipients of the ACMA’s phishing reports include the Australian Tax Office, </w:t>
      </w:r>
      <w:proofErr w:type="spellStart"/>
      <w:r w:rsidRPr="00E141F1">
        <w:rPr>
          <w:rFonts w:cs="Arial"/>
        </w:rPr>
        <w:t>Facebook</w:t>
      </w:r>
      <w:proofErr w:type="spellEnd"/>
      <w:r w:rsidRPr="00E141F1">
        <w:rPr>
          <w:rFonts w:cs="Arial"/>
        </w:rPr>
        <w:t>, Telstra and a number of major financial institutions. Approximately 33,600 reports of suspected phishing URLs were provided to these organisations in 2012–13. To assist the early shutdown of these malicious websites, the reports are provided a few minutes after the spam is reported to the ACMA.</w:t>
      </w:r>
    </w:p>
    <w:p w:rsidR="001E6FB8" w:rsidRPr="00E141F1" w:rsidRDefault="001E6FB8" w:rsidP="001E6FB8">
      <w:pPr>
        <w:rPr>
          <w:rFonts w:cs="Arial"/>
        </w:rPr>
      </w:pPr>
    </w:p>
    <w:p w:rsidR="001E6FB8" w:rsidRPr="00E141F1" w:rsidRDefault="001E6FB8" w:rsidP="001E6FB8">
      <w:pPr>
        <w:pStyle w:val="Heading2"/>
      </w:pPr>
      <w:bookmarkStart w:id="471" w:name="_Toc371589079"/>
      <w:bookmarkStart w:id="472" w:name="_Toc373149141"/>
      <w:r w:rsidRPr="00E141F1">
        <w:t>Telecommunications codes—development and review</w:t>
      </w:r>
      <w:bookmarkEnd w:id="471"/>
      <w:bookmarkEnd w:id="472"/>
    </w:p>
    <w:p w:rsidR="001E6FB8" w:rsidRDefault="001E6FB8" w:rsidP="001E6FB8">
      <w:pPr>
        <w:spacing w:after="80"/>
        <w:rPr>
          <w:rFonts w:cs="Arial"/>
        </w:rPr>
      </w:pPr>
      <w:r w:rsidRPr="00E141F1">
        <w:rPr>
          <w:rFonts w:cs="Arial"/>
        </w:rPr>
        <w:t>Under Part 6 of the Act, the ACMA may register codes developed by industry bodies. At 30 June 2013, 22 codes were registered, comprising:</w:t>
      </w:r>
    </w:p>
    <w:p w:rsidR="001E6FB8" w:rsidRPr="00E141F1" w:rsidRDefault="001E6FB8" w:rsidP="001E6FB8">
      <w:pPr>
        <w:pStyle w:val="ListBullet"/>
        <w:rPr>
          <w:rFonts w:cs="Arial"/>
        </w:rPr>
      </w:pPr>
      <w:r w:rsidRPr="00E141F1">
        <w:rPr>
          <w:rFonts w:cs="Arial"/>
        </w:rPr>
        <w:t xml:space="preserve">19 codes developed by CA </w:t>
      </w:r>
    </w:p>
    <w:p w:rsidR="001E6FB8" w:rsidRPr="00E141F1" w:rsidRDefault="001E6FB8" w:rsidP="001E6FB8">
      <w:pPr>
        <w:pStyle w:val="ListBullet"/>
        <w:rPr>
          <w:rFonts w:cs="Arial"/>
        </w:rPr>
      </w:pPr>
      <w:r w:rsidRPr="00E141F1">
        <w:rPr>
          <w:rFonts w:cs="Arial"/>
        </w:rPr>
        <w:t>the Cabling Requirements for Business Code, developed by the Cabling Industry Committee</w:t>
      </w:r>
    </w:p>
    <w:p w:rsidR="001E6FB8" w:rsidRPr="00E141F1" w:rsidRDefault="001E6FB8" w:rsidP="001E6FB8">
      <w:pPr>
        <w:pStyle w:val="ListBullet"/>
        <w:rPr>
          <w:rFonts w:cs="Arial"/>
        </w:rPr>
      </w:pPr>
      <w:r w:rsidRPr="00E141F1">
        <w:rPr>
          <w:rFonts w:cs="Arial"/>
        </w:rPr>
        <w:t xml:space="preserve">the Australian </w:t>
      </w:r>
      <w:proofErr w:type="spellStart"/>
      <w:r w:rsidRPr="00E141F1">
        <w:rPr>
          <w:rFonts w:cs="Arial"/>
        </w:rPr>
        <w:t>eMarketing</w:t>
      </w:r>
      <w:proofErr w:type="spellEnd"/>
      <w:r w:rsidRPr="00E141F1">
        <w:rPr>
          <w:rFonts w:cs="Arial"/>
        </w:rPr>
        <w:t xml:space="preserve"> Code of Practice, developed by the Australian Direct Marketing Association</w:t>
      </w:r>
    </w:p>
    <w:p w:rsidR="001E6FB8" w:rsidRPr="00E141F1" w:rsidRDefault="001E6FB8" w:rsidP="001E6FB8">
      <w:pPr>
        <w:pStyle w:val="ListBullet"/>
        <w:spacing w:after="240"/>
        <w:rPr>
          <w:rFonts w:cs="Arial"/>
        </w:rPr>
      </w:pPr>
      <w:r w:rsidRPr="00E141F1">
        <w:rPr>
          <w:rFonts w:cs="Arial"/>
        </w:rPr>
        <w:t>the Internet Industry Spam Code of Practice, developed by the Internet Industry Association with the Western Australian and South Australian internet associations.</w:t>
      </w:r>
    </w:p>
    <w:p w:rsidR="001E6FB8" w:rsidRDefault="001E6FB8" w:rsidP="001E6FB8">
      <w:pPr>
        <w:keepNext/>
        <w:spacing w:after="80"/>
        <w:rPr>
          <w:rFonts w:cs="Arial"/>
        </w:rPr>
      </w:pPr>
      <w:r w:rsidRPr="00E141F1">
        <w:rPr>
          <w:rFonts w:cs="Arial"/>
        </w:rPr>
        <w:t>CA revised the following industry codes in 2012–13:</w:t>
      </w:r>
    </w:p>
    <w:p w:rsidR="001E6FB8" w:rsidRPr="00E141F1" w:rsidRDefault="001E6FB8" w:rsidP="001E6FB8">
      <w:pPr>
        <w:pStyle w:val="ListBullet"/>
        <w:keepNext/>
        <w:rPr>
          <w:rFonts w:cs="Arial"/>
        </w:rPr>
      </w:pPr>
      <w:r w:rsidRPr="00E141F1">
        <w:rPr>
          <w:rFonts w:cs="Arial"/>
        </w:rPr>
        <w:t>C628:2012 Telecommunications Consumer Protections Code—registered 1</w:t>
      </w:r>
      <w:r>
        <w:rPr>
          <w:rFonts w:cs="Arial"/>
        </w:rPr>
        <w:t> </w:t>
      </w:r>
      <w:r w:rsidRPr="00E141F1">
        <w:rPr>
          <w:rFonts w:cs="Arial"/>
        </w:rPr>
        <w:t>September 2012</w:t>
      </w:r>
    </w:p>
    <w:p w:rsidR="001E6FB8" w:rsidRPr="00E141F1" w:rsidRDefault="001E6FB8" w:rsidP="001E6FB8">
      <w:pPr>
        <w:pStyle w:val="ListBullet"/>
        <w:spacing w:after="240"/>
        <w:rPr>
          <w:rFonts w:cs="Arial"/>
        </w:rPr>
      </w:pPr>
      <w:r w:rsidRPr="00E141F1">
        <w:rPr>
          <w:rFonts w:cs="Arial"/>
        </w:rPr>
        <w:t>C564:2011 Mobile Base Station Deployment Code—registered 1 July 2012.</w:t>
      </w:r>
    </w:p>
    <w:p w:rsidR="001E6FB8" w:rsidRPr="00E141F1" w:rsidRDefault="001E6FB8" w:rsidP="001E6FB8">
      <w:pPr>
        <w:pStyle w:val="Heading2"/>
      </w:pPr>
      <w:bookmarkStart w:id="473" w:name="_Toc371589080"/>
      <w:bookmarkStart w:id="474" w:name="_Toc373149142"/>
      <w:r w:rsidRPr="00E141F1">
        <w:t>Industry compliance with telecommunications codes</w:t>
      </w:r>
      <w:bookmarkEnd w:id="473"/>
      <w:bookmarkEnd w:id="474"/>
    </w:p>
    <w:p w:rsidR="001E6FB8" w:rsidRDefault="001E6FB8" w:rsidP="001E6FB8">
      <w:bookmarkStart w:id="475" w:name="_Toc308517250"/>
      <w:bookmarkStart w:id="476" w:name="_Toc308523690"/>
      <w:bookmarkStart w:id="477" w:name="_Toc312157205"/>
      <w:bookmarkStart w:id="478" w:name="_Toc341428402"/>
      <w:r w:rsidRPr="008D0C70">
        <w:t xml:space="preserve">The ACMA has the power to conduct investigations into certain matters under Part 26 of the Act, including where the ACMA believes that there has been a contravention of a code registered under Part 6 of the Act. In 2012–13, the ACMA conducted 280 preliminary enquiries and commenced nine investigations into compliance with the Telecommunications Consumer Protections Code (TCP Code). </w:t>
      </w:r>
    </w:p>
    <w:bookmarkEnd w:id="475"/>
    <w:bookmarkEnd w:id="476"/>
    <w:bookmarkEnd w:id="477"/>
    <w:bookmarkEnd w:id="478"/>
    <w:p w:rsidR="001E6FB8" w:rsidRDefault="001E6FB8" w:rsidP="001E6FB8"/>
    <w:p w:rsidR="001E6FB8" w:rsidRPr="00E141F1" w:rsidRDefault="001E6FB8" w:rsidP="001E6FB8">
      <w:pPr>
        <w:pStyle w:val="Heading3"/>
      </w:pPr>
      <w:bookmarkStart w:id="479" w:name="_Toc371589081"/>
      <w:bookmarkStart w:id="480" w:name="_Toc373149143"/>
      <w:r w:rsidRPr="00E141F1">
        <w:t>AAPT investigation</w:t>
      </w:r>
      <w:bookmarkEnd w:id="479"/>
      <w:bookmarkEnd w:id="480"/>
    </w:p>
    <w:p w:rsidR="001E6FB8" w:rsidRPr="00E141F1" w:rsidRDefault="001E6FB8" w:rsidP="001E6FB8">
      <w:pPr>
        <w:rPr>
          <w:rFonts w:cs="Arial"/>
        </w:rPr>
      </w:pPr>
      <w:r w:rsidRPr="00E141F1">
        <w:rPr>
          <w:rFonts w:cs="Arial"/>
        </w:rPr>
        <w:t>Following media reports in July 2012 of a security incident involving AAPT customer information being stolen, the ACMA commenced an investigation. It found that AAPT failed to protect the privacy of its customers’ personal information as required by the TCP Code 2007.</w:t>
      </w:r>
    </w:p>
    <w:p w:rsidR="001E6FB8" w:rsidRPr="00E141F1" w:rsidRDefault="001E6FB8" w:rsidP="001E6FB8">
      <w:pPr>
        <w:rPr>
          <w:rFonts w:cs="Arial"/>
        </w:rPr>
      </w:pPr>
    </w:p>
    <w:p w:rsidR="001E6FB8" w:rsidRPr="00E141F1" w:rsidRDefault="001E6FB8" w:rsidP="001E6FB8">
      <w:pPr>
        <w:rPr>
          <w:rFonts w:cs="Arial"/>
        </w:rPr>
      </w:pPr>
      <w:r w:rsidRPr="00E141F1">
        <w:rPr>
          <w:rFonts w:cs="Arial"/>
        </w:rPr>
        <w:t>In particular, AAPT did not protect the personal information of some of its small business customers whose billing and related personal information it had collected. The personal information was stored in a server offsite managed by a third party, and was the subject of a hacking incident.</w:t>
      </w:r>
    </w:p>
    <w:p w:rsidR="001E6FB8" w:rsidRPr="00E141F1" w:rsidRDefault="001E6FB8" w:rsidP="001E6FB8">
      <w:pPr>
        <w:rPr>
          <w:rFonts w:cs="Arial"/>
        </w:rPr>
      </w:pPr>
    </w:p>
    <w:p w:rsidR="001E6FB8" w:rsidRPr="00E141F1" w:rsidRDefault="001E6FB8" w:rsidP="001E6FB8">
      <w:pPr>
        <w:rPr>
          <w:rFonts w:cs="Arial"/>
        </w:rPr>
      </w:pPr>
      <w:r w:rsidRPr="00E141F1">
        <w:rPr>
          <w:rFonts w:cs="Arial"/>
        </w:rPr>
        <w:t>AAPT received a formal warning under section 122(2) of the Act for contravening clause 6.8.1 of the TCP Code 2007, which was in place at the time of the incident.</w:t>
      </w:r>
      <w:r w:rsidRPr="00E141F1">
        <w:rPr>
          <w:rStyle w:val="EndnoteReference"/>
          <w:rFonts w:cs="Arial"/>
        </w:rPr>
        <w:endnoteReference w:id="37"/>
      </w:r>
      <w:r w:rsidRPr="00E141F1">
        <w:rPr>
          <w:rFonts w:cs="Arial"/>
        </w:rPr>
        <w:t xml:space="preserve"> </w:t>
      </w:r>
    </w:p>
    <w:p w:rsidR="001E6FB8" w:rsidRDefault="001E6FB8" w:rsidP="001E6FB8"/>
    <w:p w:rsidR="001E6FB8" w:rsidRPr="00E141F1" w:rsidRDefault="001E6FB8" w:rsidP="001E6FB8">
      <w:pPr>
        <w:pStyle w:val="Heading3"/>
      </w:pPr>
      <w:bookmarkStart w:id="481" w:name="_Toc371589082"/>
      <w:bookmarkStart w:id="482" w:name="_Toc373149144"/>
      <w:r w:rsidRPr="00E141F1">
        <w:t>Telstra—international roaming investigation</w:t>
      </w:r>
      <w:bookmarkEnd w:id="481"/>
      <w:bookmarkEnd w:id="482"/>
    </w:p>
    <w:p w:rsidR="001E6FB8" w:rsidRPr="00E141F1" w:rsidRDefault="001E6FB8" w:rsidP="001E6FB8">
      <w:pPr>
        <w:rPr>
          <w:rFonts w:cs="Arial"/>
        </w:rPr>
      </w:pPr>
      <w:r w:rsidRPr="00E141F1">
        <w:rPr>
          <w:rFonts w:cs="Arial"/>
        </w:rPr>
        <w:t>Telstra contacted the ACMA on 22 November 2012 to advise that it identified in April 2012 that it had overcharged 260,165 consumers a total of $30 million for international data roaming sessions. The overcharging began in October 2006 and the median amount overcharged was $4.50. Telstra became aware of the issue during an investigation into an international roaming customer billing complaint. Upon discovering that the customer in question had been charged multiple session flag fall fees for a single session, Telstra initiated a wider investigation and audit.</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ACMA commenced an investigation into Telstra’s compliance with the TCP Code on 30 November 2012. It found that from February 2009, Telstra contravened clause 6.4.1 of the TCP Code 2007 because Telstra failed to take appropriate action to ensure that it verified and demonstrated billing accuracy after receiving complaints about inaccurate billing for international data roaming sessions. </w:t>
      </w:r>
    </w:p>
    <w:p w:rsidR="001E6FB8" w:rsidRPr="00E141F1" w:rsidRDefault="001E6FB8" w:rsidP="001E6FB8">
      <w:pPr>
        <w:pStyle w:val="Default"/>
        <w:rPr>
          <w:color w:val="auto"/>
          <w:sz w:val="20"/>
        </w:rPr>
      </w:pPr>
    </w:p>
    <w:p w:rsidR="001E6FB8" w:rsidRPr="00E141F1" w:rsidRDefault="001E6FB8" w:rsidP="001E6FB8">
      <w:pPr>
        <w:rPr>
          <w:rFonts w:cs="Arial"/>
        </w:rPr>
      </w:pPr>
      <w:r w:rsidRPr="00E141F1">
        <w:rPr>
          <w:rFonts w:cs="Arial"/>
        </w:rPr>
        <w:t xml:space="preserve">Had the TCP Code 2012 been in force at the time, the same conduct would have contravened clause 5.5.1 given that this provision is almost identical to clause 6.4.1 of the TCP Code 2007 and the minor differences are not material to the factual circumstances of the present case.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ACMA is satisfied that Telstra is now compliant with clauses 5.5.1 and 5.5.2 of the TCP Code 2012 in relation to billing for international data roaming sessions.</w:t>
      </w:r>
    </w:p>
    <w:p w:rsidR="001E6FB8" w:rsidRDefault="001E6FB8" w:rsidP="001E6FB8">
      <w:bookmarkStart w:id="483" w:name="_Toc341428403"/>
    </w:p>
    <w:p w:rsidR="001E6FB8" w:rsidRPr="00E141F1" w:rsidRDefault="001E6FB8" w:rsidP="001E6FB8">
      <w:pPr>
        <w:pStyle w:val="Heading3"/>
      </w:pPr>
      <w:bookmarkStart w:id="484" w:name="_Toc371589083"/>
      <w:bookmarkStart w:id="485" w:name="_Toc373149145"/>
      <w:proofErr w:type="spellStart"/>
      <w:r w:rsidRPr="00E141F1">
        <w:t>Startel</w:t>
      </w:r>
      <w:proofErr w:type="spellEnd"/>
      <w:r w:rsidRPr="00E141F1">
        <w:t xml:space="preserve"> investigation</w:t>
      </w:r>
      <w:bookmarkEnd w:id="484"/>
      <w:bookmarkEnd w:id="485"/>
    </w:p>
    <w:p w:rsidR="001E6FB8" w:rsidRPr="00E141F1" w:rsidRDefault="001E6FB8" w:rsidP="001E6FB8">
      <w:pPr>
        <w:rPr>
          <w:rFonts w:cs="Arial"/>
        </w:rPr>
      </w:pPr>
      <w:r w:rsidRPr="00E141F1">
        <w:rPr>
          <w:rFonts w:cs="Arial"/>
        </w:rPr>
        <w:t xml:space="preserve">On 12 June 2012, the ACMA commenced an investigation into </w:t>
      </w:r>
      <w:proofErr w:type="spellStart"/>
      <w:r w:rsidRPr="00E141F1">
        <w:rPr>
          <w:rFonts w:cs="Arial"/>
        </w:rPr>
        <w:t>Startel’s</w:t>
      </w:r>
      <w:proofErr w:type="spellEnd"/>
      <w:r w:rsidRPr="00E141F1">
        <w:rPr>
          <w:rFonts w:cs="Arial"/>
        </w:rPr>
        <w:t xml:space="preserve"> compliance with the TCP Code 2007 and the C518:2006 Call Charging and Billing Accuracy Code (the CCBA Code). This investigation resulted from </w:t>
      </w:r>
      <w:proofErr w:type="spellStart"/>
      <w:r w:rsidRPr="00E141F1">
        <w:rPr>
          <w:rFonts w:cs="Arial"/>
        </w:rPr>
        <w:t>Startel’s</w:t>
      </w:r>
      <w:proofErr w:type="spellEnd"/>
      <w:r w:rsidRPr="00E141F1">
        <w:rPr>
          <w:rFonts w:cs="Arial"/>
        </w:rPr>
        <w:t xml:space="preserve"> voluntary admission to the ACMA of a billing system error that was rectified within 24 hours of being identified.</w:t>
      </w:r>
    </w:p>
    <w:p w:rsidR="001E6FB8" w:rsidRPr="00E141F1" w:rsidRDefault="001E6FB8" w:rsidP="001E6FB8">
      <w:pPr>
        <w:rPr>
          <w:rFonts w:cs="Arial"/>
        </w:rPr>
      </w:pPr>
    </w:p>
    <w:p w:rsidR="001E6FB8" w:rsidRPr="00E141F1" w:rsidRDefault="001E6FB8" w:rsidP="001E6FB8">
      <w:r w:rsidRPr="00E141F1">
        <w:t xml:space="preserve">It found that </w:t>
      </w:r>
      <w:proofErr w:type="spellStart"/>
      <w:r w:rsidRPr="00E141F1">
        <w:t>Startel</w:t>
      </w:r>
      <w:proofErr w:type="spellEnd"/>
      <w:r w:rsidRPr="00E141F1">
        <w:t xml:space="preserve"> had contravened clause 6.4.1 of the TCP Code 2007 for not ensuring that it could verify and demonstrate billing accuracy, and clause 4.2 of the CCBA Code by failing to have a test plan in place.</w:t>
      </w:r>
    </w:p>
    <w:p w:rsidR="001E6FB8" w:rsidRPr="00E141F1" w:rsidRDefault="001E6FB8" w:rsidP="001E6FB8"/>
    <w:p w:rsidR="001E6FB8" w:rsidRPr="00E141F1" w:rsidRDefault="001E6FB8" w:rsidP="001E6FB8">
      <w:proofErr w:type="spellStart"/>
      <w:r w:rsidRPr="00E141F1">
        <w:t>Startel</w:t>
      </w:r>
      <w:proofErr w:type="spellEnd"/>
      <w:r w:rsidRPr="00E141F1">
        <w:t xml:space="preserve"> has now entered into a deed with the ACMA, which requires the provider to reimburse all the customers affected by its billing error and to provide regular reports to the ACMA on the progress of the reimbursements.</w:t>
      </w:r>
    </w:p>
    <w:bookmarkEnd w:id="483"/>
    <w:p w:rsidR="001E6FB8" w:rsidRDefault="001E6FB8" w:rsidP="001E6FB8"/>
    <w:p w:rsidR="001E6FB8" w:rsidRPr="00E141F1" w:rsidRDefault="001E6FB8" w:rsidP="001E6FB8">
      <w:pPr>
        <w:pStyle w:val="Heading3"/>
      </w:pPr>
      <w:bookmarkStart w:id="486" w:name="_Toc371589084"/>
      <w:bookmarkStart w:id="487" w:name="_Toc373149146"/>
      <w:r w:rsidRPr="00E141F1">
        <w:t>Compliance with the TCP Code 2012</w:t>
      </w:r>
      <w:bookmarkEnd w:id="486"/>
      <w:bookmarkEnd w:id="487"/>
    </w:p>
    <w:p w:rsidR="001E6FB8" w:rsidRPr="00E141F1" w:rsidRDefault="001E6FB8" w:rsidP="001E6FB8">
      <w:pPr>
        <w:rPr>
          <w:rFonts w:cs="Arial"/>
        </w:rPr>
      </w:pPr>
      <w:r w:rsidRPr="00E141F1">
        <w:rPr>
          <w:rFonts w:cs="Arial"/>
        </w:rPr>
        <w:t>As noted above, the TCP Code 2012 was registered on 1 September 2012.</w:t>
      </w:r>
    </w:p>
    <w:p w:rsidR="001E6FB8" w:rsidRPr="00E141F1" w:rsidRDefault="001E6FB8" w:rsidP="001E6FB8">
      <w:pPr>
        <w:rPr>
          <w:rFonts w:cs="Arial"/>
        </w:rPr>
      </w:pPr>
    </w:p>
    <w:p w:rsidR="001E6FB8" w:rsidRDefault="001E6FB8" w:rsidP="001E6FB8">
      <w:pPr>
        <w:spacing w:after="80"/>
        <w:rPr>
          <w:rFonts w:cs="Arial"/>
        </w:rPr>
      </w:pPr>
      <w:r w:rsidRPr="00E141F1">
        <w:rPr>
          <w:rFonts w:cs="Arial"/>
        </w:rPr>
        <w:t xml:space="preserve">The TCP Code 2012 includes: </w:t>
      </w:r>
    </w:p>
    <w:p w:rsidR="001E6FB8" w:rsidRPr="00E141F1" w:rsidRDefault="001E6FB8" w:rsidP="001E6FB8">
      <w:pPr>
        <w:pStyle w:val="ListBullet"/>
        <w:rPr>
          <w:rFonts w:cs="Arial"/>
        </w:rPr>
      </w:pPr>
      <w:r w:rsidRPr="00E141F1">
        <w:rPr>
          <w:rFonts w:cs="Arial"/>
        </w:rPr>
        <w:t>enhanced rules for complaints-handling—particularly providers delivering on the undertakings they make to customers when resolving complaints</w:t>
      </w:r>
    </w:p>
    <w:p w:rsidR="001E6FB8" w:rsidRPr="00E141F1" w:rsidRDefault="001E6FB8" w:rsidP="001E6FB8">
      <w:pPr>
        <w:pStyle w:val="ListBullet"/>
        <w:rPr>
          <w:rFonts w:cs="Arial"/>
        </w:rPr>
      </w:pPr>
      <w:r w:rsidRPr="00E141F1">
        <w:rPr>
          <w:rFonts w:cs="Arial"/>
        </w:rPr>
        <w:t xml:space="preserve">enhanced rules for credit management—particularly those concerning financial hardship, which industry has delivered largely independent of the </w:t>
      </w:r>
      <w:r>
        <w:rPr>
          <w:rFonts w:cs="Arial"/>
        </w:rPr>
        <w:t xml:space="preserve">ACMA’s </w:t>
      </w:r>
      <w:r w:rsidRPr="00146476">
        <w:rPr>
          <w:rFonts w:cs="Arial"/>
          <w:i/>
        </w:rPr>
        <w:t xml:space="preserve">Reconnecting the </w:t>
      </w:r>
      <w:r>
        <w:rPr>
          <w:rFonts w:cs="Arial"/>
          <w:i/>
        </w:rPr>
        <w:t>C</w:t>
      </w:r>
      <w:r w:rsidRPr="00146476">
        <w:rPr>
          <w:rFonts w:cs="Arial"/>
          <w:i/>
        </w:rPr>
        <w:t>ustomer</w:t>
      </w:r>
      <w:r>
        <w:rPr>
          <w:rFonts w:cs="Arial"/>
        </w:rPr>
        <w:t xml:space="preserve"> public inquiry</w:t>
      </w:r>
    </w:p>
    <w:p w:rsidR="001E6FB8" w:rsidRPr="00E141F1" w:rsidRDefault="001E6FB8" w:rsidP="001E6FB8">
      <w:pPr>
        <w:pStyle w:val="ListBullet"/>
        <w:rPr>
          <w:rFonts w:cs="Arial"/>
        </w:rPr>
      </w:pPr>
      <w:r w:rsidRPr="00E141F1">
        <w:rPr>
          <w:rFonts w:cs="Arial"/>
        </w:rPr>
        <w:t>new information requirements for advertising—both the inclusion of standard charging information and potentially misleading and confusing claims</w:t>
      </w:r>
    </w:p>
    <w:p w:rsidR="001E6FB8" w:rsidRPr="00E141F1" w:rsidRDefault="001E6FB8" w:rsidP="001E6FB8">
      <w:pPr>
        <w:pStyle w:val="ListBullet"/>
        <w:rPr>
          <w:rFonts w:cs="Arial"/>
        </w:rPr>
      </w:pPr>
      <w:r w:rsidRPr="00E141F1">
        <w:rPr>
          <w:rFonts w:cs="Arial"/>
        </w:rPr>
        <w:t>a new requirement to provide a critical information summary</w:t>
      </w:r>
    </w:p>
    <w:p w:rsidR="001E6FB8" w:rsidRPr="00E141F1" w:rsidRDefault="001E6FB8" w:rsidP="001E6FB8">
      <w:pPr>
        <w:pStyle w:val="ListBullet"/>
        <w:rPr>
          <w:rFonts w:cs="Arial"/>
        </w:rPr>
      </w:pPr>
      <w:r w:rsidRPr="00E141F1">
        <w:rPr>
          <w:rFonts w:cs="Arial"/>
        </w:rPr>
        <w:t>a new requirement to provide comparative billing information</w:t>
      </w:r>
    </w:p>
    <w:p w:rsidR="001E6FB8" w:rsidRPr="00E141F1" w:rsidRDefault="001E6FB8" w:rsidP="001E6FB8">
      <w:pPr>
        <w:pStyle w:val="ListBullet"/>
        <w:rPr>
          <w:rFonts w:cs="Arial"/>
        </w:rPr>
      </w:pPr>
      <w:r w:rsidRPr="00E141F1">
        <w:rPr>
          <w:rFonts w:cs="Arial"/>
        </w:rPr>
        <w:t>new rules for spend management alerts</w:t>
      </w:r>
    </w:p>
    <w:p w:rsidR="001E6FB8" w:rsidRPr="00E141F1" w:rsidRDefault="001E6FB8" w:rsidP="001E6FB8">
      <w:pPr>
        <w:pStyle w:val="ListBullet"/>
        <w:spacing w:after="240"/>
        <w:rPr>
          <w:rFonts w:cs="Arial"/>
        </w:rPr>
      </w:pPr>
      <w:r w:rsidRPr="00E141F1">
        <w:rPr>
          <w:rFonts w:cs="Arial"/>
        </w:rPr>
        <w:t>the establishment of Communications Compliance (</w:t>
      </w:r>
      <w:proofErr w:type="spellStart"/>
      <w:r w:rsidRPr="00E141F1">
        <w:rPr>
          <w:rFonts w:cs="Arial"/>
        </w:rPr>
        <w:t>CommCom</w:t>
      </w:r>
      <w:proofErr w:type="spellEnd"/>
      <w:r w:rsidRPr="00E141F1">
        <w:rPr>
          <w:rFonts w:cs="Arial"/>
        </w:rPr>
        <w:t xml:space="preserve">). </w:t>
      </w:r>
      <w:proofErr w:type="spellStart"/>
      <w:r w:rsidRPr="00E141F1">
        <w:rPr>
          <w:rFonts w:cs="Arial"/>
        </w:rPr>
        <w:t>CommCom</w:t>
      </w:r>
      <w:proofErr w:type="spellEnd"/>
      <w:r w:rsidRPr="00E141F1">
        <w:rPr>
          <w:rFonts w:cs="Arial"/>
        </w:rPr>
        <w:t xml:space="preserve"> is a self-regulatory industry body that aims to improve industry members’ compliance with code rules. </w:t>
      </w:r>
    </w:p>
    <w:p w:rsidR="001E6FB8" w:rsidRPr="00E141F1" w:rsidRDefault="001E6FB8" w:rsidP="001E6FB8">
      <w:pPr>
        <w:rPr>
          <w:rFonts w:cs="Arial"/>
        </w:rPr>
      </w:pPr>
      <w:r w:rsidRPr="00E141F1">
        <w:rPr>
          <w:rFonts w:cs="Arial"/>
        </w:rPr>
        <w:t>The implementation of these new obligations is being phased to give tel</w:t>
      </w:r>
      <w:r>
        <w:rPr>
          <w:rFonts w:cs="Arial"/>
        </w:rPr>
        <w:t xml:space="preserve">ecommunications providers </w:t>
      </w:r>
      <w:r w:rsidRPr="00E141F1">
        <w:rPr>
          <w:rFonts w:cs="Arial"/>
        </w:rPr>
        <w:t xml:space="preserve">the opportunity to implement new systems and processes (Table 3.19). </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Table 3.19 Phased implementation of the TCP Code 2012</w:t>
            </w:r>
          </w:p>
        </w:tc>
      </w:tr>
      <w:tr w:rsidR="001E6FB8" w:rsidRPr="00E141F1" w:rsidTr="001E6FB8">
        <w:trPr>
          <w:trHeight w:val="753"/>
        </w:trPr>
        <w:tc>
          <w:tcPr>
            <w:tcW w:w="9645" w:type="dxa"/>
            <w:shd w:val="clear" w:color="auto" w:fill="auto"/>
            <w:tcMar>
              <w:left w:w="28" w:type="dxa"/>
            </w:tcMar>
          </w:tcPr>
          <w:tbl>
            <w:tblPr>
              <w:tblW w:w="9610" w:type="dxa"/>
              <w:tblInd w:w="1"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3373"/>
              <w:gridCol w:w="6237"/>
            </w:tblGrid>
            <w:tr w:rsidR="001E6FB8" w:rsidRPr="00E141F1" w:rsidTr="001E6FB8">
              <w:trPr>
                <w:trHeight w:val="321"/>
              </w:trPr>
              <w:tc>
                <w:tcPr>
                  <w:tcW w:w="3373" w:type="dxa"/>
                  <w:tcBorders>
                    <w:top w:val="single" w:sz="4" w:space="0" w:color="C8C8C8"/>
                    <w:left w:val="nil"/>
                    <w:bottom w:val="single" w:sz="4" w:space="0" w:color="C8C8C8"/>
                    <w:right w:val="nil"/>
                  </w:tcBorders>
                  <w:shd w:val="clear" w:color="auto" w:fill="00709E"/>
                  <w:tcMar>
                    <w:top w:w="34" w:type="dxa"/>
                    <w:left w:w="113" w:type="dxa"/>
                  </w:tcMar>
                  <w:vAlign w:val="center"/>
                </w:tcPr>
                <w:p w:rsidR="001E6FB8" w:rsidRPr="00E141F1" w:rsidRDefault="001E6FB8" w:rsidP="001E6FB8">
                  <w:pPr>
                    <w:spacing w:before="40" w:after="40" w:line="240" w:lineRule="auto"/>
                    <w:ind w:right="109"/>
                    <w:rPr>
                      <w:rFonts w:cs="Arial"/>
                      <w:b/>
                      <w:color w:val="FFFFFF" w:themeColor="background1"/>
                      <w:sz w:val="18"/>
                      <w:szCs w:val="18"/>
                    </w:rPr>
                  </w:pPr>
                  <w:r w:rsidRPr="00E141F1">
                    <w:rPr>
                      <w:rFonts w:cs="Arial"/>
                      <w:b/>
                      <w:color w:val="FFFFFF" w:themeColor="background1"/>
                      <w:sz w:val="18"/>
                      <w:szCs w:val="18"/>
                    </w:rPr>
                    <w:t>Effective date</w:t>
                  </w:r>
                </w:p>
              </w:tc>
              <w:tc>
                <w:tcPr>
                  <w:tcW w:w="6237" w:type="dxa"/>
                  <w:tcBorders>
                    <w:top w:val="single" w:sz="4" w:space="0" w:color="C8C8C8"/>
                    <w:left w:val="nil"/>
                    <w:bottom w:val="single" w:sz="4" w:space="0" w:color="C8C8C8"/>
                    <w:right w:val="nil"/>
                  </w:tcBorders>
                  <w:shd w:val="clear" w:color="auto" w:fill="00709E"/>
                  <w:vAlign w:val="center"/>
                </w:tcPr>
                <w:p w:rsidR="001E6FB8" w:rsidRPr="00E141F1" w:rsidRDefault="001E6FB8" w:rsidP="001E6FB8">
                  <w:pPr>
                    <w:spacing w:before="40" w:after="40" w:line="240" w:lineRule="auto"/>
                    <w:ind w:right="109"/>
                    <w:rPr>
                      <w:rFonts w:cs="Arial"/>
                      <w:b/>
                      <w:color w:val="FFFFFF" w:themeColor="background1"/>
                      <w:sz w:val="18"/>
                      <w:szCs w:val="18"/>
                    </w:rPr>
                  </w:pPr>
                  <w:r w:rsidRPr="00E141F1">
                    <w:rPr>
                      <w:rFonts w:cs="Arial"/>
                      <w:b/>
                      <w:color w:val="FFFFFF" w:themeColor="background1"/>
                      <w:sz w:val="18"/>
                      <w:szCs w:val="18"/>
                    </w:rPr>
                    <w:t>Obligations</w:t>
                  </w:r>
                </w:p>
              </w:tc>
            </w:tr>
            <w:tr w:rsidR="001E6FB8" w:rsidRPr="00E141F1" w:rsidTr="001E6FB8">
              <w:trPr>
                <w:trHeight w:val="318"/>
              </w:trPr>
              <w:tc>
                <w:tcPr>
                  <w:tcW w:w="3373" w:type="dxa"/>
                  <w:tcBorders>
                    <w:top w:val="single" w:sz="4" w:space="0" w:color="C8C8C8"/>
                    <w:left w:val="nil"/>
                    <w:right w:val="nil"/>
                  </w:tcBorders>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 xml:space="preserve">1 September 2012 </w:t>
                  </w:r>
                </w:p>
              </w:tc>
              <w:tc>
                <w:tcPr>
                  <w:tcW w:w="6237" w:type="dxa"/>
                  <w:tcBorders>
                    <w:top w:val="single" w:sz="4" w:space="0" w:color="C8C8C8"/>
                    <w:left w:val="nil"/>
                    <w:right w:val="nil"/>
                  </w:tcBorders>
                  <w:shd w:val="clear" w:color="auto" w:fill="auto"/>
                  <w:vAlign w:val="center"/>
                </w:tcPr>
                <w:p w:rsidR="001E6FB8" w:rsidRPr="00E141F1" w:rsidRDefault="001E6FB8" w:rsidP="001E6FB8">
                  <w:pPr>
                    <w:rPr>
                      <w:rFonts w:cs="Arial"/>
                      <w:sz w:val="18"/>
                      <w:szCs w:val="18"/>
                    </w:rPr>
                  </w:pPr>
                  <w:r w:rsidRPr="00E141F1">
                    <w:rPr>
                      <w:rFonts w:cs="Arial"/>
                      <w:sz w:val="18"/>
                      <w:szCs w:val="18"/>
                    </w:rPr>
                    <w:t xml:space="preserve">Complaints-handling, credit management and requirements for advertising </w:t>
                  </w:r>
                </w:p>
              </w:tc>
            </w:tr>
            <w:tr w:rsidR="001E6FB8" w:rsidRPr="00E141F1" w:rsidTr="001E6FB8">
              <w:trPr>
                <w:trHeight w:val="318"/>
              </w:trPr>
              <w:tc>
                <w:tcPr>
                  <w:tcW w:w="3373" w:type="dxa"/>
                  <w:tcBorders>
                    <w:top w:val="single" w:sz="4" w:space="0" w:color="C8C8C8"/>
                    <w:left w:val="nil"/>
                    <w:right w:val="nil"/>
                  </w:tcBorders>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27 October 2012</w:t>
                  </w:r>
                </w:p>
              </w:tc>
              <w:tc>
                <w:tcPr>
                  <w:tcW w:w="6237" w:type="dxa"/>
                  <w:tcBorders>
                    <w:top w:val="single" w:sz="4" w:space="0" w:color="C8C8C8"/>
                    <w:left w:val="nil"/>
                    <w:right w:val="nil"/>
                  </w:tcBorders>
                  <w:shd w:val="clear" w:color="auto" w:fill="auto"/>
                  <w:vAlign w:val="center"/>
                </w:tcPr>
                <w:p w:rsidR="001E6FB8" w:rsidRPr="00E141F1" w:rsidRDefault="001E6FB8" w:rsidP="001E6FB8">
                  <w:pPr>
                    <w:rPr>
                      <w:rFonts w:cs="Arial"/>
                      <w:sz w:val="18"/>
                      <w:szCs w:val="18"/>
                    </w:rPr>
                  </w:pPr>
                  <w:r w:rsidRPr="00E141F1">
                    <w:rPr>
                      <w:rFonts w:cs="Arial"/>
                      <w:sz w:val="18"/>
                      <w:szCs w:val="18"/>
                    </w:rPr>
                    <w:t>Advertising of standard charging information</w:t>
                  </w:r>
                </w:p>
              </w:tc>
            </w:tr>
            <w:tr w:rsidR="001E6FB8" w:rsidRPr="00E141F1" w:rsidTr="001E6FB8">
              <w:trPr>
                <w:trHeight w:val="318"/>
              </w:trPr>
              <w:tc>
                <w:tcPr>
                  <w:tcW w:w="3373" w:type="dxa"/>
                  <w:tcBorders>
                    <w:top w:val="single" w:sz="4" w:space="0" w:color="C8C8C8"/>
                    <w:left w:val="nil"/>
                    <w:right w:val="nil"/>
                  </w:tcBorders>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1 March 2013</w:t>
                  </w:r>
                </w:p>
              </w:tc>
              <w:tc>
                <w:tcPr>
                  <w:tcW w:w="6237" w:type="dxa"/>
                  <w:tcBorders>
                    <w:top w:val="single" w:sz="4" w:space="0" w:color="C8C8C8"/>
                    <w:left w:val="nil"/>
                    <w:right w:val="nil"/>
                  </w:tcBorders>
                  <w:shd w:val="clear" w:color="auto" w:fill="auto"/>
                  <w:vAlign w:val="center"/>
                </w:tcPr>
                <w:p w:rsidR="001E6FB8" w:rsidRPr="00E141F1" w:rsidRDefault="001E6FB8" w:rsidP="001E6FB8">
                  <w:pPr>
                    <w:rPr>
                      <w:rFonts w:cs="Arial"/>
                      <w:sz w:val="18"/>
                      <w:szCs w:val="18"/>
                    </w:rPr>
                  </w:pPr>
                  <w:r w:rsidRPr="00E141F1">
                    <w:rPr>
                      <w:rFonts w:cs="Arial"/>
                      <w:sz w:val="18"/>
                      <w:szCs w:val="18"/>
                    </w:rPr>
                    <w:t>Rules for critical information summaries, comparative billing information and communications compliance</w:t>
                  </w:r>
                </w:p>
              </w:tc>
            </w:tr>
            <w:tr w:rsidR="001E6FB8" w:rsidRPr="00E141F1" w:rsidTr="001E6FB8">
              <w:trPr>
                <w:trHeight w:val="318"/>
              </w:trPr>
              <w:tc>
                <w:tcPr>
                  <w:tcW w:w="3373" w:type="dxa"/>
                  <w:tcBorders>
                    <w:top w:val="single" w:sz="4" w:space="0" w:color="C8C8C8"/>
                    <w:left w:val="nil"/>
                    <w:right w:val="nil"/>
                  </w:tcBorders>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1 September 2013</w:t>
                  </w:r>
                </w:p>
              </w:tc>
              <w:tc>
                <w:tcPr>
                  <w:tcW w:w="6237" w:type="dxa"/>
                  <w:tcBorders>
                    <w:top w:val="single" w:sz="4" w:space="0" w:color="C8C8C8"/>
                    <w:left w:val="nil"/>
                    <w:right w:val="nil"/>
                  </w:tcBorders>
                  <w:shd w:val="clear" w:color="auto" w:fill="auto"/>
                  <w:vAlign w:val="center"/>
                </w:tcPr>
                <w:p w:rsidR="001E6FB8" w:rsidRPr="00E141F1" w:rsidRDefault="001E6FB8" w:rsidP="001E6FB8">
                  <w:pPr>
                    <w:rPr>
                      <w:rFonts w:cs="Arial"/>
                      <w:sz w:val="18"/>
                      <w:szCs w:val="18"/>
                    </w:rPr>
                  </w:pPr>
                  <w:r w:rsidRPr="00E141F1">
                    <w:rPr>
                      <w:rFonts w:cs="Arial"/>
                      <w:sz w:val="18"/>
                      <w:szCs w:val="18"/>
                    </w:rPr>
                    <w:t>Rules for spend management alerts—large providers</w:t>
                  </w:r>
                </w:p>
              </w:tc>
            </w:tr>
            <w:tr w:rsidR="001E6FB8" w:rsidRPr="00E141F1" w:rsidTr="001E6FB8">
              <w:trPr>
                <w:trHeight w:val="318"/>
              </w:trPr>
              <w:tc>
                <w:tcPr>
                  <w:tcW w:w="3373" w:type="dxa"/>
                  <w:tcBorders>
                    <w:top w:val="single" w:sz="4" w:space="0" w:color="C8C8C8"/>
                    <w:left w:val="nil"/>
                    <w:right w:val="nil"/>
                  </w:tcBorders>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1 September 2014</w:t>
                  </w:r>
                </w:p>
              </w:tc>
              <w:tc>
                <w:tcPr>
                  <w:tcW w:w="6237" w:type="dxa"/>
                  <w:tcBorders>
                    <w:top w:val="single" w:sz="4" w:space="0" w:color="C8C8C8"/>
                    <w:left w:val="nil"/>
                    <w:right w:val="nil"/>
                  </w:tcBorders>
                  <w:shd w:val="clear" w:color="auto" w:fill="auto"/>
                  <w:vAlign w:val="center"/>
                </w:tcPr>
                <w:p w:rsidR="001E6FB8" w:rsidRPr="00E141F1" w:rsidRDefault="001E6FB8" w:rsidP="001E6FB8">
                  <w:pPr>
                    <w:rPr>
                      <w:rFonts w:cs="Arial"/>
                      <w:sz w:val="18"/>
                      <w:szCs w:val="18"/>
                    </w:rPr>
                  </w:pPr>
                  <w:r w:rsidRPr="00E141F1">
                    <w:rPr>
                      <w:rFonts w:cs="Arial"/>
                      <w:sz w:val="18"/>
                      <w:szCs w:val="18"/>
                    </w:rPr>
                    <w:t>Rules for spend management alerts—small providers</w:t>
                  </w:r>
                </w:p>
              </w:tc>
            </w:tr>
          </w:tbl>
          <w:p w:rsidR="001E6FB8" w:rsidRPr="00E141F1" w:rsidRDefault="001E6FB8" w:rsidP="001E6FB8">
            <w:pPr>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rPr>
                <w:rFonts w:cs="Arial"/>
                <w:i/>
                <w:sz w:val="16"/>
                <w:szCs w:val="16"/>
              </w:rPr>
            </w:pPr>
          </w:p>
        </w:tc>
      </w:tr>
    </w:tbl>
    <w:p w:rsidR="001E6FB8" w:rsidRPr="00E141F1" w:rsidRDefault="001E6FB8" w:rsidP="001E6FB8">
      <w:pPr>
        <w:rPr>
          <w:rFonts w:cs="Arial"/>
        </w:rPr>
      </w:pPr>
    </w:p>
    <w:p w:rsidR="001E6FB8" w:rsidRDefault="001E6FB8" w:rsidP="001E6FB8">
      <w:pPr>
        <w:spacing w:after="80"/>
        <w:rPr>
          <w:rFonts w:cs="Arial"/>
        </w:rPr>
      </w:pPr>
      <w:r w:rsidRPr="00E141F1">
        <w:rPr>
          <w:rFonts w:cs="Arial"/>
        </w:rPr>
        <w:t>Between 1 September 2012 and 30 June 2013, the ACMA found that industry’s compliance with the new code rules was generally very good:</w:t>
      </w:r>
    </w:p>
    <w:p w:rsidR="001E6FB8" w:rsidRPr="00E141F1" w:rsidRDefault="001E6FB8" w:rsidP="001E6FB8">
      <w:pPr>
        <w:pStyle w:val="ListBullet"/>
        <w:rPr>
          <w:rFonts w:cs="Arial"/>
        </w:rPr>
      </w:pPr>
      <w:r w:rsidRPr="00E141F1">
        <w:rPr>
          <w:rFonts w:cs="Arial"/>
        </w:rPr>
        <w:t>27 advertisements from 22 providers</w:t>
      </w:r>
      <w:r>
        <w:rPr>
          <w:rFonts w:cs="Arial"/>
        </w:rPr>
        <w:t xml:space="preserve"> in the first 10 weeks of the c</w:t>
      </w:r>
      <w:r w:rsidRPr="00E141F1">
        <w:rPr>
          <w:rFonts w:cs="Arial"/>
        </w:rPr>
        <w:t>ode’s implementation were assessed as compliant with requirements not to use confusing advertising terms such as ‘capped’, ‘free’ and ‘unlimited’ where the offers are not capped, free or unlimited, respectively</w:t>
      </w:r>
    </w:p>
    <w:p w:rsidR="001E6FB8" w:rsidRPr="00E141F1" w:rsidRDefault="001E6FB8" w:rsidP="001E6FB8">
      <w:pPr>
        <w:pStyle w:val="ListBullet"/>
        <w:rPr>
          <w:rFonts w:cs="Arial"/>
        </w:rPr>
      </w:pPr>
      <w:r w:rsidRPr="00E141F1">
        <w:rPr>
          <w:rFonts w:cs="Arial"/>
        </w:rPr>
        <w:t>the majority of 33 advertisements of eight larger providers complied with requirements for prominent standard charge information</w:t>
      </w:r>
    </w:p>
    <w:p w:rsidR="001E6FB8" w:rsidRPr="00E141F1" w:rsidRDefault="001E6FB8" w:rsidP="001E6FB8">
      <w:pPr>
        <w:pStyle w:val="ListBullet"/>
        <w:rPr>
          <w:rFonts w:cs="Arial"/>
        </w:rPr>
      </w:pPr>
      <w:r w:rsidRPr="00E141F1">
        <w:rPr>
          <w:rFonts w:cs="Arial"/>
        </w:rPr>
        <w:t>after a slow start, the majority of Critical Information Summaries (CIS) of 88 providers were assessed as compliant</w:t>
      </w:r>
    </w:p>
    <w:p w:rsidR="001E6FB8" w:rsidRPr="00E141F1" w:rsidRDefault="001E6FB8" w:rsidP="001E6FB8">
      <w:pPr>
        <w:pStyle w:val="ListBullet"/>
        <w:rPr>
          <w:rFonts w:cs="Arial"/>
        </w:rPr>
      </w:pPr>
      <w:r w:rsidRPr="00E141F1">
        <w:rPr>
          <w:rFonts w:cs="Arial"/>
        </w:rPr>
        <w:t>22 financial hardship policies and 23 complaints-handling policies, covering an estimated 95 per cent of the Australian consumer market were assessed as compliant or quickly became complaint, with one exception</w:t>
      </w:r>
    </w:p>
    <w:p w:rsidR="001E6FB8" w:rsidRPr="00E141F1" w:rsidRDefault="001E6FB8" w:rsidP="001E6FB8">
      <w:pPr>
        <w:pStyle w:val="ListBullet"/>
        <w:spacing w:after="240"/>
        <w:rPr>
          <w:rFonts w:cs="Arial"/>
        </w:rPr>
      </w:pPr>
      <w:r w:rsidRPr="00E141F1">
        <w:rPr>
          <w:rFonts w:cs="Arial"/>
        </w:rPr>
        <w:t xml:space="preserve">companies with an estimated 99 per cent of market share (based on TIO complaints) lodged required compliance documentation with </w:t>
      </w:r>
      <w:proofErr w:type="spellStart"/>
      <w:r w:rsidRPr="00E141F1">
        <w:rPr>
          <w:rFonts w:cs="Arial"/>
        </w:rPr>
        <w:t>CommCom</w:t>
      </w:r>
      <w:proofErr w:type="spellEnd"/>
      <w:r w:rsidRPr="00E141F1">
        <w:rPr>
          <w:rFonts w:cs="Arial"/>
        </w:rPr>
        <w:t>. However, 186 small providers who had at least one TIO complaint in the previous twelve months and had failed to lodge required documents received a preliminary breach finding. Submissions from these providers were due on 1 July 2013.</w:t>
      </w:r>
    </w:p>
    <w:p w:rsidR="001E6FB8" w:rsidRPr="00E141F1" w:rsidRDefault="001E6FB8" w:rsidP="001E6FB8">
      <w:pPr>
        <w:pStyle w:val="ListBullet"/>
        <w:numPr>
          <w:ilvl w:val="0"/>
          <w:numId w:val="0"/>
        </w:numPr>
        <w:rPr>
          <w:rFonts w:cs="Arial"/>
        </w:rPr>
      </w:pPr>
      <w:r w:rsidRPr="00E141F1">
        <w:rPr>
          <w:rFonts w:cs="Arial"/>
        </w:rPr>
        <w:t>Instances where providers did not provide a satisfactory response and were issued with directions or formal warnings include:</w:t>
      </w:r>
    </w:p>
    <w:p w:rsidR="001E6FB8" w:rsidRPr="00E141F1" w:rsidRDefault="001E6FB8" w:rsidP="001E6FB8">
      <w:pPr>
        <w:pStyle w:val="ListBullet"/>
        <w:rPr>
          <w:rFonts w:cs="Arial"/>
        </w:rPr>
      </w:pPr>
      <w:r w:rsidRPr="00E141F1">
        <w:rPr>
          <w:rFonts w:cs="Arial"/>
        </w:rPr>
        <w:t>Touch Mobile and Jadi1 received directions to comply with the TCP Code 2012 for failing to make CIS documents available</w:t>
      </w:r>
    </w:p>
    <w:p w:rsidR="001E6FB8" w:rsidRPr="00E141F1" w:rsidRDefault="001E6FB8" w:rsidP="001E6FB8">
      <w:pPr>
        <w:pStyle w:val="ListBullet"/>
        <w:rPr>
          <w:rFonts w:cs="Arial"/>
        </w:rPr>
      </w:pPr>
      <w:r w:rsidRPr="00E141F1">
        <w:rPr>
          <w:rFonts w:cs="Arial"/>
        </w:rPr>
        <w:t xml:space="preserve">Sure Telecom, </w:t>
      </w:r>
      <w:proofErr w:type="spellStart"/>
      <w:r w:rsidRPr="00E141F1">
        <w:rPr>
          <w:rFonts w:cs="Arial"/>
        </w:rPr>
        <w:t>iTalkBB</w:t>
      </w:r>
      <w:proofErr w:type="spellEnd"/>
      <w:r w:rsidRPr="00E141F1">
        <w:rPr>
          <w:rFonts w:cs="Arial"/>
        </w:rPr>
        <w:t xml:space="preserve"> and Australian Private Networks (trading as Activ8me) received formal warnings for non-compliance with CIS requirements</w:t>
      </w:r>
    </w:p>
    <w:p w:rsidR="001E6FB8" w:rsidRPr="00E141F1" w:rsidRDefault="001E6FB8" w:rsidP="001E6FB8">
      <w:pPr>
        <w:pStyle w:val="ListBullet"/>
        <w:rPr>
          <w:rFonts w:cs="Arial"/>
        </w:rPr>
      </w:pPr>
      <w:r w:rsidRPr="00E141F1">
        <w:rPr>
          <w:rFonts w:cs="Arial"/>
        </w:rPr>
        <w:t>Vodafone received a formal warning for failing to prominently display its standard charges in a mobile phone offer</w:t>
      </w:r>
    </w:p>
    <w:p w:rsidR="001E6FB8" w:rsidRPr="00E141F1" w:rsidRDefault="001E6FB8" w:rsidP="001E6FB8">
      <w:pPr>
        <w:pStyle w:val="ListBullet"/>
        <w:rPr>
          <w:rFonts w:cs="Arial"/>
        </w:rPr>
      </w:pPr>
      <w:r w:rsidRPr="00E141F1">
        <w:rPr>
          <w:rFonts w:cs="Arial"/>
        </w:rPr>
        <w:t>Clear Networks received a formal warning for deficiencies in its financial hardship policy</w:t>
      </w:r>
    </w:p>
    <w:p w:rsidR="001E6FB8" w:rsidRPr="00E141F1" w:rsidRDefault="001E6FB8" w:rsidP="001E6FB8">
      <w:pPr>
        <w:pStyle w:val="ListBullet"/>
        <w:spacing w:after="240"/>
        <w:rPr>
          <w:rFonts w:cs="Arial"/>
        </w:rPr>
      </w:pPr>
      <w:r w:rsidRPr="00E141F1">
        <w:rPr>
          <w:rFonts w:cs="Arial"/>
        </w:rPr>
        <w:t>Southern Cross Telco received a formal warning after informing the ACMA of</w:t>
      </w:r>
      <w:r>
        <w:rPr>
          <w:rFonts w:cs="Arial"/>
        </w:rPr>
        <w:t xml:space="preserve"> </w:t>
      </w:r>
      <w:r w:rsidRPr="00E141F1">
        <w:rPr>
          <w:rFonts w:cs="Arial"/>
        </w:rPr>
        <w:t>unauthorised disclosures of personal information.</w:t>
      </w:r>
    </w:p>
    <w:p w:rsidR="001E6FB8" w:rsidRPr="00E141F1" w:rsidRDefault="001E6FB8" w:rsidP="001E6FB8">
      <w:pPr>
        <w:pStyle w:val="Heading2"/>
      </w:pPr>
      <w:bookmarkStart w:id="488" w:name="_Toc341428407"/>
      <w:bookmarkStart w:id="489" w:name="_Toc371589085"/>
      <w:bookmarkStart w:id="490" w:name="_Toc373149147"/>
      <w:r w:rsidRPr="00E141F1">
        <w:t>Industry compliance with TIO scheme</w:t>
      </w:r>
      <w:bookmarkEnd w:id="488"/>
      <w:bookmarkEnd w:id="489"/>
      <w:bookmarkEnd w:id="490"/>
      <w:r w:rsidRPr="00E141F1">
        <w:t xml:space="preserve"> </w:t>
      </w:r>
    </w:p>
    <w:p w:rsidR="001E6FB8" w:rsidRPr="00E141F1" w:rsidRDefault="001E6FB8" w:rsidP="001E6FB8">
      <w:pPr>
        <w:rPr>
          <w:rFonts w:cs="Arial"/>
        </w:rPr>
      </w:pPr>
      <w:r w:rsidRPr="00E141F1">
        <w:rPr>
          <w:rFonts w:cs="Arial"/>
        </w:rPr>
        <w:t>Section 128 of the TCPSS Act requires carriers and eligible CSPs to join the TIO scheme. Eligible CSPs are those providers who supply fixed standard telephone, mobile or internet services to residential and small-business customers. TIO scheme members are required to comply with the scheme.</w:t>
      </w:r>
    </w:p>
    <w:p w:rsidR="001E6FB8" w:rsidRPr="00E141F1" w:rsidRDefault="001E6FB8" w:rsidP="001E6FB8">
      <w:pPr>
        <w:rPr>
          <w:rFonts w:cs="Arial"/>
        </w:rPr>
      </w:pPr>
    </w:p>
    <w:p w:rsidR="001E6FB8" w:rsidRPr="00E141F1" w:rsidRDefault="001E6FB8" w:rsidP="001E6FB8">
      <w:pPr>
        <w:rPr>
          <w:rFonts w:cs="Arial"/>
        </w:rPr>
      </w:pPr>
      <w:r w:rsidRPr="00E141F1">
        <w:rPr>
          <w:rFonts w:cs="Arial"/>
        </w:rPr>
        <w:t>In 2012–13, the TIO referred 18 providers to the ACMA for failure to join the scheme and one provider for failure to comply with the scheme. The ACMA found four providers were not eligible to join the TIO scheme and three providers joined the scheme without further intervention from the ACMA. The ACMA opened investigations into the 12 remaining providers. Six of these have been resolved by the providers joining the TIO scheme. The other six remain the subject of ACMA investigations.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On 1 February 2013, the Federal Court awarded civil penalties against a Canberra-based ISP, </w:t>
      </w:r>
      <w:proofErr w:type="spellStart"/>
      <w:r w:rsidRPr="00E141F1">
        <w:rPr>
          <w:rFonts w:cs="Arial"/>
        </w:rPr>
        <w:t>Bytecard</w:t>
      </w:r>
      <w:proofErr w:type="spellEnd"/>
      <w:r w:rsidRPr="00E141F1">
        <w:rPr>
          <w:rFonts w:cs="Arial"/>
        </w:rPr>
        <w:t xml:space="preserve"> Pty Ltd and its director, Mr Brian Morris. The Court found that </w:t>
      </w:r>
      <w:proofErr w:type="spellStart"/>
      <w:r w:rsidRPr="00E141F1">
        <w:rPr>
          <w:rFonts w:cs="Arial"/>
        </w:rPr>
        <w:t>Bytecard</w:t>
      </w:r>
      <w:proofErr w:type="spellEnd"/>
      <w:r w:rsidRPr="00E141F1">
        <w:rPr>
          <w:rFonts w:cs="Arial"/>
        </w:rPr>
        <w:t xml:space="preserve"> and its director breached the TIO scheme, the Act and the TCPSS Act by failing to comply with five remedial directions issued by the ACMA. These related to </w:t>
      </w:r>
      <w:proofErr w:type="spellStart"/>
      <w:r w:rsidRPr="00E141F1">
        <w:rPr>
          <w:rFonts w:cs="Arial"/>
        </w:rPr>
        <w:t>Bytecard’s</w:t>
      </w:r>
      <w:proofErr w:type="spellEnd"/>
      <w:r w:rsidRPr="00E141F1">
        <w:rPr>
          <w:rFonts w:cs="Arial"/>
        </w:rPr>
        <w:t xml:space="preserve"> non-compliance with five determinations made by the TIO. Justice Foster’s decision sends a clear message to the industry about the importance of complying with the TIO scheme.</w:t>
      </w:r>
    </w:p>
    <w:p w:rsidR="001E6FB8" w:rsidRDefault="001E6FB8" w:rsidP="001E6FB8"/>
    <w:p w:rsidR="001E6FB8" w:rsidRPr="00E141F1" w:rsidRDefault="001E6FB8" w:rsidP="001E6FB8">
      <w:pPr>
        <w:pStyle w:val="Heading2"/>
      </w:pPr>
      <w:bookmarkStart w:id="491" w:name="_Toc371589086"/>
      <w:bookmarkStart w:id="492" w:name="_Toc373149148"/>
      <w:r w:rsidRPr="00E141F1">
        <w:t>Complaints to the TIO</w:t>
      </w:r>
      <w:bookmarkEnd w:id="491"/>
      <w:bookmarkEnd w:id="492"/>
    </w:p>
    <w:p w:rsidR="001E6FB8" w:rsidRPr="00E141F1" w:rsidRDefault="001E6FB8" w:rsidP="001E6FB8">
      <w:pPr>
        <w:rPr>
          <w:rFonts w:cs="Arial"/>
        </w:rPr>
      </w:pPr>
      <w:r w:rsidRPr="00E141F1">
        <w:rPr>
          <w:rFonts w:cs="Arial"/>
        </w:rPr>
        <w:t>The TIO scheme provides for the resolution of unresolved complaints about carriers or CSPs made by residential and small-business customers where those complaints are not resolved by the CSP/carrier.</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In 2012–13, the TIO had 1,360 members, up from 1,221 in 2011–12.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There were 158,652 new complaints made to the TIO during 2012–13, down substantially (18 per cent) from 2011–12. The most significant decrease in complaints was for mobile services, which may reflect the impact of the new TCP Code and its focus on improving customer outcomes, particularly for post-paid mobile services. </w:t>
      </w:r>
    </w:p>
    <w:p w:rsidR="001E6FB8" w:rsidRPr="00E141F1" w:rsidRDefault="001E6FB8" w:rsidP="001E6FB8">
      <w:pPr>
        <w:rPr>
          <w:rFonts w:cs="Arial"/>
        </w:rPr>
      </w:pPr>
    </w:p>
    <w:p w:rsidR="001E6FB8" w:rsidRPr="00E141F1" w:rsidRDefault="001E6FB8" w:rsidP="001E6FB8">
      <w:pPr>
        <w:spacing w:after="240"/>
        <w:rPr>
          <w:rFonts w:cs="Arial"/>
        </w:rPr>
      </w:pPr>
      <w:r w:rsidRPr="00E141F1">
        <w:rPr>
          <w:rFonts w:cs="Arial"/>
        </w:rPr>
        <w:t>The TIO records a new complaint when it receives an expression of dissatisfaction from a consumer whose complaint has not been resolved by the service provider. The TIO allocates complaint issues within each new complaint from a choice of keywords that are aligned to industry codes or common complaint categories identified by the TIO. Each new complaint involves at least one complaint issue.</w:t>
      </w:r>
    </w:p>
    <w:tbl>
      <w:tblPr>
        <w:tblW w:w="9645" w:type="dxa"/>
        <w:tblLayout w:type="fixed"/>
        <w:tblCellMar>
          <w:left w:w="0" w:type="dxa"/>
          <w:right w:w="0" w:type="dxa"/>
        </w:tblCellMar>
        <w:tblLook w:val="01E0"/>
      </w:tblPr>
      <w:tblGrid>
        <w:gridCol w:w="9645"/>
      </w:tblGrid>
      <w:tr w:rsidR="001E6FB8" w:rsidRPr="00E141F1" w:rsidTr="001E6FB8">
        <w:trPr>
          <w:trHeight w:val="545"/>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bookmarkStart w:id="493" w:name="_Ref304286176"/>
            <w:r w:rsidRPr="00E141F1">
              <w:rPr>
                <w:rFonts w:cs="Arial"/>
              </w:rPr>
              <w:t>Figure 3.</w:t>
            </w:r>
            <w:bookmarkEnd w:id="493"/>
            <w:r w:rsidRPr="00E141F1">
              <w:rPr>
                <w:rFonts w:cs="Arial"/>
              </w:rPr>
              <w:t>9 Annual TIO new complaints by service type</w:t>
            </w:r>
          </w:p>
        </w:tc>
      </w:tr>
      <w:tr w:rsidR="001E6FB8" w:rsidRPr="00E141F1" w:rsidTr="001E6FB8">
        <w:trPr>
          <w:trHeight w:val="2948"/>
        </w:trPr>
        <w:tc>
          <w:tcPr>
            <w:tcW w:w="9645" w:type="dxa"/>
            <w:shd w:val="clear" w:color="auto" w:fill="auto"/>
            <w:tcMar>
              <w:left w:w="28" w:type="dxa"/>
            </w:tcMar>
          </w:tcPr>
          <w:p w:rsidR="001E6FB8" w:rsidRPr="00E141F1" w:rsidRDefault="001E6FB8" w:rsidP="001E6FB8">
            <w:pPr>
              <w:keepNext/>
              <w:keepLines/>
              <w:rPr>
                <w:rFonts w:cs="Arial"/>
              </w:rPr>
            </w:pPr>
            <w:r w:rsidRPr="00D919D4">
              <w:rPr>
                <w:rFonts w:cs="Arial"/>
                <w:noProof/>
              </w:rPr>
              <w:drawing>
                <wp:inline distT="0" distB="0" distL="0" distR="0">
                  <wp:extent cx="6013174" cy="2524539"/>
                  <wp:effectExtent l="0" t="0" r="0" b="0"/>
                  <wp:docPr id="237"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1E6FB8" w:rsidRPr="00E141F1" w:rsidTr="001E6FB8">
        <w:trPr>
          <w:trHeight w:val="161"/>
        </w:trPr>
        <w:tc>
          <w:tcPr>
            <w:tcW w:w="9645" w:type="dxa"/>
            <w:tcBorders>
              <w:bottom w:val="single" w:sz="2" w:space="0" w:color="505050"/>
            </w:tcBorders>
            <w:shd w:val="clear" w:color="auto" w:fill="auto"/>
          </w:tcPr>
          <w:p w:rsidR="001E6FB8" w:rsidRPr="00E141F1" w:rsidRDefault="001E6FB8" w:rsidP="001E6FB8">
            <w:pPr>
              <w:keepNext/>
              <w:keepLines/>
              <w:widowControl w:val="0"/>
              <w:spacing w:before="60" w:after="60" w:line="240" w:lineRule="auto"/>
              <w:outlineLvl w:val="0"/>
              <w:rPr>
                <w:rFonts w:cs="Arial"/>
                <w:bCs/>
                <w:i/>
                <w:color w:val="4D4D4F"/>
                <w:kern w:val="32"/>
                <w:sz w:val="16"/>
                <w:szCs w:val="16"/>
              </w:rPr>
            </w:pPr>
            <w:r w:rsidRPr="00E141F1">
              <w:rPr>
                <w:rFonts w:cs="Arial"/>
                <w:i/>
                <w:sz w:val="16"/>
                <w:szCs w:val="16"/>
              </w:rPr>
              <w:t>Source: TIO</w:t>
            </w:r>
            <w:r>
              <w:rPr>
                <w:rFonts w:cs="Arial"/>
                <w:i/>
                <w:sz w:val="16"/>
                <w:szCs w:val="16"/>
              </w:rPr>
              <w:t>.</w:t>
            </w:r>
          </w:p>
        </w:tc>
      </w:tr>
    </w:tbl>
    <w:p w:rsidR="001E6FB8" w:rsidRPr="00E141F1" w:rsidRDefault="001E6FB8" w:rsidP="001E6FB8">
      <w:pPr>
        <w:rPr>
          <w:rFonts w:cs="Arial"/>
        </w:rPr>
      </w:pPr>
    </w:p>
    <w:p w:rsidR="001E6FB8" w:rsidRPr="00E141F1" w:rsidRDefault="001E6FB8" w:rsidP="001E6FB8">
      <w:pPr>
        <w:spacing w:after="80"/>
        <w:rPr>
          <w:rFonts w:cs="Arial"/>
        </w:rPr>
      </w:pPr>
      <w:r w:rsidRPr="00E141F1">
        <w:rPr>
          <w:rFonts w:cs="Arial"/>
        </w:rPr>
        <w:t>Table 3.20 shows the top five TIO new complaint issues for the last two financial years. The number of complaint issues in each category has fallen in 2012–13.</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Table 3.20 Top five TIO new complaint issues</w:t>
            </w:r>
          </w:p>
        </w:tc>
      </w:tr>
      <w:tr w:rsidR="001E6FB8" w:rsidRPr="00E141F1" w:rsidTr="001E6FB8">
        <w:trPr>
          <w:trHeight w:val="2028"/>
        </w:trPr>
        <w:tc>
          <w:tcPr>
            <w:tcW w:w="9645" w:type="dxa"/>
            <w:shd w:val="clear" w:color="auto" w:fill="auto"/>
            <w:tcMar>
              <w:left w:w="28" w:type="dxa"/>
            </w:tcMar>
          </w:tcPr>
          <w:tbl>
            <w:tblPr>
              <w:tblW w:w="9626" w:type="dxa"/>
              <w:tblBorders>
                <w:top w:val="single" w:sz="4" w:space="0" w:color="C8C8C8"/>
                <w:bottom w:val="single" w:sz="4" w:space="0" w:color="C8C8C8"/>
                <w:insideH w:val="single" w:sz="4" w:space="0" w:color="C8C8C8"/>
              </w:tblBorders>
              <w:tblLayout w:type="fixed"/>
              <w:tblCellMar>
                <w:left w:w="85" w:type="dxa"/>
                <w:right w:w="0" w:type="dxa"/>
              </w:tblCellMar>
              <w:tblLook w:val="01E0"/>
            </w:tblPr>
            <w:tblGrid>
              <w:gridCol w:w="5255"/>
              <w:gridCol w:w="1445"/>
              <w:gridCol w:w="1463"/>
              <w:gridCol w:w="1463"/>
            </w:tblGrid>
            <w:tr w:rsidR="001E6FB8" w:rsidRPr="00E141F1" w:rsidTr="001E6FB8">
              <w:trPr>
                <w:trHeight w:val="393"/>
              </w:trPr>
              <w:tc>
                <w:tcPr>
                  <w:tcW w:w="5255" w:type="dxa"/>
                  <w:shd w:val="clear" w:color="auto" w:fill="00709E"/>
                  <w:tcMar>
                    <w:top w:w="34" w:type="dxa"/>
                    <w:left w:w="113" w:type="dxa"/>
                  </w:tcMar>
                </w:tcPr>
                <w:p w:rsidR="001E6FB8" w:rsidRPr="00E141F1" w:rsidRDefault="001E6FB8" w:rsidP="001E6FB8">
                  <w:pPr>
                    <w:keepNext/>
                    <w:spacing w:before="60" w:after="60"/>
                    <w:outlineLvl w:val="1"/>
                    <w:rPr>
                      <w:rFonts w:cs="Arial"/>
                      <w:b/>
                      <w:color w:val="FFFFFF" w:themeColor="background1"/>
                      <w:sz w:val="18"/>
                      <w:szCs w:val="18"/>
                    </w:rPr>
                  </w:pPr>
                  <w:r w:rsidRPr="00E141F1">
                    <w:rPr>
                      <w:rFonts w:cs="Arial"/>
                      <w:b/>
                      <w:color w:val="FFFFFF" w:themeColor="background1"/>
                      <w:sz w:val="18"/>
                      <w:szCs w:val="18"/>
                    </w:rPr>
                    <w:t>Complaint issue category</w:t>
                  </w:r>
                </w:p>
              </w:tc>
              <w:tc>
                <w:tcPr>
                  <w:tcW w:w="1445" w:type="dxa"/>
                  <w:shd w:val="clear" w:color="auto" w:fill="00709E"/>
                  <w:tcMar>
                    <w:left w:w="113" w:type="dxa"/>
                  </w:tcMar>
                </w:tcPr>
                <w:p w:rsidR="001E6FB8" w:rsidRPr="00E141F1" w:rsidRDefault="001E6FB8" w:rsidP="001E6FB8">
                  <w:pPr>
                    <w:keepNext/>
                    <w:spacing w:before="60" w:after="60"/>
                    <w:ind w:right="96"/>
                    <w:jc w:val="right"/>
                    <w:outlineLvl w:val="1"/>
                    <w:rPr>
                      <w:rFonts w:cs="Arial"/>
                      <w:b/>
                      <w:color w:val="FFFFFF" w:themeColor="background1"/>
                      <w:sz w:val="18"/>
                      <w:szCs w:val="18"/>
                    </w:rPr>
                  </w:pPr>
                  <w:r w:rsidRPr="00E141F1">
                    <w:rPr>
                      <w:rFonts w:cs="Arial"/>
                      <w:b/>
                      <w:color w:val="FFFFFF" w:themeColor="background1"/>
                      <w:sz w:val="18"/>
                      <w:szCs w:val="18"/>
                    </w:rPr>
                    <w:t>2011–12</w:t>
                  </w:r>
                </w:p>
              </w:tc>
              <w:tc>
                <w:tcPr>
                  <w:tcW w:w="1463" w:type="dxa"/>
                  <w:shd w:val="clear" w:color="auto" w:fill="00709E"/>
                </w:tcPr>
                <w:p w:rsidR="001E6FB8" w:rsidRPr="00E141F1" w:rsidRDefault="001E6FB8" w:rsidP="001E6FB8">
                  <w:pPr>
                    <w:keepNext/>
                    <w:spacing w:before="60" w:after="60"/>
                    <w:ind w:right="96"/>
                    <w:jc w:val="right"/>
                    <w:outlineLvl w:val="1"/>
                    <w:rPr>
                      <w:rFonts w:cs="Arial"/>
                      <w:b/>
                      <w:color w:val="FFFFFF" w:themeColor="background1"/>
                      <w:sz w:val="18"/>
                      <w:szCs w:val="18"/>
                    </w:rPr>
                  </w:pPr>
                  <w:r w:rsidRPr="00E141F1">
                    <w:rPr>
                      <w:rFonts w:cs="Arial"/>
                      <w:b/>
                      <w:color w:val="FFFFFF" w:themeColor="background1"/>
                      <w:sz w:val="18"/>
                      <w:szCs w:val="18"/>
                    </w:rPr>
                    <w:t>2012–13</w:t>
                  </w:r>
                </w:p>
              </w:tc>
              <w:tc>
                <w:tcPr>
                  <w:tcW w:w="1463" w:type="dxa"/>
                  <w:shd w:val="clear" w:color="auto" w:fill="00709E"/>
                  <w:tcMar>
                    <w:left w:w="113" w:type="dxa"/>
                  </w:tcMar>
                </w:tcPr>
                <w:p w:rsidR="001E6FB8" w:rsidRPr="00E141F1" w:rsidRDefault="001E6FB8" w:rsidP="001E6FB8">
                  <w:pPr>
                    <w:keepNext/>
                    <w:spacing w:before="60" w:after="60"/>
                    <w:ind w:right="96"/>
                    <w:jc w:val="right"/>
                    <w:outlineLvl w:val="1"/>
                    <w:rPr>
                      <w:rFonts w:cs="Arial"/>
                      <w:b/>
                      <w:color w:val="FFFFFF" w:themeColor="background1"/>
                      <w:sz w:val="18"/>
                      <w:szCs w:val="18"/>
                    </w:rPr>
                  </w:pPr>
                  <w:r w:rsidRPr="00E141F1">
                    <w:rPr>
                      <w:rFonts w:cs="Arial"/>
                      <w:b/>
                      <w:color w:val="FFFFFF" w:themeColor="background1"/>
                      <w:sz w:val="18"/>
                      <w:szCs w:val="18"/>
                    </w:rPr>
                    <w:t>% change</w:t>
                  </w:r>
                </w:p>
              </w:tc>
            </w:tr>
            <w:tr w:rsidR="001E6FB8" w:rsidRPr="00E141F1" w:rsidTr="001E6FB8">
              <w:trPr>
                <w:trHeight w:val="249"/>
              </w:trPr>
              <w:tc>
                <w:tcPr>
                  <w:tcW w:w="5255" w:type="dxa"/>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Customer service</w:t>
                  </w:r>
                </w:p>
              </w:tc>
              <w:tc>
                <w:tcPr>
                  <w:tcW w:w="1445" w:type="dxa"/>
                  <w:shd w:val="clear" w:color="auto" w:fill="auto"/>
                  <w:tcMar>
                    <w:left w:w="113" w:type="dxa"/>
                  </w:tcMar>
                  <w:vAlign w:val="center"/>
                </w:tcPr>
                <w:p w:rsidR="001E6FB8" w:rsidRPr="00E141F1" w:rsidRDefault="001E6FB8" w:rsidP="001E6FB8">
                  <w:pPr>
                    <w:ind w:right="96"/>
                    <w:jc w:val="right"/>
                    <w:rPr>
                      <w:rFonts w:cs="Arial"/>
                      <w:sz w:val="18"/>
                      <w:szCs w:val="18"/>
                    </w:rPr>
                  </w:pPr>
                  <w:r w:rsidRPr="00E141F1">
                    <w:rPr>
                      <w:rFonts w:cs="Arial"/>
                      <w:sz w:val="18"/>
                      <w:szCs w:val="18"/>
                    </w:rPr>
                    <w:t>109,502</w:t>
                  </w:r>
                </w:p>
              </w:tc>
              <w:tc>
                <w:tcPr>
                  <w:tcW w:w="1463" w:type="dxa"/>
                </w:tcPr>
                <w:p w:rsidR="001E6FB8" w:rsidRPr="00E141F1" w:rsidRDefault="001E6FB8" w:rsidP="001E6FB8">
                  <w:pPr>
                    <w:ind w:right="96"/>
                    <w:jc w:val="right"/>
                    <w:rPr>
                      <w:rFonts w:cs="Arial"/>
                      <w:sz w:val="18"/>
                      <w:szCs w:val="18"/>
                    </w:rPr>
                  </w:pPr>
                  <w:r w:rsidRPr="00E141F1">
                    <w:rPr>
                      <w:rFonts w:cs="Arial"/>
                      <w:sz w:val="18"/>
                      <w:szCs w:val="18"/>
                    </w:rPr>
                    <w:t>94,639</w:t>
                  </w:r>
                </w:p>
              </w:tc>
              <w:tc>
                <w:tcPr>
                  <w:tcW w:w="1463" w:type="dxa"/>
                  <w:shd w:val="clear" w:color="auto" w:fill="auto"/>
                  <w:tcMar>
                    <w:left w:w="113" w:type="dxa"/>
                  </w:tcMar>
                  <w:vAlign w:val="center"/>
                </w:tcPr>
                <w:p w:rsidR="001E6FB8" w:rsidRPr="00E141F1" w:rsidRDefault="001E6FB8" w:rsidP="001E6FB8">
                  <w:pPr>
                    <w:ind w:right="96"/>
                    <w:jc w:val="right"/>
                    <w:rPr>
                      <w:rFonts w:cs="Arial"/>
                      <w:sz w:val="18"/>
                      <w:szCs w:val="18"/>
                    </w:rPr>
                  </w:pPr>
                  <w:r>
                    <w:rPr>
                      <w:rFonts w:cs="Arial"/>
                      <w:sz w:val="18"/>
                      <w:szCs w:val="18"/>
                    </w:rPr>
                    <w:t>–</w:t>
                  </w:r>
                  <w:r w:rsidRPr="00E141F1">
                    <w:rPr>
                      <w:rFonts w:cs="Arial"/>
                      <w:sz w:val="18"/>
                      <w:szCs w:val="18"/>
                    </w:rPr>
                    <w:t>14%</w:t>
                  </w:r>
                </w:p>
              </w:tc>
            </w:tr>
            <w:tr w:rsidR="001E6FB8" w:rsidRPr="00E141F1" w:rsidTr="001E6FB8">
              <w:trPr>
                <w:trHeight w:val="297"/>
              </w:trPr>
              <w:tc>
                <w:tcPr>
                  <w:tcW w:w="5255" w:type="dxa"/>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Billing and payments</w:t>
                  </w:r>
                </w:p>
              </w:tc>
              <w:tc>
                <w:tcPr>
                  <w:tcW w:w="1445" w:type="dxa"/>
                  <w:shd w:val="clear" w:color="auto" w:fill="auto"/>
                  <w:tcMar>
                    <w:left w:w="113" w:type="dxa"/>
                  </w:tcMar>
                  <w:vAlign w:val="center"/>
                </w:tcPr>
                <w:p w:rsidR="001E6FB8" w:rsidRPr="00E141F1" w:rsidRDefault="001E6FB8" w:rsidP="001E6FB8">
                  <w:pPr>
                    <w:ind w:right="96"/>
                    <w:jc w:val="right"/>
                    <w:rPr>
                      <w:rFonts w:cs="Arial"/>
                      <w:sz w:val="18"/>
                      <w:szCs w:val="18"/>
                    </w:rPr>
                  </w:pPr>
                  <w:r w:rsidRPr="00E141F1">
                    <w:rPr>
                      <w:rFonts w:cs="Arial"/>
                      <w:sz w:val="18"/>
                      <w:szCs w:val="18"/>
                    </w:rPr>
                    <w:t>93,941</w:t>
                  </w:r>
                </w:p>
              </w:tc>
              <w:tc>
                <w:tcPr>
                  <w:tcW w:w="1463" w:type="dxa"/>
                </w:tcPr>
                <w:p w:rsidR="001E6FB8" w:rsidRPr="00E141F1" w:rsidRDefault="001E6FB8" w:rsidP="001E6FB8">
                  <w:pPr>
                    <w:ind w:right="96"/>
                    <w:jc w:val="right"/>
                    <w:rPr>
                      <w:rFonts w:cs="Arial"/>
                      <w:sz w:val="18"/>
                      <w:szCs w:val="18"/>
                    </w:rPr>
                  </w:pPr>
                  <w:r w:rsidRPr="00E141F1">
                    <w:rPr>
                      <w:rFonts w:cs="Arial"/>
                      <w:sz w:val="18"/>
                      <w:szCs w:val="18"/>
                    </w:rPr>
                    <w:t>78,160</w:t>
                  </w:r>
                </w:p>
              </w:tc>
              <w:tc>
                <w:tcPr>
                  <w:tcW w:w="1463" w:type="dxa"/>
                  <w:shd w:val="clear" w:color="auto" w:fill="auto"/>
                  <w:tcMar>
                    <w:left w:w="113" w:type="dxa"/>
                  </w:tcMar>
                  <w:vAlign w:val="center"/>
                </w:tcPr>
                <w:p w:rsidR="001E6FB8" w:rsidRPr="00E141F1" w:rsidRDefault="001E6FB8" w:rsidP="001E6FB8">
                  <w:pPr>
                    <w:ind w:right="96"/>
                    <w:jc w:val="right"/>
                    <w:rPr>
                      <w:rFonts w:cs="Arial"/>
                      <w:sz w:val="18"/>
                      <w:szCs w:val="18"/>
                    </w:rPr>
                  </w:pPr>
                  <w:r>
                    <w:rPr>
                      <w:rFonts w:cs="Arial"/>
                      <w:sz w:val="18"/>
                      <w:szCs w:val="18"/>
                    </w:rPr>
                    <w:t>–</w:t>
                  </w:r>
                  <w:r w:rsidRPr="00E141F1">
                    <w:rPr>
                      <w:rFonts w:cs="Arial"/>
                      <w:sz w:val="18"/>
                      <w:szCs w:val="18"/>
                    </w:rPr>
                    <w:t>17%</w:t>
                  </w:r>
                </w:p>
              </w:tc>
            </w:tr>
            <w:tr w:rsidR="001E6FB8" w:rsidRPr="00E141F1" w:rsidTr="001E6FB8">
              <w:trPr>
                <w:trHeight w:val="297"/>
              </w:trPr>
              <w:tc>
                <w:tcPr>
                  <w:tcW w:w="5255" w:type="dxa"/>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Faults</w:t>
                  </w:r>
                </w:p>
              </w:tc>
              <w:tc>
                <w:tcPr>
                  <w:tcW w:w="1445" w:type="dxa"/>
                  <w:shd w:val="clear" w:color="auto" w:fill="auto"/>
                  <w:tcMar>
                    <w:left w:w="113" w:type="dxa"/>
                  </w:tcMar>
                  <w:vAlign w:val="center"/>
                </w:tcPr>
                <w:p w:rsidR="001E6FB8" w:rsidRPr="00E141F1" w:rsidRDefault="001E6FB8" w:rsidP="001E6FB8">
                  <w:pPr>
                    <w:ind w:right="96"/>
                    <w:jc w:val="right"/>
                    <w:rPr>
                      <w:rFonts w:cs="Arial"/>
                      <w:sz w:val="18"/>
                      <w:szCs w:val="18"/>
                    </w:rPr>
                  </w:pPr>
                  <w:r w:rsidRPr="00E141F1">
                    <w:rPr>
                      <w:rFonts w:cs="Arial"/>
                      <w:sz w:val="18"/>
                      <w:szCs w:val="18"/>
                    </w:rPr>
                    <w:t>78,829</w:t>
                  </w:r>
                </w:p>
              </w:tc>
              <w:tc>
                <w:tcPr>
                  <w:tcW w:w="1463" w:type="dxa"/>
                </w:tcPr>
                <w:p w:rsidR="001E6FB8" w:rsidRPr="00E141F1" w:rsidRDefault="001E6FB8" w:rsidP="001E6FB8">
                  <w:pPr>
                    <w:ind w:right="96"/>
                    <w:jc w:val="right"/>
                    <w:rPr>
                      <w:rFonts w:cs="Arial"/>
                      <w:sz w:val="18"/>
                      <w:szCs w:val="18"/>
                    </w:rPr>
                  </w:pPr>
                  <w:r w:rsidRPr="00E141F1">
                    <w:rPr>
                      <w:rFonts w:cs="Arial"/>
                      <w:sz w:val="18"/>
                      <w:szCs w:val="18"/>
                    </w:rPr>
                    <w:t>75,325</w:t>
                  </w:r>
                </w:p>
              </w:tc>
              <w:tc>
                <w:tcPr>
                  <w:tcW w:w="1463" w:type="dxa"/>
                  <w:shd w:val="clear" w:color="auto" w:fill="auto"/>
                  <w:tcMar>
                    <w:left w:w="113" w:type="dxa"/>
                  </w:tcMar>
                  <w:vAlign w:val="center"/>
                </w:tcPr>
                <w:p w:rsidR="001E6FB8" w:rsidRPr="00E141F1" w:rsidRDefault="001E6FB8" w:rsidP="001E6FB8">
                  <w:pPr>
                    <w:ind w:right="96"/>
                    <w:jc w:val="right"/>
                    <w:rPr>
                      <w:rFonts w:cs="Arial"/>
                      <w:sz w:val="18"/>
                      <w:szCs w:val="18"/>
                    </w:rPr>
                  </w:pPr>
                  <w:r>
                    <w:rPr>
                      <w:rFonts w:cs="Arial"/>
                      <w:sz w:val="18"/>
                      <w:szCs w:val="18"/>
                    </w:rPr>
                    <w:t>–</w:t>
                  </w:r>
                  <w:r w:rsidRPr="00E141F1">
                    <w:rPr>
                      <w:rFonts w:cs="Arial"/>
                      <w:sz w:val="18"/>
                      <w:szCs w:val="18"/>
                    </w:rPr>
                    <w:t>4%</w:t>
                  </w:r>
                </w:p>
              </w:tc>
            </w:tr>
            <w:tr w:rsidR="001E6FB8" w:rsidRPr="00E141F1" w:rsidTr="001E6FB8">
              <w:trPr>
                <w:trHeight w:val="297"/>
              </w:trPr>
              <w:tc>
                <w:tcPr>
                  <w:tcW w:w="5255" w:type="dxa"/>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Complaints-handling</w:t>
                  </w:r>
                </w:p>
              </w:tc>
              <w:tc>
                <w:tcPr>
                  <w:tcW w:w="1445" w:type="dxa"/>
                  <w:shd w:val="clear" w:color="auto" w:fill="auto"/>
                  <w:tcMar>
                    <w:left w:w="113" w:type="dxa"/>
                  </w:tcMar>
                  <w:vAlign w:val="center"/>
                </w:tcPr>
                <w:p w:rsidR="001E6FB8" w:rsidRPr="00E141F1" w:rsidRDefault="001E6FB8" w:rsidP="001E6FB8">
                  <w:pPr>
                    <w:ind w:right="96"/>
                    <w:jc w:val="right"/>
                    <w:rPr>
                      <w:rFonts w:cs="Arial"/>
                      <w:sz w:val="18"/>
                      <w:szCs w:val="18"/>
                    </w:rPr>
                  </w:pPr>
                  <w:r w:rsidRPr="00E141F1">
                    <w:rPr>
                      <w:rFonts w:cs="Arial"/>
                      <w:sz w:val="18"/>
                      <w:szCs w:val="18"/>
                    </w:rPr>
                    <w:t>65,818</w:t>
                  </w:r>
                </w:p>
              </w:tc>
              <w:tc>
                <w:tcPr>
                  <w:tcW w:w="1463" w:type="dxa"/>
                </w:tcPr>
                <w:p w:rsidR="001E6FB8" w:rsidRPr="00E141F1" w:rsidRDefault="001E6FB8" w:rsidP="001E6FB8">
                  <w:pPr>
                    <w:ind w:right="96"/>
                    <w:jc w:val="right"/>
                    <w:rPr>
                      <w:rFonts w:cs="Arial"/>
                      <w:sz w:val="18"/>
                      <w:szCs w:val="18"/>
                    </w:rPr>
                  </w:pPr>
                  <w:r w:rsidRPr="00E141F1">
                    <w:rPr>
                      <w:rFonts w:cs="Arial"/>
                      <w:sz w:val="18"/>
                      <w:szCs w:val="18"/>
                    </w:rPr>
                    <w:t>50,504</w:t>
                  </w:r>
                </w:p>
              </w:tc>
              <w:tc>
                <w:tcPr>
                  <w:tcW w:w="1463" w:type="dxa"/>
                  <w:shd w:val="clear" w:color="auto" w:fill="auto"/>
                  <w:tcMar>
                    <w:left w:w="113" w:type="dxa"/>
                  </w:tcMar>
                  <w:vAlign w:val="center"/>
                </w:tcPr>
                <w:p w:rsidR="001E6FB8" w:rsidRPr="00E141F1" w:rsidRDefault="001E6FB8" w:rsidP="001E6FB8">
                  <w:pPr>
                    <w:ind w:right="96"/>
                    <w:jc w:val="right"/>
                    <w:rPr>
                      <w:rFonts w:cs="Arial"/>
                      <w:sz w:val="18"/>
                      <w:szCs w:val="18"/>
                    </w:rPr>
                  </w:pPr>
                  <w:r>
                    <w:rPr>
                      <w:rFonts w:cs="Arial"/>
                      <w:sz w:val="18"/>
                      <w:szCs w:val="18"/>
                    </w:rPr>
                    <w:t>–</w:t>
                  </w:r>
                  <w:r w:rsidRPr="00E141F1">
                    <w:rPr>
                      <w:rFonts w:cs="Arial"/>
                      <w:sz w:val="18"/>
                      <w:szCs w:val="18"/>
                    </w:rPr>
                    <w:t>23%</w:t>
                  </w:r>
                </w:p>
              </w:tc>
            </w:tr>
            <w:tr w:rsidR="001E6FB8" w:rsidRPr="00E141F1" w:rsidTr="001E6FB8">
              <w:trPr>
                <w:trHeight w:val="177"/>
              </w:trPr>
              <w:tc>
                <w:tcPr>
                  <w:tcW w:w="5255" w:type="dxa"/>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Credit management</w:t>
                  </w:r>
                </w:p>
              </w:tc>
              <w:tc>
                <w:tcPr>
                  <w:tcW w:w="1445" w:type="dxa"/>
                  <w:shd w:val="clear" w:color="auto" w:fill="auto"/>
                  <w:tcMar>
                    <w:left w:w="113" w:type="dxa"/>
                  </w:tcMar>
                  <w:vAlign w:val="center"/>
                </w:tcPr>
                <w:p w:rsidR="001E6FB8" w:rsidRPr="00E141F1" w:rsidRDefault="001E6FB8" w:rsidP="001E6FB8">
                  <w:pPr>
                    <w:ind w:right="96"/>
                    <w:jc w:val="right"/>
                    <w:rPr>
                      <w:rFonts w:cs="Arial"/>
                      <w:sz w:val="18"/>
                      <w:szCs w:val="18"/>
                    </w:rPr>
                  </w:pPr>
                  <w:r w:rsidRPr="00E141F1">
                    <w:rPr>
                      <w:rFonts w:cs="Arial"/>
                      <w:sz w:val="18"/>
                      <w:szCs w:val="18"/>
                    </w:rPr>
                    <w:t>52,907</w:t>
                  </w:r>
                </w:p>
              </w:tc>
              <w:tc>
                <w:tcPr>
                  <w:tcW w:w="1463" w:type="dxa"/>
                </w:tcPr>
                <w:p w:rsidR="001E6FB8" w:rsidRPr="00E141F1" w:rsidRDefault="001E6FB8" w:rsidP="001E6FB8">
                  <w:pPr>
                    <w:ind w:right="96"/>
                    <w:jc w:val="right"/>
                    <w:rPr>
                      <w:rFonts w:cs="Arial"/>
                      <w:sz w:val="18"/>
                      <w:szCs w:val="18"/>
                    </w:rPr>
                  </w:pPr>
                  <w:r w:rsidRPr="00E141F1">
                    <w:rPr>
                      <w:rFonts w:cs="Arial"/>
                      <w:sz w:val="18"/>
                      <w:szCs w:val="18"/>
                    </w:rPr>
                    <w:t>46,138</w:t>
                  </w:r>
                </w:p>
              </w:tc>
              <w:tc>
                <w:tcPr>
                  <w:tcW w:w="1463" w:type="dxa"/>
                  <w:shd w:val="clear" w:color="auto" w:fill="auto"/>
                  <w:tcMar>
                    <w:left w:w="113" w:type="dxa"/>
                  </w:tcMar>
                  <w:vAlign w:val="center"/>
                </w:tcPr>
                <w:p w:rsidR="001E6FB8" w:rsidRPr="00E141F1" w:rsidRDefault="001E6FB8" w:rsidP="001E6FB8">
                  <w:pPr>
                    <w:ind w:right="96"/>
                    <w:jc w:val="right"/>
                    <w:rPr>
                      <w:rFonts w:cs="Arial"/>
                      <w:sz w:val="18"/>
                      <w:szCs w:val="18"/>
                    </w:rPr>
                  </w:pPr>
                  <w:r>
                    <w:rPr>
                      <w:rFonts w:cs="Arial"/>
                      <w:sz w:val="18"/>
                      <w:szCs w:val="18"/>
                    </w:rPr>
                    <w:t>–</w:t>
                  </w:r>
                  <w:r w:rsidRPr="00E141F1">
                    <w:rPr>
                      <w:rFonts w:cs="Arial"/>
                      <w:sz w:val="18"/>
                      <w:szCs w:val="18"/>
                    </w:rPr>
                    <w:t>13%</w:t>
                  </w:r>
                </w:p>
              </w:tc>
            </w:tr>
          </w:tbl>
          <w:p w:rsidR="001E6FB8" w:rsidRPr="00E141F1" w:rsidRDefault="001E6FB8" w:rsidP="001E6FB8">
            <w:pPr>
              <w:rPr>
                <w:rFonts w:cs="Arial"/>
                <w:szCs w:val="20"/>
              </w:rPr>
            </w:pPr>
          </w:p>
        </w:tc>
      </w:tr>
      <w:tr w:rsidR="001E6FB8" w:rsidRPr="00E141F1" w:rsidTr="001E6FB8">
        <w:trPr>
          <w:trHeight w:val="70"/>
        </w:trPr>
        <w:tc>
          <w:tcPr>
            <w:tcW w:w="9645" w:type="dxa"/>
            <w:tcBorders>
              <w:bottom w:val="single" w:sz="2" w:space="0" w:color="505050"/>
            </w:tcBorders>
            <w:shd w:val="clear" w:color="auto" w:fill="auto"/>
          </w:tcPr>
          <w:p w:rsidR="001E6FB8" w:rsidRPr="00E141F1" w:rsidRDefault="001E6FB8" w:rsidP="001E6FB8">
            <w:pPr>
              <w:spacing w:after="60" w:line="240" w:lineRule="auto"/>
              <w:rPr>
                <w:rFonts w:cs="Arial"/>
                <w:sz w:val="16"/>
                <w:szCs w:val="16"/>
              </w:rPr>
            </w:pPr>
            <w:r w:rsidRPr="00E141F1">
              <w:rPr>
                <w:rFonts w:cs="Arial"/>
                <w:i/>
                <w:sz w:val="16"/>
                <w:szCs w:val="16"/>
              </w:rPr>
              <w:t>Source: TIO</w:t>
            </w:r>
            <w:r w:rsidRPr="00E141F1">
              <w:rPr>
                <w:rFonts w:cs="Arial"/>
                <w:sz w:val="16"/>
                <w:szCs w:val="16"/>
              </w:rPr>
              <w:t>.</w:t>
            </w:r>
          </w:p>
        </w:tc>
      </w:tr>
    </w:tbl>
    <w:p w:rsidR="001E6FB8" w:rsidRPr="00E141F1" w:rsidRDefault="001E6FB8" w:rsidP="001E6FB8">
      <w:pPr>
        <w:rPr>
          <w:rFonts w:cs="Arial"/>
        </w:rPr>
      </w:pPr>
    </w:p>
    <w:p w:rsidR="001E6FB8" w:rsidRPr="00E141F1" w:rsidRDefault="001E6FB8" w:rsidP="001E6FB8">
      <w:pPr>
        <w:pStyle w:val="Heading2"/>
      </w:pPr>
      <w:bookmarkStart w:id="494" w:name="_Toc341428411"/>
      <w:bookmarkStart w:id="495" w:name="_Toc371589087"/>
      <w:bookmarkStart w:id="496" w:name="_Toc373149149"/>
      <w:r w:rsidRPr="00E141F1">
        <w:t>Consumer satisfaction with communications services</w:t>
      </w:r>
      <w:bookmarkEnd w:id="494"/>
      <w:bookmarkEnd w:id="495"/>
      <w:bookmarkEnd w:id="496"/>
    </w:p>
    <w:p w:rsidR="001E6FB8" w:rsidRPr="00E141F1" w:rsidRDefault="001E6FB8" w:rsidP="001E6FB8">
      <w:pPr>
        <w:rPr>
          <w:rFonts w:cs="Arial"/>
        </w:rPr>
      </w:pPr>
      <w:r w:rsidRPr="00E141F1">
        <w:rPr>
          <w:rFonts w:cs="Arial"/>
        </w:rPr>
        <w:t>The majority of Australian communications consumers are generally satisfied with their communications services.</w:t>
      </w:r>
      <w:r w:rsidRPr="00E141F1">
        <w:rPr>
          <w:rStyle w:val="EndnoteReference"/>
          <w:rFonts w:cs="Arial"/>
        </w:rPr>
        <w:endnoteReference w:id="38"/>
      </w:r>
      <w:r w:rsidRPr="00E141F1">
        <w:rPr>
          <w:rFonts w:cs="Arial"/>
        </w:rPr>
        <w:t xml:space="preserv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Compared to results from 2012, the level of overall satisfaction (includes ‘very satisfied’ and ‘satisfied’ responses) with communications services has dropped by four percentage points for mobile telephones and seven percentage points for fixed-line phones. VoIP services saw the biggest change in satisfaction levels with a drop of nearly 10 percentage points. The results for internet cannot be compared due to a change in methodology.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In 2013, overall satisfaction levels were higher for fixed-line and internet users (71 per cent and 76 per cent respectively) than for mobile phones and VoIP users (69 per cent and 55 per cent respectively). Levels of overall dissatisfaction with these four types of communications services ranged from eight (internet) to 13 per cent (VoIP). </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color w:val="auto"/>
              </w:rPr>
            </w:pPr>
            <w:r w:rsidRPr="00E141F1">
              <w:rPr>
                <w:rFonts w:cs="Arial"/>
              </w:rPr>
              <w:t>Figure 3.10 Change in overall satisfaction with select communications services</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keepNext/>
              <w:keepLines/>
              <w:rPr>
                <w:rFonts w:cs="Arial"/>
              </w:rPr>
            </w:pPr>
            <w:r w:rsidRPr="00DC093E">
              <w:rPr>
                <w:rFonts w:cs="Arial"/>
                <w:noProof/>
              </w:rPr>
              <w:drawing>
                <wp:inline distT="0" distB="0" distL="0" distR="0">
                  <wp:extent cx="5993295" cy="3250096"/>
                  <wp:effectExtent l="0" t="0" r="0" b="0"/>
                  <wp:docPr id="240" name="Chart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240" w:line="240" w:lineRule="auto"/>
              <w:rPr>
                <w:rFonts w:cs="Arial"/>
                <w:i/>
                <w:sz w:val="16"/>
                <w:szCs w:val="16"/>
              </w:rPr>
            </w:pPr>
            <w:r>
              <w:rPr>
                <w:rFonts w:cs="Arial"/>
                <w:i/>
                <w:sz w:val="16"/>
                <w:szCs w:val="16"/>
              </w:rPr>
              <w:t xml:space="preserve">Note: </w:t>
            </w:r>
            <w:r w:rsidRPr="00E141F1">
              <w:rPr>
                <w:rFonts w:cs="Arial"/>
                <w:i/>
                <w:sz w:val="16"/>
                <w:szCs w:val="16"/>
              </w:rPr>
              <w:t>Communications consumers are defined as having a fixed-line telephone and/or a mobile phone.</w:t>
            </w:r>
          </w:p>
          <w:p w:rsidR="001E6FB8" w:rsidRPr="00E141F1" w:rsidRDefault="001E6FB8" w:rsidP="001E6FB8">
            <w:pPr>
              <w:keepNext/>
              <w:keepLines/>
              <w:spacing w:line="240" w:lineRule="auto"/>
              <w:rPr>
                <w:rFonts w:cs="Arial"/>
                <w:i/>
                <w:sz w:val="16"/>
                <w:szCs w:val="16"/>
              </w:rPr>
            </w:pPr>
            <w:r w:rsidRPr="00E141F1">
              <w:rPr>
                <w:rFonts w:cs="Arial"/>
                <w:i/>
                <w:sz w:val="16"/>
                <w:szCs w:val="16"/>
              </w:rPr>
              <w:t xml:space="preserve">The response category ‘Overall’ is not an average of all other response categories. Respondents were asked a separate question about their overall level of satisfaction with each of the services identified. </w:t>
            </w:r>
          </w:p>
          <w:p w:rsidR="001E6FB8" w:rsidRPr="00E141F1" w:rsidRDefault="001E6FB8" w:rsidP="001E6FB8">
            <w:pPr>
              <w:keepNext/>
              <w:keepLines/>
              <w:spacing w:line="240" w:lineRule="auto"/>
              <w:rPr>
                <w:rFonts w:cs="Arial"/>
                <w:i/>
                <w:sz w:val="16"/>
                <w:szCs w:val="16"/>
              </w:rPr>
            </w:pPr>
            <w:r w:rsidRPr="00E141F1">
              <w:rPr>
                <w:rFonts w:cs="Arial"/>
                <w:i/>
                <w:sz w:val="16"/>
                <w:szCs w:val="16"/>
              </w:rPr>
              <w:t>*Due to changes to methodology, the overall internet satisfaction data is sourced from the Roy Morgan Single Source, Apr</w:t>
            </w:r>
            <w:r>
              <w:rPr>
                <w:rFonts w:cs="Arial"/>
                <w:i/>
                <w:sz w:val="16"/>
                <w:szCs w:val="16"/>
              </w:rPr>
              <w:t>–</w:t>
            </w:r>
            <w:r w:rsidRPr="00E141F1">
              <w:rPr>
                <w:rFonts w:cs="Arial"/>
                <w:i/>
                <w:sz w:val="16"/>
                <w:szCs w:val="16"/>
              </w:rPr>
              <w:t>Jun 2013</w:t>
            </w:r>
            <w:r>
              <w:rPr>
                <w:rFonts w:cs="Arial"/>
                <w:i/>
                <w:sz w:val="16"/>
                <w:szCs w:val="16"/>
              </w:rPr>
              <w:t>.</w:t>
            </w:r>
          </w:p>
          <w:p w:rsidR="001E6FB8" w:rsidRPr="00E141F1" w:rsidRDefault="001E6FB8" w:rsidP="001E6FB8">
            <w:pPr>
              <w:keepNext/>
              <w:keepLines/>
              <w:spacing w:after="60" w:line="240" w:lineRule="auto"/>
              <w:rPr>
                <w:rFonts w:cs="Arial"/>
              </w:rPr>
            </w:pPr>
            <w:r w:rsidRPr="00E141F1">
              <w:rPr>
                <w:rFonts w:cs="Arial"/>
                <w:i/>
                <w:sz w:val="16"/>
                <w:szCs w:val="16"/>
              </w:rPr>
              <w:t>Source: ACMA-commissioned survey May 2012 and May 2013.</w:t>
            </w:r>
          </w:p>
        </w:tc>
      </w:tr>
    </w:tbl>
    <w:p w:rsidR="001E6FB8" w:rsidRPr="00E141F1" w:rsidRDefault="001E6FB8" w:rsidP="001E6FB8">
      <w:pPr>
        <w:rPr>
          <w:rFonts w:cs="Arial"/>
        </w:rPr>
      </w:pPr>
    </w:p>
    <w:p w:rsidR="001E6FB8" w:rsidRPr="00E141F1" w:rsidRDefault="001E6FB8" w:rsidP="001E6FB8">
      <w:pPr>
        <w:pStyle w:val="Heading3"/>
      </w:pPr>
      <w:bookmarkStart w:id="497" w:name="_Toc371589088"/>
      <w:bookmarkStart w:id="498" w:name="_Toc373149150"/>
      <w:r w:rsidRPr="00E141F1">
        <w:t>Satisfaction with communications service components</w:t>
      </w:r>
      <w:bookmarkEnd w:id="497"/>
      <w:bookmarkEnd w:id="498"/>
    </w:p>
    <w:p w:rsidR="001E6FB8" w:rsidRPr="00E141F1" w:rsidRDefault="001E6FB8" w:rsidP="001E6FB8">
      <w:pPr>
        <w:rPr>
          <w:rFonts w:cs="Arial"/>
        </w:rPr>
      </w:pPr>
      <w:r w:rsidRPr="00E141F1">
        <w:rPr>
          <w:rFonts w:cs="Arial"/>
        </w:rPr>
        <w:t>Table 3.21 presents a summary of results from the 2013 satisfaction survey.</w:t>
      </w:r>
    </w:p>
    <w:p w:rsidR="001E6FB8" w:rsidRPr="00E141F1" w:rsidRDefault="001E6FB8" w:rsidP="001E6FB8">
      <w:pPr>
        <w:rPr>
          <w:rFonts w:cs="Arial"/>
        </w:rPr>
      </w:pPr>
    </w:p>
    <w:p w:rsidR="001E6FB8" w:rsidRPr="00E141F1" w:rsidRDefault="001E6FB8" w:rsidP="001E6FB8">
      <w:pPr>
        <w:rPr>
          <w:rFonts w:cs="Arial"/>
          <w:b/>
          <w:bCs/>
        </w:rPr>
      </w:pPr>
      <w:r w:rsidRPr="00E141F1">
        <w:rPr>
          <w:rFonts w:cs="Arial"/>
          <w:b/>
        </w:rPr>
        <w:t>Customer service—</w:t>
      </w:r>
      <w:r w:rsidRPr="00E141F1">
        <w:rPr>
          <w:rFonts w:cs="Arial"/>
        </w:rPr>
        <w:t xml:space="preserve">the levels of satisfaction ranged between 57 per cent and </w:t>
      </w:r>
      <w:r>
        <w:rPr>
          <w:rFonts w:cs="Arial"/>
        </w:rPr>
        <w:br/>
      </w:r>
      <w:r w:rsidRPr="00E141F1">
        <w:rPr>
          <w:rFonts w:cs="Arial"/>
        </w:rPr>
        <w:t>59 per cent across all services. Dissatisfaction levels were also similar ranging between 14</w:t>
      </w:r>
      <w:r>
        <w:rPr>
          <w:rFonts w:cs="Arial"/>
        </w:rPr>
        <w:t> </w:t>
      </w:r>
      <w:r w:rsidRPr="00E141F1">
        <w:rPr>
          <w:rFonts w:cs="Arial"/>
        </w:rPr>
        <w:t xml:space="preserve">per cent and 16 per cent. </w:t>
      </w:r>
    </w:p>
    <w:p w:rsidR="001E6FB8" w:rsidRPr="00E141F1" w:rsidRDefault="001E6FB8" w:rsidP="001E6FB8">
      <w:pPr>
        <w:rPr>
          <w:rFonts w:cs="Arial"/>
        </w:rPr>
      </w:pPr>
    </w:p>
    <w:p w:rsidR="001E6FB8" w:rsidRPr="00E141F1" w:rsidRDefault="001E6FB8" w:rsidP="001E6FB8">
      <w:pPr>
        <w:rPr>
          <w:rFonts w:cs="Arial"/>
        </w:rPr>
      </w:pPr>
      <w:r w:rsidRPr="00E141F1">
        <w:rPr>
          <w:rFonts w:cs="Arial"/>
          <w:b/>
        </w:rPr>
        <w:t>Service reliability—</w:t>
      </w:r>
      <w:r w:rsidRPr="00E141F1">
        <w:rPr>
          <w:rFonts w:cs="Arial"/>
        </w:rPr>
        <w:t>fixed-line services recorded the highest levels of satisfaction (81 per cent) and mobile phone services the lowest (64 per cent). Mobile phone services also recorded the highest level of dissatisfaction (13 per cent).</w:t>
      </w:r>
    </w:p>
    <w:p w:rsidR="001E6FB8" w:rsidRPr="00E141F1" w:rsidRDefault="001E6FB8" w:rsidP="001E6FB8">
      <w:pPr>
        <w:rPr>
          <w:rFonts w:cs="Arial"/>
        </w:rPr>
      </w:pPr>
    </w:p>
    <w:p w:rsidR="001E6FB8" w:rsidRPr="00E141F1" w:rsidRDefault="001E6FB8" w:rsidP="001E6FB8">
      <w:pPr>
        <w:rPr>
          <w:rFonts w:cs="Arial"/>
        </w:rPr>
      </w:pPr>
      <w:r w:rsidRPr="00E141F1">
        <w:rPr>
          <w:rFonts w:cs="Arial"/>
          <w:b/>
        </w:rPr>
        <w:t>Call/service and line rental costs—</w:t>
      </w:r>
      <w:r w:rsidRPr="00E141F1">
        <w:rPr>
          <w:rFonts w:cs="Arial"/>
        </w:rPr>
        <w:t>the highest levels of satisfaction with call/service costs were recorded for mobile phone services (54 per cent) compared to 51 per cent for both fixed-line telephone and internet services. Both fixed-line telephone and internet services recorded the highest levels of dissatisfaction for service costs (19 per cent each). Line rental costs for fixed-line telephone services had the highest reco</w:t>
      </w:r>
      <w:r>
        <w:rPr>
          <w:rFonts w:cs="Arial"/>
        </w:rPr>
        <w:t>rded level of dissatisfaction—32</w:t>
      </w:r>
      <w:r w:rsidRPr="00E141F1">
        <w:rPr>
          <w:rFonts w:cs="Arial"/>
        </w:rPr>
        <w:t xml:space="preserve"> per cent at May 2013—for all services and service components.</w:t>
      </w:r>
    </w:p>
    <w:p w:rsidR="001E6FB8" w:rsidRPr="00E141F1" w:rsidRDefault="001E6FB8" w:rsidP="001E6FB8">
      <w:pPr>
        <w:rPr>
          <w:rFonts w:cs="Arial"/>
        </w:rPr>
      </w:pPr>
    </w:p>
    <w:p w:rsidR="001E6FB8" w:rsidRPr="00E141F1" w:rsidRDefault="001E6FB8" w:rsidP="001E6FB8">
      <w:pPr>
        <w:rPr>
          <w:rFonts w:cs="Arial"/>
        </w:rPr>
      </w:pPr>
      <w:r w:rsidRPr="00E141F1">
        <w:rPr>
          <w:rFonts w:cs="Arial"/>
          <w:b/>
        </w:rPr>
        <w:t>Billing information—</w:t>
      </w:r>
      <w:r w:rsidRPr="00E141F1">
        <w:rPr>
          <w:rFonts w:cs="Arial"/>
        </w:rPr>
        <w:t>levels of satisfaction with billing information provided to customers were similar for the three main communications services, with 71 per cent for internet, 70 per cent for fixed-line telephone and 67 per cent for mobile phones. Dissatisfaction levels were also similar—10 per cent for both fixed-line and mobile telephone services and nine per cent for internet.</w:t>
      </w:r>
    </w:p>
    <w:p w:rsidR="001E6FB8" w:rsidRPr="00E141F1" w:rsidRDefault="001E6FB8" w:rsidP="001E6FB8">
      <w:pPr>
        <w:rPr>
          <w:rFonts w:cs="Arial"/>
        </w:rPr>
      </w:pPr>
    </w:p>
    <w:p w:rsidR="001E6FB8" w:rsidRPr="00E141F1" w:rsidRDefault="001E6FB8" w:rsidP="001E6FB8">
      <w:pPr>
        <w:rPr>
          <w:rFonts w:cs="Arial"/>
        </w:rPr>
      </w:pPr>
      <w:r w:rsidRPr="00E141F1">
        <w:rPr>
          <w:rFonts w:cs="Arial"/>
          <w:b/>
        </w:rPr>
        <w:t>Mobile phone internet access and internet data speeds—</w:t>
      </w:r>
      <w:r w:rsidRPr="00E141F1">
        <w:rPr>
          <w:rFonts w:cs="Arial"/>
        </w:rPr>
        <w:t xml:space="preserve">at May 2013, 56 per cent of consumers with internet access via their mobile phone were satisfied with their mobile internet access and 17 per cent were dissatisfied. In terms of internet data speeds in general, 56 per cent were satisfied and 18 per cent were dissatisfied. </w:t>
      </w:r>
    </w:p>
    <w:p w:rsidR="001E6FB8" w:rsidRPr="00E141F1" w:rsidRDefault="001E6FB8" w:rsidP="001E6FB8">
      <w:pPr>
        <w:rPr>
          <w:rFonts w:cs="Arial"/>
        </w:rPr>
      </w:pPr>
    </w:p>
    <w:tbl>
      <w:tblPr>
        <w:tblW w:w="9645" w:type="dxa"/>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Table 3.21 Consumer satisfaction with communications services, May 2013</w:t>
            </w:r>
          </w:p>
        </w:tc>
      </w:tr>
      <w:tr w:rsidR="001E6FB8" w:rsidRPr="00E141F1" w:rsidTr="001E6FB8">
        <w:trPr>
          <w:trHeight w:val="3086"/>
        </w:trPr>
        <w:tc>
          <w:tcPr>
            <w:tcW w:w="9645" w:type="dxa"/>
            <w:shd w:val="clear" w:color="auto" w:fill="auto"/>
            <w:tcMar>
              <w:left w:w="28" w:type="dxa"/>
            </w:tcMar>
          </w:tcPr>
          <w:tbl>
            <w:tblPr>
              <w:tblW w:w="4852" w:type="pct"/>
              <w:tblBorders>
                <w:top w:val="single" w:sz="4" w:space="0" w:color="C8C8C8"/>
                <w:bottom w:val="single" w:sz="4" w:space="0" w:color="C8C8C8"/>
                <w:insideH w:val="single" w:sz="4" w:space="0" w:color="C8C8C8"/>
                <w:insideV w:val="single" w:sz="4" w:space="0" w:color="C8C8C8"/>
              </w:tblBorders>
              <w:tblCellMar>
                <w:left w:w="85" w:type="dxa"/>
                <w:right w:w="0" w:type="dxa"/>
              </w:tblCellMar>
              <w:tblLook w:val="01E0"/>
            </w:tblPr>
            <w:tblGrid>
              <w:gridCol w:w="2380"/>
              <w:gridCol w:w="2128"/>
              <w:gridCol w:w="1560"/>
              <w:gridCol w:w="1702"/>
              <w:gridCol w:w="1562"/>
            </w:tblGrid>
            <w:tr w:rsidR="001E6FB8" w:rsidRPr="00E141F1" w:rsidTr="001E6FB8">
              <w:trPr>
                <w:trHeight w:val="612"/>
              </w:trPr>
              <w:tc>
                <w:tcPr>
                  <w:tcW w:w="1275" w:type="pct"/>
                  <w:shd w:val="clear" w:color="auto" w:fill="00709E"/>
                  <w:tcMar>
                    <w:top w:w="34" w:type="dxa"/>
                    <w:left w:w="113" w:type="dxa"/>
                  </w:tcMar>
                  <w:vAlign w:val="center"/>
                </w:tcPr>
                <w:p w:rsidR="001E6FB8" w:rsidRPr="00E141F1" w:rsidRDefault="001E6FB8" w:rsidP="001E6FB8">
                  <w:pPr>
                    <w:spacing w:before="100" w:beforeAutospacing="1" w:after="100" w:afterAutospacing="1" w:line="240" w:lineRule="auto"/>
                    <w:ind w:right="87"/>
                    <w:jc w:val="right"/>
                    <w:rPr>
                      <w:rFonts w:cs="Arial"/>
                      <w:b/>
                      <w:color w:val="FFFFFF" w:themeColor="background1"/>
                      <w:sz w:val="18"/>
                      <w:szCs w:val="18"/>
                    </w:rPr>
                  </w:pPr>
                </w:p>
              </w:tc>
              <w:tc>
                <w:tcPr>
                  <w:tcW w:w="1140" w:type="pct"/>
                  <w:shd w:val="clear" w:color="auto" w:fill="00709E"/>
                  <w:vAlign w:val="center"/>
                </w:tcPr>
                <w:p w:rsidR="001E6FB8" w:rsidRPr="00E141F1" w:rsidRDefault="001E6FB8" w:rsidP="001E6FB8">
                  <w:pPr>
                    <w:pStyle w:val="TableHeading"/>
                    <w:spacing w:before="100" w:beforeAutospacing="1" w:after="100" w:afterAutospacing="1" w:line="240" w:lineRule="auto"/>
                    <w:ind w:right="105"/>
                    <w:jc w:val="center"/>
                    <w:rPr>
                      <w:rFonts w:cs="Arial"/>
                      <w:color w:val="FFFFFF" w:themeColor="background1"/>
                      <w:sz w:val="18"/>
                      <w:szCs w:val="18"/>
                    </w:rPr>
                  </w:pPr>
                </w:p>
              </w:tc>
              <w:tc>
                <w:tcPr>
                  <w:tcW w:w="836" w:type="pct"/>
                  <w:shd w:val="clear" w:color="auto" w:fill="00709E"/>
                  <w:vAlign w:val="center"/>
                </w:tcPr>
                <w:p w:rsidR="001E6FB8" w:rsidRPr="00E141F1" w:rsidRDefault="001E6FB8" w:rsidP="001E6FB8">
                  <w:pPr>
                    <w:pStyle w:val="TableHeading"/>
                    <w:spacing w:before="100" w:beforeAutospacing="1" w:after="100" w:afterAutospacing="1" w:line="240" w:lineRule="auto"/>
                    <w:ind w:right="105"/>
                    <w:jc w:val="center"/>
                    <w:rPr>
                      <w:rFonts w:cs="Arial"/>
                      <w:color w:val="FFFFFF" w:themeColor="background1"/>
                      <w:sz w:val="18"/>
                      <w:szCs w:val="18"/>
                    </w:rPr>
                  </w:pPr>
                  <w:r w:rsidRPr="00E141F1">
                    <w:rPr>
                      <w:rFonts w:cs="Arial"/>
                      <w:color w:val="FFFFFF" w:themeColor="background1"/>
                      <w:sz w:val="18"/>
                      <w:szCs w:val="18"/>
                    </w:rPr>
                    <w:t>Fixed-line telephone</w:t>
                  </w:r>
                </w:p>
              </w:tc>
              <w:tc>
                <w:tcPr>
                  <w:tcW w:w="912" w:type="pct"/>
                  <w:shd w:val="clear" w:color="auto" w:fill="00709E"/>
                  <w:vAlign w:val="center"/>
                </w:tcPr>
                <w:p w:rsidR="001E6FB8" w:rsidRPr="00E141F1" w:rsidRDefault="001E6FB8" w:rsidP="001E6FB8">
                  <w:pPr>
                    <w:pStyle w:val="TableHeading"/>
                    <w:spacing w:before="100" w:beforeAutospacing="1" w:after="100" w:afterAutospacing="1" w:line="240" w:lineRule="auto"/>
                    <w:ind w:right="105"/>
                    <w:jc w:val="center"/>
                    <w:rPr>
                      <w:rFonts w:cs="Arial"/>
                      <w:color w:val="FFFFFF" w:themeColor="background1"/>
                      <w:sz w:val="18"/>
                      <w:szCs w:val="18"/>
                    </w:rPr>
                  </w:pPr>
                  <w:r w:rsidRPr="00E141F1">
                    <w:rPr>
                      <w:rFonts w:cs="Arial"/>
                      <w:color w:val="FFFFFF" w:themeColor="background1"/>
                      <w:sz w:val="18"/>
                      <w:szCs w:val="18"/>
                    </w:rPr>
                    <w:t>Mobile</w:t>
                  </w:r>
                </w:p>
              </w:tc>
              <w:tc>
                <w:tcPr>
                  <w:tcW w:w="837" w:type="pct"/>
                  <w:shd w:val="clear" w:color="auto" w:fill="00709E"/>
                  <w:vAlign w:val="center"/>
                </w:tcPr>
                <w:p w:rsidR="001E6FB8" w:rsidRPr="00E141F1" w:rsidRDefault="001E6FB8" w:rsidP="001E6FB8">
                  <w:pPr>
                    <w:pStyle w:val="TableHeading"/>
                    <w:spacing w:before="100" w:beforeAutospacing="1" w:after="100" w:afterAutospacing="1" w:line="240" w:lineRule="auto"/>
                    <w:ind w:right="105"/>
                    <w:jc w:val="center"/>
                    <w:rPr>
                      <w:rFonts w:cs="Arial"/>
                      <w:color w:val="FFFFFF" w:themeColor="background1"/>
                      <w:sz w:val="18"/>
                      <w:szCs w:val="18"/>
                    </w:rPr>
                  </w:pPr>
                  <w:r w:rsidRPr="00E141F1">
                    <w:rPr>
                      <w:rFonts w:cs="Arial"/>
                      <w:color w:val="FFFFFF" w:themeColor="background1"/>
                      <w:sz w:val="18"/>
                      <w:szCs w:val="18"/>
                    </w:rPr>
                    <w:t>Internet</w:t>
                  </w:r>
                </w:p>
              </w:tc>
            </w:tr>
            <w:tr w:rsidR="001E6FB8" w:rsidRPr="00E141F1" w:rsidTr="001E6FB8">
              <w:trPr>
                <w:trHeight w:val="960"/>
              </w:trPr>
              <w:tc>
                <w:tcPr>
                  <w:tcW w:w="1275" w:type="pct"/>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Customer service</w:t>
                  </w:r>
                </w:p>
              </w:tc>
              <w:tc>
                <w:tcPr>
                  <w:tcW w:w="1140" w:type="pct"/>
                </w:tcPr>
                <w:p w:rsidR="001E6FB8" w:rsidRPr="003E4870" w:rsidRDefault="001E6FB8" w:rsidP="001E6FB8">
                  <w:pPr>
                    <w:ind w:right="105"/>
                    <w:jc w:val="both"/>
                    <w:rPr>
                      <w:rFonts w:cs="Arial"/>
                      <w:color w:val="00709E"/>
                      <w:sz w:val="18"/>
                      <w:szCs w:val="18"/>
                    </w:rPr>
                  </w:pPr>
                  <w:r w:rsidRPr="003E4870">
                    <w:rPr>
                      <w:rFonts w:cs="Arial"/>
                      <w:color w:val="00709E"/>
                      <w:sz w:val="18"/>
                      <w:szCs w:val="18"/>
                    </w:rPr>
                    <w:t>Very satisfied</w:t>
                  </w:r>
                </w:p>
                <w:p w:rsidR="001E6FB8" w:rsidRPr="003E4870" w:rsidRDefault="001E6FB8" w:rsidP="001E6FB8">
                  <w:pPr>
                    <w:ind w:right="105"/>
                    <w:jc w:val="both"/>
                    <w:rPr>
                      <w:rFonts w:cs="Arial"/>
                      <w:color w:val="00709E"/>
                      <w:sz w:val="18"/>
                      <w:szCs w:val="18"/>
                    </w:rPr>
                  </w:pPr>
                  <w:r w:rsidRPr="003E4870">
                    <w:rPr>
                      <w:rFonts w:cs="Arial"/>
                      <w:color w:val="00709E"/>
                      <w:sz w:val="18"/>
                      <w:szCs w:val="18"/>
                    </w:rPr>
                    <w:t>Satisfied</w:t>
                  </w:r>
                </w:p>
                <w:p w:rsidR="001E6FB8" w:rsidRPr="00E141F1" w:rsidRDefault="001E6FB8" w:rsidP="001E6FB8">
                  <w:pPr>
                    <w:ind w:right="105"/>
                    <w:jc w:val="both"/>
                    <w:rPr>
                      <w:rFonts w:cs="Arial"/>
                      <w:sz w:val="18"/>
                      <w:szCs w:val="18"/>
                    </w:rPr>
                  </w:pPr>
                  <w:r w:rsidRPr="00E141F1">
                    <w:rPr>
                      <w:rFonts w:cs="Arial"/>
                      <w:sz w:val="18"/>
                      <w:szCs w:val="18"/>
                    </w:rPr>
                    <w:t>Dissatisfied</w:t>
                  </w:r>
                </w:p>
                <w:p w:rsidR="001E6FB8" w:rsidRPr="00E141F1" w:rsidRDefault="001E6FB8" w:rsidP="001E6FB8">
                  <w:pPr>
                    <w:ind w:right="105"/>
                    <w:jc w:val="both"/>
                    <w:rPr>
                      <w:rFonts w:cs="Arial"/>
                      <w:sz w:val="18"/>
                      <w:szCs w:val="18"/>
                    </w:rPr>
                  </w:pPr>
                  <w:r w:rsidRPr="00E141F1">
                    <w:rPr>
                      <w:rFonts w:cs="Arial"/>
                      <w:sz w:val="18"/>
                      <w:szCs w:val="18"/>
                    </w:rPr>
                    <w:t>Very dissatisfied</w:t>
                  </w:r>
                </w:p>
              </w:tc>
              <w:tc>
                <w:tcPr>
                  <w:tcW w:w="836" w:type="pct"/>
                </w:tcPr>
                <w:p w:rsidR="001E6FB8" w:rsidRPr="003E4870" w:rsidRDefault="001E6FB8" w:rsidP="001E6FB8">
                  <w:pPr>
                    <w:ind w:right="105"/>
                    <w:jc w:val="right"/>
                    <w:rPr>
                      <w:rFonts w:cs="Arial"/>
                      <w:color w:val="00709E"/>
                      <w:sz w:val="18"/>
                      <w:szCs w:val="18"/>
                    </w:rPr>
                  </w:pPr>
                  <w:r w:rsidRPr="003E4870">
                    <w:rPr>
                      <w:rFonts w:cs="Arial"/>
                      <w:color w:val="00709E"/>
                      <w:sz w:val="18"/>
                      <w:szCs w:val="18"/>
                    </w:rPr>
                    <w:t>23%</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34%</w:t>
                  </w:r>
                </w:p>
                <w:p w:rsidR="001E6FB8" w:rsidRPr="00E141F1" w:rsidRDefault="001E6FB8" w:rsidP="001E6FB8">
                  <w:pPr>
                    <w:ind w:right="105"/>
                    <w:jc w:val="right"/>
                    <w:rPr>
                      <w:rFonts w:cs="Arial"/>
                      <w:sz w:val="18"/>
                      <w:szCs w:val="18"/>
                    </w:rPr>
                  </w:pPr>
                  <w:r w:rsidRPr="00E141F1">
                    <w:rPr>
                      <w:rFonts w:cs="Arial"/>
                      <w:sz w:val="18"/>
                      <w:szCs w:val="18"/>
                    </w:rPr>
                    <w:t>9%</w:t>
                  </w:r>
                </w:p>
                <w:p w:rsidR="001E6FB8" w:rsidRPr="00E141F1" w:rsidRDefault="001E6FB8" w:rsidP="001E6FB8">
                  <w:pPr>
                    <w:ind w:right="105"/>
                    <w:jc w:val="right"/>
                    <w:rPr>
                      <w:rFonts w:cs="Arial"/>
                      <w:sz w:val="18"/>
                      <w:szCs w:val="18"/>
                    </w:rPr>
                  </w:pPr>
                  <w:r w:rsidRPr="00E141F1">
                    <w:rPr>
                      <w:rFonts w:cs="Arial"/>
                      <w:sz w:val="18"/>
                      <w:szCs w:val="18"/>
                    </w:rPr>
                    <w:t>6%</w:t>
                  </w:r>
                </w:p>
              </w:tc>
              <w:tc>
                <w:tcPr>
                  <w:tcW w:w="912"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22%</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37%</w:t>
                  </w:r>
                </w:p>
                <w:p w:rsidR="001E6FB8" w:rsidRPr="00E141F1" w:rsidRDefault="001E6FB8" w:rsidP="001E6FB8">
                  <w:pPr>
                    <w:ind w:right="105"/>
                    <w:jc w:val="right"/>
                    <w:rPr>
                      <w:rFonts w:cs="Arial"/>
                      <w:sz w:val="18"/>
                      <w:szCs w:val="18"/>
                    </w:rPr>
                  </w:pPr>
                  <w:r w:rsidRPr="00E141F1">
                    <w:rPr>
                      <w:rFonts w:cs="Arial"/>
                      <w:sz w:val="18"/>
                      <w:szCs w:val="18"/>
                    </w:rPr>
                    <w:t>9%</w:t>
                  </w:r>
                </w:p>
                <w:p w:rsidR="001E6FB8" w:rsidRPr="00E141F1" w:rsidRDefault="001E6FB8" w:rsidP="001E6FB8">
                  <w:pPr>
                    <w:ind w:right="105"/>
                    <w:jc w:val="right"/>
                    <w:rPr>
                      <w:rFonts w:cs="Arial"/>
                      <w:sz w:val="18"/>
                      <w:szCs w:val="18"/>
                    </w:rPr>
                  </w:pPr>
                  <w:r w:rsidRPr="00E141F1">
                    <w:rPr>
                      <w:rFonts w:cs="Arial"/>
                      <w:sz w:val="18"/>
                      <w:szCs w:val="18"/>
                    </w:rPr>
                    <w:t>5%</w:t>
                  </w:r>
                </w:p>
              </w:tc>
              <w:tc>
                <w:tcPr>
                  <w:tcW w:w="837"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25%</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34%</w:t>
                  </w:r>
                </w:p>
                <w:p w:rsidR="001E6FB8" w:rsidRPr="00E141F1" w:rsidRDefault="001E6FB8" w:rsidP="001E6FB8">
                  <w:pPr>
                    <w:ind w:right="105"/>
                    <w:jc w:val="right"/>
                    <w:rPr>
                      <w:rFonts w:cs="Arial"/>
                      <w:sz w:val="18"/>
                      <w:szCs w:val="18"/>
                    </w:rPr>
                  </w:pPr>
                  <w:r w:rsidRPr="00E141F1">
                    <w:rPr>
                      <w:rFonts w:cs="Arial"/>
                      <w:sz w:val="18"/>
                      <w:szCs w:val="18"/>
                    </w:rPr>
                    <w:t>10%</w:t>
                  </w:r>
                </w:p>
                <w:p w:rsidR="001E6FB8" w:rsidRPr="00E141F1" w:rsidRDefault="001E6FB8" w:rsidP="001E6FB8">
                  <w:pPr>
                    <w:ind w:right="105"/>
                    <w:jc w:val="right"/>
                    <w:rPr>
                      <w:rFonts w:cs="Arial"/>
                      <w:sz w:val="18"/>
                      <w:szCs w:val="18"/>
                    </w:rPr>
                  </w:pPr>
                  <w:r w:rsidRPr="00E141F1">
                    <w:rPr>
                      <w:rFonts w:cs="Arial"/>
                      <w:sz w:val="18"/>
                      <w:szCs w:val="18"/>
                    </w:rPr>
                    <w:t>6%</w:t>
                  </w:r>
                </w:p>
              </w:tc>
            </w:tr>
            <w:tr w:rsidR="001E6FB8" w:rsidRPr="00E141F1" w:rsidTr="001E6FB8">
              <w:trPr>
                <w:trHeight w:val="960"/>
              </w:trPr>
              <w:tc>
                <w:tcPr>
                  <w:tcW w:w="1275" w:type="pct"/>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Service reliability</w:t>
                  </w:r>
                </w:p>
              </w:tc>
              <w:tc>
                <w:tcPr>
                  <w:tcW w:w="1140" w:type="pct"/>
                </w:tcPr>
                <w:p w:rsidR="001E6FB8" w:rsidRPr="003E4870" w:rsidRDefault="001E6FB8" w:rsidP="001E6FB8">
                  <w:pPr>
                    <w:ind w:right="105"/>
                    <w:jc w:val="both"/>
                    <w:rPr>
                      <w:rFonts w:cs="Arial"/>
                      <w:color w:val="00709E"/>
                      <w:sz w:val="18"/>
                      <w:szCs w:val="18"/>
                    </w:rPr>
                  </w:pPr>
                  <w:r w:rsidRPr="003E4870">
                    <w:rPr>
                      <w:rFonts w:cs="Arial"/>
                      <w:color w:val="00709E"/>
                      <w:sz w:val="18"/>
                      <w:szCs w:val="18"/>
                    </w:rPr>
                    <w:t>Very satisfied</w:t>
                  </w:r>
                </w:p>
                <w:p w:rsidR="001E6FB8" w:rsidRPr="003E4870" w:rsidRDefault="001E6FB8" w:rsidP="001E6FB8">
                  <w:pPr>
                    <w:ind w:right="105"/>
                    <w:jc w:val="both"/>
                    <w:rPr>
                      <w:rFonts w:cs="Arial"/>
                      <w:color w:val="00709E"/>
                      <w:sz w:val="18"/>
                      <w:szCs w:val="18"/>
                    </w:rPr>
                  </w:pPr>
                  <w:r w:rsidRPr="003E4870">
                    <w:rPr>
                      <w:rFonts w:cs="Arial"/>
                      <w:color w:val="00709E"/>
                      <w:sz w:val="18"/>
                      <w:szCs w:val="18"/>
                    </w:rPr>
                    <w:t>Satisfied</w:t>
                  </w:r>
                </w:p>
                <w:p w:rsidR="001E6FB8" w:rsidRPr="00E141F1" w:rsidRDefault="001E6FB8" w:rsidP="001E6FB8">
                  <w:pPr>
                    <w:ind w:right="105"/>
                    <w:jc w:val="both"/>
                    <w:rPr>
                      <w:rFonts w:cs="Arial"/>
                      <w:sz w:val="18"/>
                      <w:szCs w:val="18"/>
                    </w:rPr>
                  </w:pPr>
                  <w:r w:rsidRPr="00E141F1">
                    <w:rPr>
                      <w:rFonts w:cs="Arial"/>
                      <w:sz w:val="18"/>
                      <w:szCs w:val="18"/>
                    </w:rPr>
                    <w:t>Dissatisfied</w:t>
                  </w:r>
                </w:p>
                <w:p w:rsidR="001E6FB8" w:rsidRPr="00E141F1" w:rsidRDefault="001E6FB8" w:rsidP="001E6FB8">
                  <w:pPr>
                    <w:ind w:right="105"/>
                    <w:jc w:val="both"/>
                    <w:rPr>
                      <w:rFonts w:cs="Arial"/>
                      <w:sz w:val="18"/>
                      <w:szCs w:val="18"/>
                    </w:rPr>
                  </w:pPr>
                  <w:r w:rsidRPr="00E141F1">
                    <w:rPr>
                      <w:rFonts w:cs="Arial"/>
                      <w:sz w:val="18"/>
                      <w:szCs w:val="18"/>
                    </w:rPr>
                    <w:t>Very dissatisfied</w:t>
                  </w:r>
                </w:p>
              </w:tc>
              <w:tc>
                <w:tcPr>
                  <w:tcW w:w="836" w:type="pct"/>
                </w:tcPr>
                <w:p w:rsidR="001E6FB8" w:rsidRPr="003E4870" w:rsidRDefault="001E6FB8" w:rsidP="001E6FB8">
                  <w:pPr>
                    <w:ind w:right="105"/>
                    <w:jc w:val="right"/>
                    <w:rPr>
                      <w:rFonts w:cs="Arial"/>
                      <w:color w:val="00709E"/>
                      <w:sz w:val="18"/>
                      <w:szCs w:val="18"/>
                    </w:rPr>
                  </w:pPr>
                  <w:r w:rsidRPr="003E4870">
                    <w:rPr>
                      <w:rFonts w:cs="Arial"/>
                      <w:color w:val="00709E"/>
                      <w:sz w:val="18"/>
                      <w:szCs w:val="18"/>
                    </w:rPr>
                    <w:t>42%</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39%</w:t>
                  </w:r>
                </w:p>
                <w:p w:rsidR="001E6FB8" w:rsidRPr="00E141F1" w:rsidRDefault="001E6FB8" w:rsidP="001E6FB8">
                  <w:pPr>
                    <w:ind w:right="105"/>
                    <w:jc w:val="right"/>
                    <w:rPr>
                      <w:rFonts w:cs="Arial"/>
                      <w:sz w:val="18"/>
                      <w:szCs w:val="18"/>
                    </w:rPr>
                  </w:pPr>
                  <w:r w:rsidRPr="00E141F1">
                    <w:rPr>
                      <w:rFonts w:cs="Arial"/>
                      <w:sz w:val="18"/>
                      <w:szCs w:val="18"/>
                    </w:rPr>
                    <w:t>4%</w:t>
                  </w:r>
                </w:p>
                <w:p w:rsidR="001E6FB8" w:rsidRPr="00E141F1" w:rsidRDefault="001E6FB8" w:rsidP="001E6FB8">
                  <w:pPr>
                    <w:ind w:right="105"/>
                    <w:jc w:val="right"/>
                    <w:rPr>
                      <w:rFonts w:cs="Arial"/>
                      <w:sz w:val="18"/>
                      <w:szCs w:val="18"/>
                    </w:rPr>
                  </w:pPr>
                  <w:r w:rsidRPr="00E141F1">
                    <w:rPr>
                      <w:rFonts w:cs="Arial"/>
                      <w:sz w:val="18"/>
                      <w:szCs w:val="18"/>
                    </w:rPr>
                    <w:t>2%</w:t>
                  </w:r>
                </w:p>
              </w:tc>
              <w:tc>
                <w:tcPr>
                  <w:tcW w:w="912"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26%</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38%</w:t>
                  </w:r>
                </w:p>
                <w:p w:rsidR="001E6FB8" w:rsidRPr="00E141F1" w:rsidRDefault="001E6FB8" w:rsidP="001E6FB8">
                  <w:pPr>
                    <w:ind w:right="105"/>
                    <w:jc w:val="right"/>
                    <w:rPr>
                      <w:rFonts w:cs="Arial"/>
                      <w:sz w:val="18"/>
                      <w:szCs w:val="18"/>
                    </w:rPr>
                  </w:pPr>
                  <w:r w:rsidRPr="00E141F1">
                    <w:rPr>
                      <w:rFonts w:cs="Arial"/>
                      <w:sz w:val="18"/>
                      <w:szCs w:val="18"/>
                    </w:rPr>
                    <w:t>9%</w:t>
                  </w:r>
                </w:p>
                <w:p w:rsidR="001E6FB8" w:rsidRPr="00E141F1" w:rsidRDefault="001E6FB8" w:rsidP="001E6FB8">
                  <w:pPr>
                    <w:ind w:right="105"/>
                    <w:jc w:val="right"/>
                    <w:rPr>
                      <w:rFonts w:cs="Arial"/>
                      <w:sz w:val="18"/>
                      <w:szCs w:val="18"/>
                    </w:rPr>
                  </w:pPr>
                  <w:r w:rsidRPr="00E141F1">
                    <w:rPr>
                      <w:rFonts w:cs="Arial"/>
                      <w:sz w:val="18"/>
                      <w:szCs w:val="18"/>
                    </w:rPr>
                    <w:t>4%</w:t>
                  </w:r>
                </w:p>
              </w:tc>
              <w:tc>
                <w:tcPr>
                  <w:tcW w:w="837"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30%</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42%</w:t>
                  </w:r>
                </w:p>
                <w:p w:rsidR="001E6FB8" w:rsidRPr="00E141F1" w:rsidRDefault="001E6FB8" w:rsidP="001E6FB8">
                  <w:pPr>
                    <w:ind w:right="105"/>
                    <w:jc w:val="right"/>
                    <w:rPr>
                      <w:rFonts w:cs="Arial"/>
                      <w:sz w:val="18"/>
                      <w:szCs w:val="18"/>
                    </w:rPr>
                  </w:pPr>
                  <w:r w:rsidRPr="00E141F1">
                    <w:rPr>
                      <w:rFonts w:cs="Arial"/>
                      <w:sz w:val="18"/>
                      <w:szCs w:val="18"/>
                    </w:rPr>
                    <w:t>7%</w:t>
                  </w:r>
                </w:p>
                <w:p w:rsidR="001E6FB8" w:rsidRPr="00E141F1" w:rsidRDefault="001E6FB8" w:rsidP="001E6FB8">
                  <w:pPr>
                    <w:ind w:right="105"/>
                    <w:jc w:val="right"/>
                    <w:rPr>
                      <w:rFonts w:cs="Arial"/>
                      <w:sz w:val="18"/>
                      <w:szCs w:val="18"/>
                    </w:rPr>
                  </w:pPr>
                  <w:r w:rsidRPr="00E141F1">
                    <w:rPr>
                      <w:rFonts w:cs="Arial"/>
                      <w:sz w:val="18"/>
                      <w:szCs w:val="18"/>
                    </w:rPr>
                    <w:t>3%</w:t>
                  </w:r>
                </w:p>
              </w:tc>
            </w:tr>
            <w:tr w:rsidR="001E6FB8" w:rsidRPr="00E141F1" w:rsidTr="001E6FB8">
              <w:trPr>
                <w:trHeight w:val="960"/>
              </w:trPr>
              <w:tc>
                <w:tcPr>
                  <w:tcW w:w="1275" w:type="pct"/>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Call/service costs</w:t>
                  </w:r>
                </w:p>
              </w:tc>
              <w:tc>
                <w:tcPr>
                  <w:tcW w:w="1140" w:type="pct"/>
                </w:tcPr>
                <w:p w:rsidR="001E6FB8" w:rsidRPr="003E4870" w:rsidRDefault="001E6FB8" w:rsidP="001E6FB8">
                  <w:pPr>
                    <w:ind w:right="105"/>
                    <w:jc w:val="both"/>
                    <w:rPr>
                      <w:rFonts w:cs="Arial"/>
                      <w:color w:val="00709E"/>
                      <w:sz w:val="18"/>
                      <w:szCs w:val="18"/>
                    </w:rPr>
                  </w:pPr>
                  <w:r w:rsidRPr="003E4870">
                    <w:rPr>
                      <w:rFonts w:cs="Arial"/>
                      <w:color w:val="00709E"/>
                      <w:sz w:val="18"/>
                      <w:szCs w:val="18"/>
                    </w:rPr>
                    <w:t>Very satisfied</w:t>
                  </w:r>
                </w:p>
                <w:p w:rsidR="001E6FB8" w:rsidRPr="003E4870" w:rsidRDefault="001E6FB8" w:rsidP="001E6FB8">
                  <w:pPr>
                    <w:ind w:right="105"/>
                    <w:jc w:val="both"/>
                    <w:rPr>
                      <w:rFonts w:cs="Arial"/>
                      <w:color w:val="00709E"/>
                      <w:sz w:val="18"/>
                      <w:szCs w:val="18"/>
                    </w:rPr>
                  </w:pPr>
                  <w:r w:rsidRPr="003E4870">
                    <w:rPr>
                      <w:rFonts w:cs="Arial"/>
                      <w:color w:val="00709E"/>
                      <w:sz w:val="18"/>
                      <w:szCs w:val="18"/>
                    </w:rPr>
                    <w:t>Satisfied</w:t>
                  </w:r>
                </w:p>
                <w:p w:rsidR="001E6FB8" w:rsidRPr="00E141F1" w:rsidRDefault="001E6FB8" w:rsidP="001E6FB8">
                  <w:pPr>
                    <w:ind w:right="105"/>
                    <w:jc w:val="both"/>
                    <w:rPr>
                      <w:rFonts w:cs="Arial"/>
                      <w:sz w:val="18"/>
                      <w:szCs w:val="18"/>
                    </w:rPr>
                  </w:pPr>
                  <w:r w:rsidRPr="00E141F1">
                    <w:rPr>
                      <w:rFonts w:cs="Arial"/>
                      <w:sz w:val="18"/>
                      <w:szCs w:val="18"/>
                    </w:rPr>
                    <w:t>Dissatisfied</w:t>
                  </w:r>
                </w:p>
                <w:p w:rsidR="001E6FB8" w:rsidRPr="00E141F1" w:rsidRDefault="001E6FB8" w:rsidP="001E6FB8">
                  <w:pPr>
                    <w:ind w:right="105"/>
                    <w:jc w:val="both"/>
                    <w:rPr>
                      <w:rFonts w:cs="Arial"/>
                      <w:sz w:val="18"/>
                      <w:szCs w:val="18"/>
                    </w:rPr>
                  </w:pPr>
                  <w:r w:rsidRPr="00E141F1">
                    <w:rPr>
                      <w:rFonts w:cs="Arial"/>
                      <w:sz w:val="18"/>
                      <w:szCs w:val="18"/>
                    </w:rPr>
                    <w:t>Very dissatisfied</w:t>
                  </w:r>
                </w:p>
              </w:tc>
              <w:tc>
                <w:tcPr>
                  <w:tcW w:w="836" w:type="pct"/>
                </w:tcPr>
                <w:p w:rsidR="001E6FB8" w:rsidRPr="003E4870" w:rsidRDefault="001E6FB8" w:rsidP="001E6FB8">
                  <w:pPr>
                    <w:ind w:right="105"/>
                    <w:jc w:val="right"/>
                    <w:rPr>
                      <w:rFonts w:cs="Arial"/>
                      <w:color w:val="00709E"/>
                      <w:sz w:val="18"/>
                      <w:szCs w:val="18"/>
                    </w:rPr>
                  </w:pPr>
                  <w:r w:rsidRPr="003E4870">
                    <w:rPr>
                      <w:rFonts w:cs="Arial"/>
                      <w:color w:val="00709E"/>
                      <w:sz w:val="18"/>
                      <w:szCs w:val="18"/>
                    </w:rPr>
                    <w:t>20%</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31%</w:t>
                  </w:r>
                </w:p>
                <w:p w:rsidR="001E6FB8" w:rsidRPr="00E141F1" w:rsidRDefault="001E6FB8" w:rsidP="001E6FB8">
                  <w:pPr>
                    <w:ind w:right="105"/>
                    <w:jc w:val="right"/>
                    <w:rPr>
                      <w:rFonts w:cs="Arial"/>
                      <w:sz w:val="18"/>
                      <w:szCs w:val="18"/>
                    </w:rPr>
                  </w:pPr>
                  <w:r w:rsidRPr="00E141F1">
                    <w:rPr>
                      <w:rFonts w:cs="Arial"/>
                      <w:sz w:val="18"/>
                      <w:szCs w:val="18"/>
                    </w:rPr>
                    <w:t>12%</w:t>
                  </w:r>
                </w:p>
                <w:p w:rsidR="001E6FB8" w:rsidRPr="00E141F1" w:rsidRDefault="001E6FB8" w:rsidP="001E6FB8">
                  <w:pPr>
                    <w:ind w:right="105"/>
                    <w:jc w:val="right"/>
                    <w:rPr>
                      <w:rFonts w:cs="Arial"/>
                      <w:sz w:val="18"/>
                      <w:szCs w:val="18"/>
                    </w:rPr>
                  </w:pPr>
                  <w:r w:rsidRPr="00E141F1">
                    <w:rPr>
                      <w:rFonts w:cs="Arial"/>
                      <w:sz w:val="18"/>
                      <w:szCs w:val="18"/>
                    </w:rPr>
                    <w:t>7%</w:t>
                  </w:r>
                </w:p>
              </w:tc>
              <w:tc>
                <w:tcPr>
                  <w:tcW w:w="912"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22%</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32%</w:t>
                  </w:r>
                </w:p>
                <w:p w:rsidR="001E6FB8" w:rsidRPr="00E141F1" w:rsidRDefault="001E6FB8" w:rsidP="001E6FB8">
                  <w:pPr>
                    <w:ind w:right="105"/>
                    <w:jc w:val="right"/>
                    <w:rPr>
                      <w:rFonts w:cs="Arial"/>
                      <w:sz w:val="18"/>
                      <w:szCs w:val="18"/>
                    </w:rPr>
                  </w:pPr>
                  <w:r w:rsidRPr="00E141F1">
                    <w:rPr>
                      <w:rFonts w:cs="Arial"/>
                      <w:sz w:val="18"/>
                      <w:szCs w:val="18"/>
                    </w:rPr>
                    <w:t>12%</w:t>
                  </w:r>
                </w:p>
                <w:p w:rsidR="001E6FB8" w:rsidRPr="00E141F1" w:rsidRDefault="001E6FB8" w:rsidP="001E6FB8">
                  <w:pPr>
                    <w:ind w:right="105"/>
                    <w:jc w:val="right"/>
                    <w:rPr>
                      <w:rFonts w:cs="Arial"/>
                      <w:sz w:val="18"/>
                      <w:szCs w:val="18"/>
                    </w:rPr>
                  </w:pPr>
                  <w:r w:rsidRPr="00E141F1">
                    <w:rPr>
                      <w:rFonts w:cs="Arial"/>
                      <w:sz w:val="18"/>
                      <w:szCs w:val="18"/>
                    </w:rPr>
                    <w:t>5%</w:t>
                  </w:r>
                </w:p>
              </w:tc>
              <w:tc>
                <w:tcPr>
                  <w:tcW w:w="837"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20%</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31%</w:t>
                  </w:r>
                </w:p>
                <w:p w:rsidR="001E6FB8" w:rsidRPr="00E141F1" w:rsidRDefault="001E6FB8" w:rsidP="001E6FB8">
                  <w:pPr>
                    <w:ind w:right="105"/>
                    <w:jc w:val="right"/>
                    <w:rPr>
                      <w:rFonts w:cs="Arial"/>
                      <w:sz w:val="18"/>
                      <w:szCs w:val="18"/>
                    </w:rPr>
                  </w:pPr>
                  <w:r w:rsidRPr="00E141F1">
                    <w:rPr>
                      <w:rFonts w:cs="Arial"/>
                      <w:sz w:val="18"/>
                      <w:szCs w:val="18"/>
                    </w:rPr>
                    <w:t>13%</w:t>
                  </w:r>
                </w:p>
                <w:p w:rsidR="001E6FB8" w:rsidRPr="00E141F1" w:rsidRDefault="001E6FB8" w:rsidP="001E6FB8">
                  <w:pPr>
                    <w:ind w:right="105"/>
                    <w:jc w:val="right"/>
                    <w:rPr>
                      <w:rFonts w:cs="Arial"/>
                      <w:sz w:val="18"/>
                      <w:szCs w:val="18"/>
                    </w:rPr>
                  </w:pPr>
                  <w:r w:rsidRPr="00E141F1">
                    <w:rPr>
                      <w:rFonts w:cs="Arial"/>
                      <w:sz w:val="18"/>
                      <w:szCs w:val="18"/>
                    </w:rPr>
                    <w:t>6%</w:t>
                  </w:r>
                </w:p>
              </w:tc>
            </w:tr>
            <w:tr w:rsidR="001E6FB8" w:rsidRPr="00E141F1" w:rsidTr="001E6FB8">
              <w:trPr>
                <w:trHeight w:val="960"/>
              </w:trPr>
              <w:tc>
                <w:tcPr>
                  <w:tcW w:w="1275" w:type="pct"/>
                  <w:shd w:val="clear" w:color="auto" w:fill="auto"/>
                  <w:tcMar>
                    <w:left w:w="113" w:type="dxa"/>
                  </w:tcMar>
                  <w:vAlign w:val="center"/>
                </w:tcPr>
                <w:p w:rsidR="001E6FB8" w:rsidRPr="00E141F1" w:rsidRDefault="001E6FB8" w:rsidP="001E6FB8">
                  <w:pPr>
                    <w:pStyle w:val="NoSpacing"/>
                    <w:spacing w:line="240" w:lineRule="atLeast"/>
                    <w:rPr>
                      <w:rFonts w:ascii="Arial" w:hAnsi="Arial" w:cs="Arial"/>
                      <w:sz w:val="18"/>
                      <w:szCs w:val="18"/>
                    </w:rPr>
                  </w:pPr>
                  <w:r w:rsidRPr="00E141F1">
                    <w:rPr>
                      <w:rFonts w:ascii="Arial" w:hAnsi="Arial" w:cs="Arial"/>
                      <w:sz w:val="18"/>
                      <w:szCs w:val="18"/>
                    </w:rPr>
                    <w:t xml:space="preserve">Billing information </w:t>
                  </w:r>
                </w:p>
              </w:tc>
              <w:tc>
                <w:tcPr>
                  <w:tcW w:w="1140" w:type="pct"/>
                </w:tcPr>
                <w:p w:rsidR="001E6FB8" w:rsidRPr="003E4870" w:rsidRDefault="001E6FB8" w:rsidP="001E6FB8">
                  <w:pPr>
                    <w:ind w:right="105"/>
                    <w:jc w:val="both"/>
                    <w:rPr>
                      <w:rFonts w:cs="Arial"/>
                      <w:color w:val="00709E"/>
                      <w:sz w:val="18"/>
                      <w:szCs w:val="18"/>
                    </w:rPr>
                  </w:pPr>
                  <w:r w:rsidRPr="003E4870">
                    <w:rPr>
                      <w:rFonts w:cs="Arial"/>
                      <w:color w:val="00709E"/>
                      <w:sz w:val="18"/>
                      <w:szCs w:val="18"/>
                    </w:rPr>
                    <w:t>Very satisfied</w:t>
                  </w:r>
                </w:p>
                <w:p w:rsidR="001E6FB8" w:rsidRPr="003E4870" w:rsidRDefault="001E6FB8" w:rsidP="001E6FB8">
                  <w:pPr>
                    <w:ind w:right="105"/>
                    <w:jc w:val="both"/>
                    <w:rPr>
                      <w:rFonts w:cs="Arial"/>
                      <w:color w:val="00709E"/>
                      <w:sz w:val="18"/>
                      <w:szCs w:val="18"/>
                    </w:rPr>
                  </w:pPr>
                  <w:r w:rsidRPr="003E4870">
                    <w:rPr>
                      <w:rFonts w:cs="Arial"/>
                      <w:color w:val="00709E"/>
                      <w:sz w:val="18"/>
                      <w:szCs w:val="18"/>
                    </w:rPr>
                    <w:t>Satisfied</w:t>
                  </w:r>
                </w:p>
                <w:p w:rsidR="001E6FB8" w:rsidRPr="00E141F1" w:rsidRDefault="001E6FB8" w:rsidP="001E6FB8">
                  <w:pPr>
                    <w:ind w:right="105"/>
                    <w:jc w:val="both"/>
                    <w:rPr>
                      <w:rFonts w:cs="Arial"/>
                      <w:sz w:val="18"/>
                      <w:szCs w:val="18"/>
                    </w:rPr>
                  </w:pPr>
                  <w:r w:rsidRPr="00E141F1">
                    <w:rPr>
                      <w:rFonts w:cs="Arial"/>
                      <w:sz w:val="18"/>
                      <w:szCs w:val="18"/>
                    </w:rPr>
                    <w:t>Dissatisfied</w:t>
                  </w:r>
                </w:p>
                <w:p w:rsidR="001E6FB8" w:rsidRPr="00E141F1" w:rsidRDefault="001E6FB8" w:rsidP="001E6FB8">
                  <w:pPr>
                    <w:ind w:right="105"/>
                    <w:jc w:val="both"/>
                    <w:rPr>
                      <w:rFonts w:cs="Arial"/>
                      <w:sz w:val="18"/>
                      <w:szCs w:val="18"/>
                    </w:rPr>
                  </w:pPr>
                  <w:r w:rsidRPr="00E141F1">
                    <w:rPr>
                      <w:rFonts w:cs="Arial"/>
                      <w:sz w:val="18"/>
                      <w:szCs w:val="18"/>
                    </w:rPr>
                    <w:t>Very dissatisfied</w:t>
                  </w:r>
                </w:p>
              </w:tc>
              <w:tc>
                <w:tcPr>
                  <w:tcW w:w="836" w:type="pct"/>
                </w:tcPr>
                <w:p w:rsidR="001E6FB8" w:rsidRPr="003E4870" w:rsidRDefault="001E6FB8" w:rsidP="001E6FB8">
                  <w:pPr>
                    <w:ind w:right="105"/>
                    <w:jc w:val="right"/>
                    <w:rPr>
                      <w:rFonts w:cs="Arial"/>
                      <w:color w:val="00709E"/>
                      <w:sz w:val="18"/>
                      <w:szCs w:val="18"/>
                    </w:rPr>
                  </w:pPr>
                  <w:r w:rsidRPr="003E4870">
                    <w:rPr>
                      <w:rFonts w:cs="Arial"/>
                      <w:color w:val="00709E"/>
                      <w:sz w:val="18"/>
                      <w:szCs w:val="18"/>
                    </w:rPr>
                    <w:t>32%</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38%</w:t>
                  </w:r>
                </w:p>
                <w:p w:rsidR="001E6FB8" w:rsidRPr="00E141F1" w:rsidRDefault="001E6FB8" w:rsidP="001E6FB8">
                  <w:pPr>
                    <w:ind w:right="105"/>
                    <w:jc w:val="right"/>
                    <w:rPr>
                      <w:rFonts w:cs="Arial"/>
                      <w:sz w:val="18"/>
                      <w:szCs w:val="18"/>
                    </w:rPr>
                  </w:pPr>
                  <w:r w:rsidRPr="00E141F1">
                    <w:rPr>
                      <w:rFonts w:cs="Arial"/>
                      <w:sz w:val="18"/>
                      <w:szCs w:val="18"/>
                    </w:rPr>
                    <w:t>7%</w:t>
                  </w:r>
                </w:p>
                <w:p w:rsidR="001E6FB8" w:rsidRPr="00E141F1" w:rsidRDefault="001E6FB8" w:rsidP="001E6FB8">
                  <w:pPr>
                    <w:ind w:right="105"/>
                    <w:jc w:val="right"/>
                    <w:rPr>
                      <w:rFonts w:cs="Arial"/>
                      <w:sz w:val="18"/>
                      <w:szCs w:val="18"/>
                    </w:rPr>
                  </w:pPr>
                  <w:r w:rsidRPr="00E141F1">
                    <w:rPr>
                      <w:rFonts w:cs="Arial"/>
                      <w:sz w:val="18"/>
                      <w:szCs w:val="18"/>
                    </w:rPr>
                    <w:t>3%</w:t>
                  </w:r>
                </w:p>
              </w:tc>
              <w:tc>
                <w:tcPr>
                  <w:tcW w:w="912"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30%</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37%</w:t>
                  </w:r>
                </w:p>
                <w:p w:rsidR="001E6FB8" w:rsidRPr="00E141F1" w:rsidRDefault="001E6FB8" w:rsidP="001E6FB8">
                  <w:pPr>
                    <w:ind w:right="105"/>
                    <w:jc w:val="right"/>
                    <w:rPr>
                      <w:rFonts w:cs="Arial"/>
                      <w:sz w:val="18"/>
                      <w:szCs w:val="18"/>
                    </w:rPr>
                  </w:pPr>
                  <w:r w:rsidRPr="00E141F1">
                    <w:rPr>
                      <w:rFonts w:cs="Arial"/>
                      <w:sz w:val="18"/>
                      <w:szCs w:val="18"/>
                    </w:rPr>
                    <w:t>7%</w:t>
                  </w:r>
                </w:p>
                <w:p w:rsidR="001E6FB8" w:rsidRPr="00E141F1" w:rsidRDefault="001E6FB8" w:rsidP="001E6FB8">
                  <w:pPr>
                    <w:ind w:right="105"/>
                    <w:jc w:val="right"/>
                    <w:rPr>
                      <w:rFonts w:cs="Arial"/>
                      <w:sz w:val="18"/>
                      <w:szCs w:val="18"/>
                    </w:rPr>
                  </w:pPr>
                  <w:r w:rsidRPr="00E141F1">
                    <w:rPr>
                      <w:rFonts w:cs="Arial"/>
                      <w:sz w:val="18"/>
                      <w:szCs w:val="18"/>
                    </w:rPr>
                    <w:t>3%</w:t>
                  </w:r>
                </w:p>
              </w:tc>
              <w:tc>
                <w:tcPr>
                  <w:tcW w:w="837"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35%</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36%</w:t>
                  </w:r>
                </w:p>
                <w:p w:rsidR="001E6FB8" w:rsidRPr="00E141F1" w:rsidRDefault="001E6FB8" w:rsidP="001E6FB8">
                  <w:pPr>
                    <w:ind w:right="105"/>
                    <w:jc w:val="right"/>
                    <w:rPr>
                      <w:rFonts w:cs="Arial"/>
                      <w:sz w:val="18"/>
                      <w:szCs w:val="18"/>
                    </w:rPr>
                  </w:pPr>
                  <w:r w:rsidRPr="00E141F1">
                    <w:rPr>
                      <w:rFonts w:cs="Arial"/>
                      <w:sz w:val="18"/>
                      <w:szCs w:val="18"/>
                    </w:rPr>
                    <w:t>6%</w:t>
                  </w:r>
                </w:p>
                <w:p w:rsidR="001E6FB8" w:rsidRPr="00E141F1" w:rsidRDefault="001E6FB8" w:rsidP="001E6FB8">
                  <w:pPr>
                    <w:ind w:right="105"/>
                    <w:jc w:val="right"/>
                    <w:rPr>
                      <w:rFonts w:cs="Arial"/>
                      <w:sz w:val="18"/>
                      <w:szCs w:val="18"/>
                    </w:rPr>
                  </w:pPr>
                  <w:r w:rsidRPr="00E141F1">
                    <w:rPr>
                      <w:rFonts w:cs="Arial"/>
                      <w:sz w:val="18"/>
                      <w:szCs w:val="18"/>
                    </w:rPr>
                    <w:t>3%</w:t>
                  </w:r>
                </w:p>
              </w:tc>
            </w:tr>
            <w:tr w:rsidR="001E6FB8" w:rsidRPr="00E141F1" w:rsidTr="001E6FB8">
              <w:trPr>
                <w:trHeight w:val="960"/>
              </w:trPr>
              <w:tc>
                <w:tcPr>
                  <w:tcW w:w="1275" w:type="pct"/>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Line rental cost</w:t>
                  </w:r>
                </w:p>
              </w:tc>
              <w:tc>
                <w:tcPr>
                  <w:tcW w:w="1140" w:type="pct"/>
                </w:tcPr>
                <w:p w:rsidR="001E6FB8" w:rsidRPr="003E4870" w:rsidRDefault="001E6FB8" w:rsidP="001E6FB8">
                  <w:pPr>
                    <w:ind w:right="105"/>
                    <w:jc w:val="both"/>
                    <w:rPr>
                      <w:rFonts w:cs="Arial"/>
                      <w:color w:val="00709E"/>
                      <w:sz w:val="18"/>
                      <w:szCs w:val="18"/>
                    </w:rPr>
                  </w:pPr>
                  <w:r w:rsidRPr="003E4870">
                    <w:rPr>
                      <w:rFonts w:cs="Arial"/>
                      <w:color w:val="00709E"/>
                      <w:sz w:val="18"/>
                      <w:szCs w:val="18"/>
                    </w:rPr>
                    <w:t>Very satisfied</w:t>
                  </w:r>
                </w:p>
                <w:p w:rsidR="001E6FB8" w:rsidRPr="003E4870" w:rsidRDefault="001E6FB8" w:rsidP="001E6FB8">
                  <w:pPr>
                    <w:ind w:right="105"/>
                    <w:jc w:val="both"/>
                    <w:rPr>
                      <w:rFonts w:cs="Arial"/>
                      <w:color w:val="00709E"/>
                      <w:sz w:val="18"/>
                      <w:szCs w:val="18"/>
                    </w:rPr>
                  </w:pPr>
                  <w:r w:rsidRPr="003E4870">
                    <w:rPr>
                      <w:rFonts w:cs="Arial"/>
                      <w:color w:val="00709E"/>
                      <w:sz w:val="18"/>
                      <w:szCs w:val="18"/>
                    </w:rPr>
                    <w:t>Satisfied</w:t>
                  </w:r>
                </w:p>
                <w:p w:rsidR="001E6FB8" w:rsidRPr="00E141F1" w:rsidRDefault="001E6FB8" w:rsidP="001E6FB8">
                  <w:pPr>
                    <w:ind w:right="105"/>
                    <w:jc w:val="both"/>
                    <w:rPr>
                      <w:rFonts w:cs="Arial"/>
                      <w:sz w:val="18"/>
                      <w:szCs w:val="18"/>
                    </w:rPr>
                  </w:pPr>
                  <w:r w:rsidRPr="00E141F1">
                    <w:rPr>
                      <w:rFonts w:cs="Arial"/>
                      <w:sz w:val="18"/>
                      <w:szCs w:val="18"/>
                    </w:rPr>
                    <w:t>Dissatisfied</w:t>
                  </w:r>
                </w:p>
                <w:p w:rsidR="001E6FB8" w:rsidRPr="00E141F1" w:rsidRDefault="001E6FB8" w:rsidP="001E6FB8">
                  <w:pPr>
                    <w:ind w:right="105"/>
                    <w:jc w:val="both"/>
                    <w:rPr>
                      <w:rFonts w:cs="Arial"/>
                      <w:sz w:val="18"/>
                      <w:szCs w:val="18"/>
                    </w:rPr>
                  </w:pPr>
                  <w:r w:rsidRPr="00E141F1">
                    <w:rPr>
                      <w:rFonts w:cs="Arial"/>
                      <w:sz w:val="18"/>
                      <w:szCs w:val="18"/>
                    </w:rPr>
                    <w:t>Very dissatisfied</w:t>
                  </w:r>
                </w:p>
              </w:tc>
              <w:tc>
                <w:tcPr>
                  <w:tcW w:w="836" w:type="pct"/>
                </w:tcPr>
                <w:p w:rsidR="001E6FB8" w:rsidRPr="003E4870" w:rsidRDefault="001E6FB8" w:rsidP="001E6FB8">
                  <w:pPr>
                    <w:ind w:right="105"/>
                    <w:jc w:val="right"/>
                    <w:rPr>
                      <w:rFonts w:cs="Arial"/>
                      <w:color w:val="00709E"/>
                      <w:sz w:val="18"/>
                      <w:szCs w:val="18"/>
                    </w:rPr>
                  </w:pPr>
                  <w:r w:rsidRPr="003E4870">
                    <w:rPr>
                      <w:rFonts w:cs="Arial"/>
                      <w:color w:val="00709E"/>
                      <w:sz w:val="18"/>
                      <w:szCs w:val="18"/>
                    </w:rPr>
                    <w:t>14%</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23%</w:t>
                  </w:r>
                </w:p>
                <w:p w:rsidR="001E6FB8" w:rsidRPr="00E141F1" w:rsidRDefault="001E6FB8" w:rsidP="001E6FB8">
                  <w:pPr>
                    <w:ind w:right="105"/>
                    <w:jc w:val="right"/>
                    <w:rPr>
                      <w:rFonts w:cs="Arial"/>
                      <w:sz w:val="18"/>
                      <w:szCs w:val="18"/>
                    </w:rPr>
                  </w:pPr>
                  <w:r w:rsidRPr="00E141F1">
                    <w:rPr>
                      <w:rFonts w:cs="Arial"/>
                      <w:sz w:val="18"/>
                      <w:szCs w:val="18"/>
                    </w:rPr>
                    <w:t>21%</w:t>
                  </w:r>
                </w:p>
                <w:p w:rsidR="001E6FB8" w:rsidRPr="00E141F1" w:rsidRDefault="001E6FB8" w:rsidP="001E6FB8">
                  <w:pPr>
                    <w:ind w:right="105"/>
                    <w:jc w:val="right"/>
                    <w:rPr>
                      <w:rFonts w:cs="Arial"/>
                      <w:sz w:val="18"/>
                      <w:szCs w:val="18"/>
                    </w:rPr>
                  </w:pPr>
                  <w:r w:rsidRPr="00E141F1">
                    <w:rPr>
                      <w:rFonts w:cs="Arial"/>
                      <w:sz w:val="18"/>
                      <w:szCs w:val="18"/>
                    </w:rPr>
                    <w:t>11%</w:t>
                  </w:r>
                </w:p>
              </w:tc>
              <w:tc>
                <w:tcPr>
                  <w:tcW w:w="912" w:type="pct"/>
                  <w:shd w:val="clear" w:color="auto" w:fill="auto"/>
                  <w:tcMar>
                    <w:left w:w="113" w:type="dxa"/>
                  </w:tcMar>
                  <w:vAlign w:val="center"/>
                </w:tcPr>
                <w:p w:rsidR="001E6FB8" w:rsidRPr="00E141F1" w:rsidRDefault="001E6FB8" w:rsidP="001E6FB8">
                  <w:pPr>
                    <w:ind w:right="105"/>
                    <w:jc w:val="right"/>
                    <w:rPr>
                      <w:rFonts w:cs="Arial"/>
                      <w:sz w:val="18"/>
                      <w:szCs w:val="18"/>
                    </w:rPr>
                  </w:pPr>
                  <w:r w:rsidRPr="00E141F1">
                    <w:rPr>
                      <w:rFonts w:cs="Arial"/>
                      <w:sz w:val="18"/>
                      <w:szCs w:val="18"/>
                    </w:rPr>
                    <w:t>n/a</w:t>
                  </w:r>
                </w:p>
              </w:tc>
              <w:tc>
                <w:tcPr>
                  <w:tcW w:w="837" w:type="pct"/>
                  <w:shd w:val="clear" w:color="auto" w:fill="auto"/>
                  <w:tcMar>
                    <w:left w:w="113" w:type="dxa"/>
                  </w:tcMar>
                  <w:vAlign w:val="center"/>
                </w:tcPr>
                <w:p w:rsidR="001E6FB8" w:rsidRPr="00E141F1" w:rsidRDefault="001E6FB8" w:rsidP="001E6FB8">
                  <w:pPr>
                    <w:ind w:right="105"/>
                    <w:jc w:val="right"/>
                    <w:rPr>
                      <w:rFonts w:cs="Arial"/>
                      <w:sz w:val="18"/>
                      <w:szCs w:val="18"/>
                    </w:rPr>
                  </w:pPr>
                  <w:r w:rsidRPr="00E141F1">
                    <w:rPr>
                      <w:rFonts w:cs="Arial"/>
                      <w:sz w:val="18"/>
                      <w:szCs w:val="18"/>
                    </w:rPr>
                    <w:t>n/a</w:t>
                  </w:r>
                </w:p>
              </w:tc>
            </w:tr>
            <w:tr w:rsidR="001E6FB8" w:rsidRPr="00E141F1" w:rsidTr="001E6FB8">
              <w:trPr>
                <w:trHeight w:val="960"/>
              </w:trPr>
              <w:tc>
                <w:tcPr>
                  <w:tcW w:w="1275" w:type="pct"/>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Internet access</w:t>
                  </w:r>
                </w:p>
              </w:tc>
              <w:tc>
                <w:tcPr>
                  <w:tcW w:w="1140" w:type="pct"/>
                </w:tcPr>
                <w:p w:rsidR="001E6FB8" w:rsidRPr="003E4870" w:rsidRDefault="001E6FB8" w:rsidP="001E6FB8">
                  <w:pPr>
                    <w:ind w:right="105"/>
                    <w:jc w:val="both"/>
                    <w:rPr>
                      <w:rFonts w:cs="Arial"/>
                      <w:color w:val="00709E"/>
                      <w:sz w:val="18"/>
                      <w:szCs w:val="18"/>
                    </w:rPr>
                  </w:pPr>
                  <w:r w:rsidRPr="003E4870">
                    <w:rPr>
                      <w:rFonts w:cs="Arial"/>
                      <w:color w:val="00709E"/>
                      <w:sz w:val="18"/>
                      <w:szCs w:val="18"/>
                    </w:rPr>
                    <w:t>Very satisfied</w:t>
                  </w:r>
                </w:p>
                <w:p w:rsidR="001E6FB8" w:rsidRPr="003E4870" w:rsidRDefault="001E6FB8" w:rsidP="001E6FB8">
                  <w:pPr>
                    <w:ind w:right="105"/>
                    <w:jc w:val="both"/>
                    <w:rPr>
                      <w:rFonts w:cs="Arial"/>
                      <w:color w:val="00709E"/>
                      <w:sz w:val="18"/>
                      <w:szCs w:val="18"/>
                    </w:rPr>
                  </w:pPr>
                  <w:r w:rsidRPr="003E4870">
                    <w:rPr>
                      <w:rFonts w:cs="Arial"/>
                      <w:color w:val="00709E"/>
                      <w:sz w:val="18"/>
                      <w:szCs w:val="18"/>
                    </w:rPr>
                    <w:t>Satisfied</w:t>
                  </w:r>
                </w:p>
                <w:p w:rsidR="001E6FB8" w:rsidRPr="00E141F1" w:rsidRDefault="001E6FB8" w:rsidP="001E6FB8">
                  <w:pPr>
                    <w:ind w:right="105"/>
                    <w:jc w:val="both"/>
                    <w:rPr>
                      <w:rFonts w:cs="Arial"/>
                      <w:sz w:val="18"/>
                      <w:szCs w:val="18"/>
                    </w:rPr>
                  </w:pPr>
                  <w:r w:rsidRPr="00E141F1">
                    <w:rPr>
                      <w:rFonts w:cs="Arial"/>
                      <w:sz w:val="18"/>
                      <w:szCs w:val="18"/>
                    </w:rPr>
                    <w:t>Dissatisfied</w:t>
                  </w:r>
                </w:p>
                <w:p w:rsidR="001E6FB8" w:rsidRPr="00E141F1" w:rsidRDefault="001E6FB8" w:rsidP="001E6FB8">
                  <w:pPr>
                    <w:ind w:right="105"/>
                    <w:jc w:val="both"/>
                    <w:rPr>
                      <w:rFonts w:cs="Arial"/>
                      <w:sz w:val="18"/>
                      <w:szCs w:val="18"/>
                    </w:rPr>
                  </w:pPr>
                  <w:r w:rsidRPr="00E141F1">
                    <w:rPr>
                      <w:rFonts w:cs="Arial"/>
                      <w:sz w:val="18"/>
                      <w:szCs w:val="18"/>
                    </w:rPr>
                    <w:t>Very dissatisfied</w:t>
                  </w:r>
                </w:p>
              </w:tc>
              <w:tc>
                <w:tcPr>
                  <w:tcW w:w="836" w:type="pct"/>
                  <w:vAlign w:val="center"/>
                </w:tcPr>
                <w:p w:rsidR="001E6FB8" w:rsidRPr="00E141F1" w:rsidRDefault="001E6FB8" w:rsidP="001E6FB8">
                  <w:pPr>
                    <w:ind w:right="105"/>
                    <w:jc w:val="right"/>
                    <w:rPr>
                      <w:rFonts w:cs="Arial"/>
                      <w:sz w:val="18"/>
                      <w:szCs w:val="18"/>
                    </w:rPr>
                  </w:pPr>
                  <w:r w:rsidRPr="00E141F1">
                    <w:rPr>
                      <w:rFonts w:cs="Arial"/>
                      <w:sz w:val="18"/>
                      <w:szCs w:val="18"/>
                    </w:rPr>
                    <w:t>n/a</w:t>
                  </w:r>
                </w:p>
              </w:tc>
              <w:tc>
                <w:tcPr>
                  <w:tcW w:w="912"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20%</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36%</w:t>
                  </w:r>
                </w:p>
                <w:p w:rsidR="001E6FB8" w:rsidRPr="00E141F1" w:rsidRDefault="001E6FB8" w:rsidP="001E6FB8">
                  <w:pPr>
                    <w:ind w:right="105"/>
                    <w:jc w:val="right"/>
                    <w:rPr>
                      <w:rFonts w:cs="Arial"/>
                      <w:sz w:val="18"/>
                      <w:szCs w:val="18"/>
                    </w:rPr>
                  </w:pPr>
                  <w:r w:rsidRPr="00E141F1">
                    <w:rPr>
                      <w:rFonts w:cs="Arial"/>
                      <w:sz w:val="18"/>
                      <w:szCs w:val="18"/>
                    </w:rPr>
                    <w:t>12%</w:t>
                  </w:r>
                </w:p>
                <w:p w:rsidR="001E6FB8" w:rsidRPr="00E141F1" w:rsidRDefault="001E6FB8" w:rsidP="001E6FB8">
                  <w:pPr>
                    <w:ind w:right="105"/>
                    <w:jc w:val="right"/>
                    <w:rPr>
                      <w:rFonts w:cs="Arial"/>
                      <w:sz w:val="18"/>
                      <w:szCs w:val="18"/>
                    </w:rPr>
                  </w:pPr>
                  <w:r w:rsidRPr="00E141F1">
                    <w:rPr>
                      <w:rFonts w:cs="Arial"/>
                      <w:sz w:val="18"/>
                      <w:szCs w:val="18"/>
                    </w:rPr>
                    <w:t>5%</w:t>
                  </w:r>
                </w:p>
              </w:tc>
              <w:tc>
                <w:tcPr>
                  <w:tcW w:w="837" w:type="pct"/>
                  <w:shd w:val="clear" w:color="auto" w:fill="auto"/>
                  <w:tcMar>
                    <w:left w:w="113" w:type="dxa"/>
                  </w:tcMar>
                  <w:vAlign w:val="center"/>
                </w:tcPr>
                <w:p w:rsidR="001E6FB8" w:rsidRPr="00E141F1" w:rsidRDefault="001E6FB8" w:rsidP="001E6FB8">
                  <w:pPr>
                    <w:ind w:right="105"/>
                    <w:jc w:val="right"/>
                    <w:rPr>
                      <w:rFonts w:cs="Arial"/>
                      <w:sz w:val="18"/>
                      <w:szCs w:val="18"/>
                    </w:rPr>
                  </w:pPr>
                  <w:r w:rsidRPr="00E141F1">
                    <w:rPr>
                      <w:rFonts w:cs="Arial"/>
                      <w:sz w:val="18"/>
                      <w:szCs w:val="18"/>
                    </w:rPr>
                    <w:t>n/a</w:t>
                  </w:r>
                </w:p>
              </w:tc>
            </w:tr>
            <w:tr w:rsidR="001E6FB8" w:rsidRPr="00E141F1" w:rsidTr="001E6FB8">
              <w:trPr>
                <w:trHeight w:val="960"/>
              </w:trPr>
              <w:tc>
                <w:tcPr>
                  <w:tcW w:w="1275" w:type="pct"/>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Data speeds</w:t>
                  </w:r>
                </w:p>
              </w:tc>
              <w:tc>
                <w:tcPr>
                  <w:tcW w:w="1140" w:type="pct"/>
                </w:tcPr>
                <w:p w:rsidR="001E6FB8" w:rsidRPr="003E4870" w:rsidRDefault="001E6FB8" w:rsidP="001E6FB8">
                  <w:pPr>
                    <w:ind w:right="105"/>
                    <w:jc w:val="both"/>
                    <w:rPr>
                      <w:rFonts w:cs="Arial"/>
                      <w:color w:val="00709E"/>
                      <w:sz w:val="18"/>
                      <w:szCs w:val="18"/>
                    </w:rPr>
                  </w:pPr>
                  <w:r w:rsidRPr="003E4870">
                    <w:rPr>
                      <w:rFonts w:cs="Arial"/>
                      <w:color w:val="00709E"/>
                      <w:sz w:val="18"/>
                      <w:szCs w:val="18"/>
                    </w:rPr>
                    <w:t>Very satisfied</w:t>
                  </w:r>
                </w:p>
                <w:p w:rsidR="001E6FB8" w:rsidRPr="003E4870" w:rsidRDefault="001E6FB8" w:rsidP="001E6FB8">
                  <w:pPr>
                    <w:ind w:right="105"/>
                    <w:jc w:val="both"/>
                    <w:rPr>
                      <w:rFonts w:cs="Arial"/>
                      <w:color w:val="00709E"/>
                      <w:sz w:val="18"/>
                      <w:szCs w:val="18"/>
                    </w:rPr>
                  </w:pPr>
                  <w:r w:rsidRPr="003E4870">
                    <w:rPr>
                      <w:rFonts w:cs="Arial"/>
                      <w:color w:val="00709E"/>
                      <w:sz w:val="18"/>
                      <w:szCs w:val="18"/>
                    </w:rPr>
                    <w:t>Satisfied</w:t>
                  </w:r>
                </w:p>
                <w:p w:rsidR="001E6FB8" w:rsidRPr="00E141F1" w:rsidRDefault="001E6FB8" w:rsidP="001E6FB8">
                  <w:pPr>
                    <w:ind w:right="105"/>
                    <w:jc w:val="both"/>
                    <w:rPr>
                      <w:rFonts w:cs="Arial"/>
                      <w:sz w:val="18"/>
                      <w:szCs w:val="18"/>
                    </w:rPr>
                  </w:pPr>
                  <w:r w:rsidRPr="00E141F1">
                    <w:rPr>
                      <w:rFonts w:cs="Arial"/>
                      <w:sz w:val="18"/>
                      <w:szCs w:val="18"/>
                    </w:rPr>
                    <w:t>Dissatisfied</w:t>
                  </w:r>
                </w:p>
                <w:p w:rsidR="001E6FB8" w:rsidRPr="00E141F1" w:rsidRDefault="001E6FB8" w:rsidP="001E6FB8">
                  <w:pPr>
                    <w:ind w:right="105"/>
                    <w:jc w:val="both"/>
                    <w:rPr>
                      <w:rFonts w:cs="Arial"/>
                      <w:sz w:val="18"/>
                      <w:szCs w:val="18"/>
                    </w:rPr>
                  </w:pPr>
                  <w:r w:rsidRPr="00E141F1">
                    <w:rPr>
                      <w:rFonts w:cs="Arial"/>
                      <w:sz w:val="18"/>
                      <w:szCs w:val="18"/>
                    </w:rPr>
                    <w:t>Very dissatisfied</w:t>
                  </w:r>
                </w:p>
              </w:tc>
              <w:tc>
                <w:tcPr>
                  <w:tcW w:w="836" w:type="pct"/>
                  <w:vAlign w:val="center"/>
                </w:tcPr>
                <w:p w:rsidR="001E6FB8" w:rsidRPr="00E141F1" w:rsidRDefault="001E6FB8" w:rsidP="001E6FB8">
                  <w:pPr>
                    <w:ind w:right="105"/>
                    <w:jc w:val="right"/>
                    <w:rPr>
                      <w:rFonts w:cs="Arial"/>
                      <w:sz w:val="18"/>
                      <w:szCs w:val="18"/>
                    </w:rPr>
                  </w:pPr>
                  <w:r w:rsidRPr="00E141F1">
                    <w:rPr>
                      <w:rFonts w:cs="Arial"/>
                      <w:sz w:val="18"/>
                      <w:szCs w:val="18"/>
                    </w:rPr>
                    <w:t>n/a</w:t>
                  </w:r>
                </w:p>
              </w:tc>
              <w:tc>
                <w:tcPr>
                  <w:tcW w:w="912" w:type="pct"/>
                  <w:shd w:val="clear" w:color="auto" w:fill="auto"/>
                  <w:tcMar>
                    <w:left w:w="113" w:type="dxa"/>
                  </w:tcMar>
                  <w:vAlign w:val="center"/>
                </w:tcPr>
                <w:p w:rsidR="001E6FB8" w:rsidRPr="00E141F1" w:rsidRDefault="001E6FB8" w:rsidP="001E6FB8">
                  <w:pPr>
                    <w:ind w:right="105"/>
                    <w:jc w:val="right"/>
                    <w:rPr>
                      <w:rFonts w:cs="Arial"/>
                      <w:sz w:val="18"/>
                      <w:szCs w:val="18"/>
                    </w:rPr>
                  </w:pPr>
                  <w:r w:rsidRPr="00E141F1">
                    <w:rPr>
                      <w:rFonts w:cs="Arial"/>
                      <w:sz w:val="18"/>
                      <w:szCs w:val="18"/>
                    </w:rPr>
                    <w:t>n/a</w:t>
                  </w:r>
                </w:p>
              </w:tc>
              <w:tc>
                <w:tcPr>
                  <w:tcW w:w="837"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21%</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35%</w:t>
                  </w:r>
                </w:p>
                <w:p w:rsidR="001E6FB8" w:rsidRPr="00E141F1" w:rsidRDefault="001E6FB8" w:rsidP="001E6FB8">
                  <w:pPr>
                    <w:ind w:right="105"/>
                    <w:jc w:val="right"/>
                    <w:rPr>
                      <w:rFonts w:cs="Arial"/>
                      <w:sz w:val="18"/>
                      <w:szCs w:val="18"/>
                    </w:rPr>
                  </w:pPr>
                  <w:r w:rsidRPr="00E141F1">
                    <w:rPr>
                      <w:rFonts w:cs="Arial"/>
                      <w:sz w:val="18"/>
                      <w:szCs w:val="18"/>
                    </w:rPr>
                    <w:t>12%</w:t>
                  </w:r>
                </w:p>
                <w:p w:rsidR="001E6FB8" w:rsidRPr="00E141F1" w:rsidRDefault="001E6FB8" w:rsidP="001E6FB8">
                  <w:pPr>
                    <w:ind w:right="105"/>
                    <w:jc w:val="right"/>
                    <w:rPr>
                      <w:rFonts w:cs="Arial"/>
                      <w:sz w:val="18"/>
                      <w:szCs w:val="18"/>
                    </w:rPr>
                  </w:pPr>
                  <w:r w:rsidRPr="00E141F1">
                    <w:rPr>
                      <w:rFonts w:cs="Arial"/>
                      <w:sz w:val="18"/>
                      <w:szCs w:val="18"/>
                    </w:rPr>
                    <w:t>6%</w:t>
                  </w:r>
                </w:p>
              </w:tc>
            </w:tr>
            <w:tr w:rsidR="001E6FB8" w:rsidRPr="00E141F1" w:rsidTr="001E6FB8">
              <w:trPr>
                <w:trHeight w:val="960"/>
              </w:trPr>
              <w:tc>
                <w:tcPr>
                  <w:tcW w:w="1275" w:type="pct"/>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Technical support</w:t>
                  </w:r>
                </w:p>
              </w:tc>
              <w:tc>
                <w:tcPr>
                  <w:tcW w:w="1140" w:type="pct"/>
                </w:tcPr>
                <w:p w:rsidR="001E6FB8" w:rsidRPr="003E4870" w:rsidRDefault="001E6FB8" w:rsidP="001E6FB8">
                  <w:pPr>
                    <w:ind w:right="105"/>
                    <w:jc w:val="both"/>
                    <w:rPr>
                      <w:rFonts w:cs="Arial"/>
                      <w:color w:val="00709E"/>
                      <w:sz w:val="18"/>
                      <w:szCs w:val="18"/>
                    </w:rPr>
                  </w:pPr>
                  <w:r w:rsidRPr="003E4870">
                    <w:rPr>
                      <w:rFonts w:cs="Arial"/>
                      <w:color w:val="00709E"/>
                      <w:sz w:val="18"/>
                      <w:szCs w:val="18"/>
                    </w:rPr>
                    <w:t>Very satisfied</w:t>
                  </w:r>
                </w:p>
                <w:p w:rsidR="001E6FB8" w:rsidRPr="003E4870" w:rsidRDefault="001E6FB8" w:rsidP="001E6FB8">
                  <w:pPr>
                    <w:ind w:right="105"/>
                    <w:jc w:val="both"/>
                    <w:rPr>
                      <w:rFonts w:cs="Arial"/>
                      <w:color w:val="00709E"/>
                      <w:sz w:val="18"/>
                      <w:szCs w:val="18"/>
                    </w:rPr>
                  </w:pPr>
                  <w:r w:rsidRPr="003E4870">
                    <w:rPr>
                      <w:rFonts w:cs="Arial"/>
                      <w:color w:val="00709E"/>
                      <w:sz w:val="18"/>
                      <w:szCs w:val="18"/>
                    </w:rPr>
                    <w:t>Satisfied</w:t>
                  </w:r>
                </w:p>
                <w:p w:rsidR="001E6FB8" w:rsidRPr="00E141F1" w:rsidRDefault="001E6FB8" w:rsidP="001E6FB8">
                  <w:pPr>
                    <w:ind w:right="105"/>
                    <w:jc w:val="both"/>
                    <w:rPr>
                      <w:rFonts w:cs="Arial"/>
                      <w:sz w:val="18"/>
                      <w:szCs w:val="18"/>
                    </w:rPr>
                  </w:pPr>
                  <w:r w:rsidRPr="00E141F1">
                    <w:rPr>
                      <w:rFonts w:cs="Arial"/>
                      <w:sz w:val="18"/>
                      <w:szCs w:val="18"/>
                    </w:rPr>
                    <w:t>Dissatisfied</w:t>
                  </w:r>
                </w:p>
                <w:p w:rsidR="001E6FB8" w:rsidRPr="00E141F1" w:rsidRDefault="001E6FB8" w:rsidP="001E6FB8">
                  <w:pPr>
                    <w:ind w:right="105"/>
                    <w:jc w:val="both"/>
                    <w:rPr>
                      <w:rFonts w:cs="Arial"/>
                      <w:sz w:val="18"/>
                      <w:szCs w:val="18"/>
                    </w:rPr>
                  </w:pPr>
                  <w:r w:rsidRPr="00E141F1">
                    <w:rPr>
                      <w:rFonts w:cs="Arial"/>
                      <w:sz w:val="18"/>
                      <w:szCs w:val="18"/>
                    </w:rPr>
                    <w:t>Very dissatisfied</w:t>
                  </w:r>
                </w:p>
              </w:tc>
              <w:tc>
                <w:tcPr>
                  <w:tcW w:w="836" w:type="pct"/>
                  <w:vAlign w:val="center"/>
                </w:tcPr>
                <w:p w:rsidR="001E6FB8" w:rsidRPr="00E141F1" w:rsidRDefault="001E6FB8" w:rsidP="001E6FB8">
                  <w:pPr>
                    <w:ind w:right="105"/>
                    <w:jc w:val="right"/>
                    <w:rPr>
                      <w:rFonts w:cs="Arial"/>
                      <w:sz w:val="18"/>
                      <w:szCs w:val="18"/>
                    </w:rPr>
                  </w:pPr>
                  <w:r w:rsidRPr="00E141F1">
                    <w:rPr>
                      <w:rFonts w:cs="Arial"/>
                      <w:sz w:val="18"/>
                      <w:szCs w:val="18"/>
                    </w:rPr>
                    <w:t>n/a</w:t>
                  </w:r>
                </w:p>
              </w:tc>
              <w:tc>
                <w:tcPr>
                  <w:tcW w:w="912" w:type="pct"/>
                  <w:shd w:val="clear" w:color="auto" w:fill="auto"/>
                  <w:tcMar>
                    <w:left w:w="113" w:type="dxa"/>
                  </w:tcMar>
                  <w:vAlign w:val="center"/>
                </w:tcPr>
                <w:p w:rsidR="001E6FB8" w:rsidRPr="00E141F1" w:rsidRDefault="001E6FB8" w:rsidP="001E6FB8">
                  <w:pPr>
                    <w:ind w:right="105"/>
                    <w:jc w:val="right"/>
                    <w:rPr>
                      <w:rFonts w:cs="Arial"/>
                      <w:sz w:val="18"/>
                      <w:szCs w:val="18"/>
                    </w:rPr>
                  </w:pPr>
                  <w:r w:rsidRPr="00E141F1">
                    <w:rPr>
                      <w:rFonts w:cs="Arial"/>
                      <w:sz w:val="18"/>
                      <w:szCs w:val="18"/>
                    </w:rPr>
                    <w:t>n/a</w:t>
                  </w:r>
                </w:p>
              </w:tc>
              <w:tc>
                <w:tcPr>
                  <w:tcW w:w="837"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28%</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34%</w:t>
                  </w:r>
                </w:p>
                <w:p w:rsidR="001E6FB8" w:rsidRPr="00E141F1" w:rsidRDefault="001E6FB8" w:rsidP="001E6FB8">
                  <w:pPr>
                    <w:ind w:right="105"/>
                    <w:jc w:val="right"/>
                    <w:rPr>
                      <w:rFonts w:cs="Arial"/>
                      <w:sz w:val="18"/>
                      <w:szCs w:val="18"/>
                    </w:rPr>
                  </w:pPr>
                  <w:r w:rsidRPr="00E141F1">
                    <w:rPr>
                      <w:rFonts w:cs="Arial"/>
                      <w:sz w:val="18"/>
                      <w:szCs w:val="18"/>
                    </w:rPr>
                    <w:t>8%</w:t>
                  </w:r>
                </w:p>
                <w:p w:rsidR="001E6FB8" w:rsidRPr="00E141F1" w:rsidRDefault="001E6FB8" w:rsidP="001E6FB8">
                  <w:pPr>
                    <w:ind w:right="105"/>
                    <w:jc w:val="right"/>
                    <w:rPr>
                      <w:rFonts w:cs="Arial"/>
                      <w:sz w:val="18"/>
                      <w:szCs w:val="18"/>
                    </w:rPr>
                  </w:pPr>
                  <w:r w:rsidRPr="00E141F1">
                    <w:rPr>
                      <w:rFonts w:cs="Arial"/>
                      <w:sz w:val="18"/>
                      <w:szCs w:val="18"/>
                    </w:rPr>
                    <w:t>5%</w:t>
                  </w:r>
                </w:p>
              </w:tc>
            </w:tr>
            <w:tr w:rsidR="001E6FB8" w:rsidRPr="00E141F1" w:rsidTr="001E6FB8">
              <w:trPr>
                <w:trHeight w:val="960"/>
              </w:trPr>
              <w:tc>
                <w:tcPr>
                  <w:tcW w:w="1275" w:type="pct"/>
                  <w:shd w:val="clear" w:color="auto" w:fill="auto"/>
                  <w:tcMar>
                    <w:left w:w="113" w:type="dxa"/>
                  </w:tcMar>
                  <w:vAlign w:val="center"/>
                </w:tcPr>
                <w:p w:rsidR="001E6FB8" w:rsidRPr="00E141F1" w:rsidRDefault="001E6FB8" w:rsidP="001E6FB8">
                  <w:pPr>
                    <w:rPr>
                      <w:rFonts w:cs="Arial"/>
                      <w:sz w:val="18"/>
                      <w:szCs w:val="18"/>
                    </w:rPr>
                  </w:pPr>
                  <w:r w:rsidRPr="00E141F1">
                    <w:rPr>
                      <w:rFonts w:cs="Arial"/>
                      <w:sz w:val="18"/>
                      <w:szCs w:val="18"/>
                    </w:rPr>
                    <w:t>Speed of repairing faults</w:t>
                  </w:r>
                </w:p>
              </w:tc>
              <w:tc>
                <w:tcPr>
                  <w:tcW w:w="1140" w:type="pct"/>
                </w:tcPr>
                <w:p w:rsidR="001E6FB8" w:rsidRPr="003E4870" w:rsidRDefault="001E6FB8" w:rsidP="001E6FB8">
                  <w:pPr>
                    <w:ind w:right="105"/>
                    <w:jc w:val="both"/>
                    <w:rPr>
                      <w:rFonts w:cs="Arial"/>
                      <w:color w:val="00709E"/>
                      <w:sz w:val="18"/>
                      <w:szCs w:val="18"/>
                    </w:rPr>
                  </w:pPr>
                  <w:r w:rsidRPr="003E4870">
                    <w:rPr>
                      <w:rFonts w:cs="Arial"/>
                      <w:color w:val="00709E"/>
                      <w:sz w:val="18"/>
                      <w:szCs w:val="18"/>
                    </w:rPr>
                    <w:t>Very satisfied</w:t>
                  </w:r>
                </w:p>
                <w:p w:rsidR="001E6FB8" w:rsidRPr="003E4870" w:rsidRDefault="001E6FB8" w:rsidP="001E6FB8">
                  <w:pPr>
                    <w:ind w:right="105"/>
                    <w:jc w:val="both"/>
                    <w:rPr>
                      <w:rFonts w:cs="Arial"/>
                      <w:color w:val="00709E"/>
                      <w:sz w:val="18"/>
                      <w:szCs w:val="18"/>
                    </w:rPr>
                  </w:pPr>
                  <w:r w:rsidRPr="003E4870">
                    <w:rPr>
                      <w:rFonts w:cs="Arial"/>
                      <w:color w:val="00709E"/>
                      <w:sz w:val="18"/>
                      <w:szCs w:val="18"/>
                    </w:rPr>
                    <w:t>Satisfied</w:t>
                  </w:r>
                </w:p>
                <w:p w:rsidR="001E6FB8" w:rsidRPr="00E141F1" w:rsidRDefault="001E6FB8" w:rsidP="001E6FB8">
                  <w:pPr>
                    <w:ind w:right="105"/>
                    <w:jc w:val="both"/>
                    <w:rPr>
                      <w:rFonts w:cs="Arial"/>
                      <w:sz w:val="18"/>
                      <w:szCs w:val="18"/>
                    </w:rPr>
                  </w:pPr>
                  <w:r w:rsidRPr="00E141F1">
                    <w:rPr>
                      <w:rFonts w:cs="Arial"/>
                      <w:sz w:val="18"/>
                      <w:szCs w:val="18"/>
                    </w:rPr>
                    <w:t>Dissatisfied</w:t>
                  </w:r>
                </w:p>
                <w:p w:rsidR="001E6FB8" w:rsidRPr="00E141F1" w:rsidRDefault="001E6FB8" w:rsidP="001E6FB8">
                  <w:pPr>
                    <w:ind w:right="105"/>
                    <w:jc w:val="both"/>
                    <w:rPr>
                      <w:rFonts w:cs="Arial"/>
                      <w:sz w:val="18"/>
                      <w:szCs w:val="18"/>
                    </w:rPr>
                  </w:pPr>
                  <w:r w:rsidRPr="00E141F1">
                    <w:rPr>
                      <w:rFonts w:cs="Arial"/>
                      <w:sz w:val="18"/>
                      <w:szCs w:val="18"/>
                    </w:rPr>
                    <w:t>Very dissatisfied</w:t>
                  </w:r>
                </w:p>
              </w:tc>
              <w:tc>
                <w:tcPr>
                  <w:tcW w:w="836" w:type="pct"/>
                  <w:vAlign w:val="center"/>
                </w:tcPr>
                <w:p w:rsidR="001E6FB8" w:rsidRPr="00E141F1" w:rsidRDefault="001E6FB8" w:rsidP="001E6FB8">
                  <w:pPr>
                    <w:ind w:right="105"/>
                    <w:jc w:val="right"/>
                    <w:rPr>
                      <w:rFonts w:cs="Arial"/>
                      <w:sz w:val="18"/>
                      <w:szCs w:val="18"/>
                    </w:rPr>
                  </w:pPr>
                  <w:r w:rsidRPr="00E141F1">
                    <w:rPr>
                      <w:rFonts w:cs="Arial"/>
                      <w:sz w:val="18"/>
                      <w:szCs w:val="18"/>
                    </w:rPr>
                    <w:t>n/a</w:t>
                  </w:r>
                </w:p>
              </w:tc>
              <w:tc>
                <w:tcPr>
                  <w:tcW w:w="912" w:type="pct"/>
                  <w:shd w:val="clear" w:color="auto" w:fill="auto"/>
                  <w:tcMar>
                    <w:left w:w="113" w:type="dxa"/>
                  </w:tcMar>
                  <w:vAlign w:val="center"/>
                </w:tcPr>
                <w:p w:rsidR="001E6FB8" w:rsidRPr="00E141F1" w:rsidRDefault="001E6FB8" w:rsidP="001E6FB8">
                  <w:pPr>
                    <w:ind w:right="105"/>
                    <w:jc w:val="right"/>
                    <w:rPr>
                      <w:rFonts w:cs="Arial"/>
                      <w:sz w:val="18"/>
                      <w:szCs w:val="18"/>
                    </w:rPr>
                  </w:pPr>
                  <w:r w:rsidRPr="00E141F1">
                    <w:rPr>
                      <w:rFonts w:cs="Arial"/>
                      <w:sz w:val="18"/>
                      <w:szCs w:val="18"/>
                    </w:rPr>
                    <w:t>n/a</w:t>
                  </w:r>
                </w:p>
              </w:tc>
              <w:tc>
                <w:tcPr>
                  <w:tcW w:w="837" w:type="pct"/>
                  <w:shd w:val="clear" w:color="auto" w:fill="auto"/>
                  <w:tcMar>
                    <w:left w:w="113" w:type="dxa"/>
                  </w:tcMar>
                </w:tcPr>
                <w:p w:rsidR="001E6FB8" w:rsidRPr="003E4870" w:rsidRDefault="001E6FB8" w:rsidP="001E6FB8">
                  <w:pPr>
                    <w:ind w:right="105"/>
                    <w:jc w:val="right"/>
                    <w:rPr>
                      <w:rFonts w:cs="Arial"/>
                      <w:color w:val="00709E"/>
                      <w:sz w:val="18"/>
                      <w:szCs w:val="18"/>
                    </w:rPr>
                  </w:pPr>
                  <w:r w:rsidRPr="003E4870">
                    <w:rPr>
                      <w:rFonts w:cs="Arial"/>
                      <w:color w:val="00709E"/>
                      <w:sz w:val="18"/>
                      <w:szCs w:val="18"/>
                    </w:rPr>
                    <w:t>21%</w:t>
                  </w:r>
                </w:p>
                <w:p w:rsidR="001E6FB8" w:rsidRPr="003E4870" w:rsidRDefault="001E6FB8" w:rsidP="001E6FB8">
                  <w:pPr>
                    <w:ind w:right="105"/>
                    <w:jc w:val="right"/>
                    <w:rPr>
                      <w:rFonts w:cs="Arial"/>
                      <w:color w:val="00709E"/>
                      <w:sz w:val="18"/>
                      <w:szCs w:val="18"/>
                    </w:rPr>
                  </w:pPr>
                  <w:r w:rsidRPr="003E4870">
                    <w:rPr>
                      <w:rFonts w:cs="Arial"/>
                      <w:color w:val="00709E"/>
                      <w:sz w:val="18"/>
                      <w:szCs w:val="18"/>
                    </w:rPr>
                    <w:t>33%</w:t>
                  </w:r>
                </w:p>
                <w:p w:rsidR="001E6FB8" w:rsidRPr="00E141F1" w:rsidRDefault="001E6FB8" w:rsidP="001E6FB8">
                  <w:pPr>
                    <w:ind w:right="105"/>
                    <w:jc w:val="right"/>
                    <w:rPr>
                      <w:rFonts w:cs="Arial"/>
                      <w:sz w:val="18"/>
                      <w:szCs w:val="18"/>
                    </w:rPr>
                  </w:pPr>
                  <w:r w:rsidRPr="00E141F1">
                    <w:rPr>
                      <w:rFonts w:cs="Arial"/>
                      <w:sz w:val="18"/>
                      <w:szCs w:val="18"/>
                    </w:rPr>
                    <w:t>10%</w:t>
                  </w:r>
                </w:p>
                <w:p w:rsidR="001E6FB8" w:rsidRPr="00E141F1" w:rsidRDefault="001E6FB8" w:rsidP="001E6FB8">
                  <w:pPr>
                    <w:ind w:right="105"/>
                    <w:jc w:val="right"/>
                    <w:rPr>
                      <w:rFonts w:cs="Arial"/>
                      <w:sz w:val="18"/>
                      <w:szCs w:val="18"/>
                    </w:rPr>
                  </w:pPr>
                  <w:r w:rsidRPr="00E141F1">
                    <w:rPr>
                      <w:rFonts w:cs="Arial"/>
                      <w:sz w:val="18"/>
                      <w:szCs w:val="18"/>
                    </w:rPr>
                    <w:t>7%</w:t>
                  </w:r>
                </w:p>
              </w:tc>
            </w:tr>
          </w:tbl>
          <w:p w:rsidR="001E6FB8" w:rsidRPr="00E141F1" w:rsidRDefault="001E6FB8" w:rsidP="001E6FB8">
            <w:pPr>
              <w:rPr>
                <w:rFonts w:cs="Arial"/>
                <w:sz w:val="18"/>
                <w:szCs w:val="18"/>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n/a: not available. Respondents reporting ‘neither satisfied nor dissatisfied’ have not been identified separately in the table. However, these responses have been included in the base numbers when calculating percentages for satisfaction and dissatisfaction.</w:t>
            </w:r>
          </w:p>
          <w:p w:rsidR="001E6FB8" w:rsidRPr="00E141F1" w:rsidRDefault="001E6FB8" w:rsidP="001E6FB8">
            <w:pPr>
              <w:keepNext/>
              <w:keepLines/>
              <w:spacing w:after="60" w:line="240" w:lineRule="auto"/>
              <w:rPr>
                <w:rFonts w:cs="Arial"/>
              </w:rPr>
            </w:pPr>
            <w:r w:rsidRPr="00E141F1">
              <w:rPr>
                <w:rFonts w:cs="Arial"/>
                <w:i/>
                <w:sz w:val="16"/>
                <w:szCs w:val="16"/>
              </w:rPr>
              <w:t>Source: ACMA-commissioned survey, May 2013.</w:t>
            </w:r>
          </w:p>
        </w:tc>
      </w:tr>
    </w:tbl>
    <w:p w:rsidR="001E6FB8" w:rsidRPr="00E141F1" w:rsidRDefault="001E6FB8" w:rsidP="001E6FB8">
      <w:pPr>
        <w:rPr>
          <w:rFonts w:cs="Arial"/>
        </w:rPr>
      </w:pPr>
    </w:p>
    <w:p w:rsidR="001E6FB8" w:rsidRPr="00E141F1" w:rsidRDefault="001E6FB8" w:rsidP="001E6FB8">
      <w:pPr>
        <w:rPr>
          <w:rFonts w:cs="Arial"/>
        </w:rPr>
      </w:pPr>
      <w:r w:rsidRPr="00E141F1">
        <w:rPr>
          <w:rFonts w:cs="Arial"/>
        </w:rPr>
        <w:t>Levels of satisfaction for these aspects of a fixed-line telephone and mobile telephone were similar to levels recorded in 2012, with only a slight drop in satisfaction for fixed-line customer service (six percentage points) and a slight increase in fixed-line billing satisfaction (five percentage points). Satisfaction levels for internet cannot be compared to 2012 due to a change in methodology.</w:t>
      </w:r>
    </w:p>
    <w:p w:rsidR="001E6FB8" w:rsidRPr="00E141F1" w:rsidRDefault="001E6FB8" w:rsidP="001E6FB8">
      <w:pPr>
        <w:rPr>
          <w:rFonts w:cs="Arial"/>
        </w:rPr>
      </w:pPr>
    </w:p>
    <w:p w:rsidR="001E6FB8" w:rsidRPr="00E141F1" w:rsidRDefault="001E6FB8" w:rsidP="001E6FB8">
      <w:r>
        <w:t>The overall s</w:t>
      </w:r>
      <w:r w:rsidRPr="00E141F1">
        <w:t xml:space="preserve">atisfaction with services was higher than </w:t>
      </w:r>
      <w:r>
        <w:t xml:space="preserve">for </w:t>
      </w:r>
      <w:r w:rsidRPr="00E141F1">
        <w:t xml:space="preserve">individual </w:t>
      </w:r>
      <w:r>
        <w:t xml:space="preserve">service </w:t>
      </w:r>
      <w:r w:rsidRPr="00E141F1">
        <w:t xml:space="preserve">components, </w:t>
      </w:r>
      <w:r>
        <w:t>a likely reflection of the overall importance people place on having a particular communications service.</w:t>
      </w:r>
      <w:r w:rsidRPr="00E141F1">
        <w:t xml:space="preserve"> For example, 76 per cent of Australians aged 18 years and over were satisfied with their internet service, in comparison to lower levels of satisfaction with customer services, service reliability and billing information (59, 72 and 71 per cent, respectively).</w:t>
      </w:r>
    </w:p>
    <w:p w:rsidR="001E6FB8" w:rsidRDefault="001E6FB8" w:rsidP="001E6FB8">
      <w:pPr>
        <w:rPr>
          <w:szCs w:val="20"/>
        </w:rPr>
      </w:pPr>
    </w:p>
    <w:p w:rsidR="001E6FB8" w:rsidRPr="00E141F1" w:rsidRDefault="001E6FB8" w:rsidP="001E6FB8">
      <w:pPr>
        <w:pStyle w:val="Heading2"/>
      </w:pPr>
      <w:bookmarkStart w:id="499" w:name="_Toc371589089"/>
      <w:bookmarkStart w:id="500" w:name="_Toc373149151"/>
      <w:r w:rsidRPr="00E141F1">
        <w:t>Communications infrastructure regulation</w:t>
      </w:r>
      <w:bookmarkEnd w:id="499"/>
      <w:bookmarkEnd w:id="500"/>
    </w:p>
    <w:p w:rsidR="001E6FB8" w:rsidRPr="00E141F1" w:rsidRDefault="001E6FB8" w:rsidP="001E6FB8">
      <w:pPr>
        <w:rPr>
          <w:rFonts w:cs="Arial"/>
        </w:rPr>
      </w:pPr>
      <w:r w:rsidRPr="00E141F1">
        <w:rPr>
          <w:rFonts w:cs="Arial"/>
        </w:rPr>
        <w:t xml:space="preserve">When installing large telecommunications facilities such as mobile phone towers, carriers generally need to obtain local council planning permission and comply with relevant state and territory planning laws. Schedule 3 of the Act allows licensed carriers to install a limited range of facilities referred to as ‘low-impact facilities’ without seeking state or territory approval. Low-impact facilities as defined in the Ministerial Telecommunications (Low-impact Facilities) Determination 1997 are designed to be unobtrusive.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While low-impact facilities are exempt from local government planning laws, carriers must still comply with Schedule 3 of the Act and the Telecommunications Code of Practice 1997, which includes notifying land owners and occupiers of their activities, ensuring m</w:t>
      </w:r>
      <w:r>
        <w:rPr>
          <w:rFonts w:cs="Arial"/>
        </w:rPr>
        <w:t>inimal</w:t>
      </w:r>
      <w:r w:rsidRPr="00E141F1">
        <w:rPr>
          <w:rFonts w:cs="Arial"/>
        </w:rPr>
        <w:t xml:space="preserve"> detriment and damage is caused by the activity and restoring the land to a similar condition before the activity began. The ACMA may investigate systematic breaches of the Act and relevant codes. </w:t>
      </w:r>
    </w:p>
    <w:p w:rsidR="001E6FB8" w:rsidRPr="00E141F1" w:rsidRDefault="001E6FB8" w:rsidP="001E6FB8">
      <w:pPr>
        <w:rPr>
          <w:rFonts w:cs="Arial"/>
        </w:rPr>
      </w:pPr>
    </w:p>
    <w:p w:rsidR="001E6FB8" w:rsidRPr="00E141F1" w:rsidRDefault="001E6FB8" w:rsidP="001E6FB8">
      <w:pPr>
        <w:rPr>
          <w:rFonts w:cs="Arial"/>
          <w:b/>
        </w:rPr>
      </w:pPr>
      <w:r w:rsidRPr="00E141F1">
        <w:rPr>
          <w:rFonts w:cs="Arial"/>
          <w:b/>
        </w:rPr>
        <w:t>Complaints and enquiries to the TIO</w:t>
      </w:r>
    </w:p>
    <w:p w:rsidR="001E6FB8" w:rsidRDefault="001E6FB8" w:rsidP="001E6FB8">
      <w:pPr>
        <w:spacing w:after="80"/>
        <w:rPr>
          <w:rFonts w:cs="Arial"/>
        </w:rPr>
      </w:pPr>
      <w:r w:rsidRPr="00E141F1">
        <w:rPr>
          <w:rFonts w:cs="Arial"/>
        </w:rPr>
        <w:t>The TIO can consider objections to land access, and the installation and maintenance of low-impact facilities. The majority of complaints to the TIO relate to damage to property by carriers and the user charges billed as a result of damage reported to cables. During the reporting period, the TIO received a total of 327 complaints (not including enquiries)—a 20 per cent decrease from the 2011–12 reporting period. Of complaints received by the TIO during 2012–13:</w:t>
      </w:r>
    </w:p>
    <w:p w:rsidR="001E6FB8" w:rsidRPr="00E141F1" w:rsidRDefault="001E6FB8" w:rsidP="001E6FB8">
      <w:pPr>
        <w:pStyle w:val="ListBullet"/>
        <w:rPr>
          <w:rFonts w:cs="Arial"/>
        </w:rPr>
      </w:pPr>
      <w:r w:rsidRPr="00E141F1">
        <w:rPr>
          <w:rFonts w:cs="Arial"/>
        </w:rPr>
        <w:t xml:space="preserve">153 were from owners/occupiers of land about alleged damage to property by </w:t>
      </w:r>
      <w:r>
        <w:rPr>
          <w:rFonts w:cs="Arial"/>
        </w:rPr>
        <w:br/>
      </w:r>
      <w:r w:rsidRPr="00E141F1">
        <w:rPr>
          <w:rFonts w:cs="Arial"/>
        </w:rPr>
        <w:t xml:space="preserve">the provider </w:t>
      </w:r>
    </w:p>
    <w:p w:rsidR="001E6FB8" w:rsidRPr="00E141F1" w:rsidRDefault="001E6FB8" w:rsidP="001E6FB8">
      <w:pPr>
        <w:pStyle w:val="ListBullet"/>
        <w:rPr>
          <w:rFonts w:cs="Arial"/>
        </w:rPr>
      </w:pPr>
      <w:r w:rsidRPr="00E141F1">
        <w:rPr>
          <w:rFonts w:cs="Arial"/>
        </w:rPr>
        <w:t xml:space="preserve">99 were from owners/occupiers of land about carriers billing them for repairing damage to infrastructure allegedly caused by the owner/occupier </w:t>
      </w:r>
    </w:p>
    <w:p w:rsidR="001E6FB8" w:rsidRPr="00E141F1" w:rsidRDefault="001E6FB8" w:rsidP="001E6FB8">
      <w:pPr>
        <w:pStyle w:val="ListBullet"/>
        <w:rPr>
          <w:rFonts w:cs="Arial"/>
        </w:rPr>
      </w:pPr>
      <w:r w:rsidRPr="00E141F1">
        <w:rPr>
          <w:rFonts w:cs="Arial"/>
        </w:rPr>
        <w:t>20 related to the standard of service from providers when installing subscriber connections</w:t>
      </w:r>
    </w:p>
    <w:p w:rsidR="001E6FB8" w:rsidRPr="00E141F1" w:rsidRDefault="001E6FB8" w:rsidP="001E6FB8">
      <w:pPr>
        <w:pStyle w:val="ListBullet"/>
        <w:rPr>
          <w:rFonts w:cs="Arial"/>
        </w:rPr>
      </w:pPr>
      <w:r w:rsidRPr="00E141F1">
        <w:rPr>
          <w:rFonts w:cs="Arial"/>
        </w:rPr>
        <w:t>31 related to the failure of a carrier to give notice to the landowner or occupier</w:t>
      </w:r>
    </w:p>
    <w:p w:rsidR="001E6FB8" w:rsidRPr="00E141F1" w:rsidRDefault="001E6FB8" w:rsidP="001E6FB8">
      <w:pPr>
        <w:pStyle w:val="ListBullet"/>
        <w:spacing w:after="240"/>
        <w:rPr>
          <w:rFonts w:cs="Arial"/>
        </w:rPr>
      </w:pPr>
      <w:r w:rsidRPr="00E141F1">
        <w:rPr>
          <w:rFonts w:cs="Arial"/>
        </w:rPr>
        <w:t>24 were objections by the landowner or occupier to the activity.</w:t>
      </w:r>
    </w:p>
    <w:p w:rsidR="001E6FB8" w:rsidRDefault="001E6FB8" w:rsidP="001E6FB8">
      <w:pPr>
        <w:pStyle w:val="ListBullet"/>
        <w:numPr>
          <w:ilvl w:val="0"/>
          <w:numId w:val="0"/>
        </w:numPr>
        <w:spacing w:after="0"/>
        <w:rPr>
          <w:rFonts w:cs="Arial"/>
        </w:rPr>
      </w:pPr>
      <w:r w:rsidRPr="00E141F1">
        <w:rPr>
          <w:rFonts w:cs="Arial"/>
        </w:rPr>
        <w:t>The TIO found no valid grounds for objection pursuant to section 4.31 of the Telecommunications Code of Practice 1997.</w:t>
      </w:r>
    </w:p>
    <w:p w:rsidR="001E6FB8" w:rsidRPr="00E141F1" w:rsidRDefault="001E6FB8" w:rsidP="001E6FB8">
      <w:pPr>
        <w:pStyle w:val="ListBullet"/>
        <w:numPr>
          <w:ilvl w:val="0"/>
          <w:numId w:val="0"/>
        </w:numPr>
        <w:spacing w:after="120"/>
        <w:rPr>
          <w:rFonts w:cs="Arial"/>
        </w:rPr>
      </w:pPr>
    </w:p>
    <w:tbl>
      <w:tblPr>
        <w:tblW w:w="9359" w:type="dxa"/>
        <w:tblLayout w:type="fixed"/>
        <w:tblCellMar>
          <w:left w:w="0" w:type="dxa"/>
          <w:right w:w="0" w:type="dxa"/>
        </w:tblCellMar>
        <w:tblLook w:val="01E0"/>
      </w:tblPr>
      <w:tblGrid>
        <w:gridCol w:w="9359"/>
      </w:tblGrid>
      <w:tr w:rsidR="001E6FB8" w:rsidRPr="00E141F1" w:rsidTr="001E6FB8">
        <w:trPr>
          <w:trHeight w:val="414"/>
        </w:trPr>
        <w:tc>
          <w:tcPr>
            <w:tcW w:w="9359"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3.11 Facility installation complaints received by the ACMA and the TIO</w:t>
            </w:r>
          </w:p>
        </w:tc>
      </w:tr>
      <w:tr w:rsidR="001E6FB8" w:rsidRPr="00E141F1" w:rsidTr="001E6FB8">
        <w:trPr>
          <w:trHeight w:val="2246"/>
        </w:trPr>
        <w:tc>
          <w:tcPr>
            <w:tcW w:w="9359" w:type="dxa"/>
            <w:shd w:val="clear" w:color="auto" w:fill="auto"/>
            <w:tcMar>
              <w:left w:w="28" w:type="dxa"/>
            </w:tcMar>
          </w:tcPr>
          <w:p w:rsidR="001E6FB8" w:rsidRPr="00E141F1" w:rsidRDefault="001E6FB8" w:rsidP="001E6FB8">
            <w:pPr>
              <w:keepNext/>
              <w:keepLines/>
              <w:rPr>
                <w:rFonts w:cs="Arial"/>
              </w:rPr>
            </w:pPr>
            <w:r w:rsidRPr="00066471">
              <w:rPr>
                <w:rFonts w:cs="Arial"/>
                <w:noProof/>
              </w:rPr>
              <w:drawing>
                <wp:inline distT="0" distB="0" distL="0" distR="0">
                  <wp:extent cx="5864087" cy="2176670"/>
                  <wp:effectExtent l="0" t="0" r="0" b="0"/>
                  <wp:docPr id="243"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1E6FB8" w:rsidRPr="00E141F1" w:rsidTr="001E6FB8">
        <w:trPr>
          <w:trHeight w:val="153"/>
        </w:trPr>
        <w:tc>
          <w:tcPr>
            <w:tcW w:w="9359" w:type="dxa"/>
            <w:tcBorders>
              <w:bottom w:val="single" w:sz="2" w:space="0" w:color="505050"/>
            </w:tcBorders>
            <w:shd w:val="clear" w:color="auto" w:fill="auto"/>
          </w:tcPr>
          <w:p w:rsidR="001E6FB8" w:rsidRPr="00E141F1" w:rsidRDefault="001E6FB8" w:rsidP="001E6FB8">
            <w:pPr>
              <w:pStyle w:val="NoSpacing"/>
              <w:keepNext/>
              <w:keepLines/>
              <w:spacing w:after="60" w:line="240" w:lineRule="atLeast"/>
              <w:rPr>
                <w:rFonts w:ascii="Arial" w:hAnsi="Arial" w:cs="Arial"/>
                <w:bCs/>
                <w:i/>
                <w:color w:val="4D4D4F"/>
                <w:kern w:val="32"/>
                <w:sz w:val="16"/>
                <w:szCs w:val="16"/>
              </w:rPr>
            </w:pPr>
            <w:r w:rsidRPr="00E141F1">
              <w:rPr>
                <w:rFonts w:ascii="Arial" w:hAnsi="Arial" w:cs="Arial"/>
                <w:i/>
                <w:sz w:val="16"/>
                <w:szCs w:val="16"/>
              </w:rPr>
              <w:t>Source: The ACMA and the TIO.</w:t>
            </w:r>
          </w:p>
        </w:tc>
      </w:tr>
    </w:tbl>
    <w:p w:rsidR="001E6FB8" w:rsidRDefault="001E6FB8" w:rsidP="001E6FB8"/>
    <w:p w:rsidR="001E6FB8" w:rsidRPr="00E141F1" w:rsidRDefault="001E6FB8" w:rsidP="001E6FB8">
      <w:pPr>
        <w:pStyle w:val="Heading2"/>
      </w:pPr>
      <w:bookmarkStart w:id="501" w:name="_Toc371589090"/>
      <w:bookmarkStart w:id="502" w:name="_Toc373149152"/>
      <w:r w:rsidRPr="00E141F1">
        <w:t>Mobile phone base stations</w:t>
      </w:r>
      <w:bookmarkEnd w:id="501"/>
      <w:bookmarkEnd w:id="502"/>
      <w:r w:rsidRPr="00E141F1">
        <w:t xml:space="preserve"> </w:t>
      </w:r>
    </w:p>
    <w:p w:rsidR="001E6FB8" w:rsidRPr="00E141F1" w:rsidRDefault="001E6FB8" w:rsidP="001E6FB8">
      <w:pPr>
        <w:rPr>
          <w:rFonts w:cs="Arial"/>
        </w:rPr>
      </w:pPr>
      <w:r w:rsidRPr="00E141F1">
        <w:rPr>
          <w:rFonts w:cs="Arial"/>
        </w:rPr>
        <w:t>Optus, Telstra and VHA are the three carriers that operate mobile phone networks in Australia. When installing mobile phone base stations, these carriers are required to comply with the C564:2011 Mobile Phone Base Station Deployment</w:t>
      </w:r>
      <w:r>
        <w:rPr>
          <w:rFonts w:cs="Arial"/>
        </w:rPr>
        <w:t xml:space="preserve"> Code (the industry code). The industry c</w:t>
      </w:r>
      <w:r w:rsidRPr="00E141F1">
        <w:rPr>
          <w:rFonts w:cs="Arial"/>
        </w:rPr>
        <w:t>ode supplements the r</w:t>
      </w:r>
      <w:r>
        <w:rPr>
          <w:rFonts w:cs="Arial"/>
        </w:rPr>
        <w:t>equirements already imposed on c</w:t>
      </w:r>
      <w:r w:rsidRPr="00E141F1">
        <w:rPr>
          <w:rFonts w:cs="Arial"/>
        </w:rPr>
        <w:t>arriers under the existing legislative scheme by requiring them to consult with lo</w:t>
      </w:r>
      <w:r>
        <w:rPr>
          <w:rFonts w:cs="Arial"/>
        </w:rPr>
        <w:t>cal communities and to adopt a precautionary a</w:t>
      </w:r>
      <w:r w:rsidRPr="00E141F1">
        <w:rPr>
          <w:rFonts w:cs="Arial"/>
        </w:rPr>
        <w:t>pproach in planning, installing and operating mobile phone base stations.</w:t>
      </w:r>
    </w:p>
    <w:p w:rsidR="001E6FB8" w:rsidRPr="00E141F1" w:rsidRDefault="001E6FB8" w:rsidP="001E6FB8">
      <w:pPr>
        <w:rPr>
          <w:rFonts w:cs="Arial"/>
          <w:szCs w:val="20"/>
        </w:rPr>
      </w:pPr>
    </w:p>
    <w:p w:rsidR="001E6FB8" w:rsidRPr="00E141F1" w:rsidRDefault="001E6FB8" w:rsidP="001E6FB8">
      <w:pPr>
        <w:rPr>
          <w:rFonts w:cs="Arial"/>
        </w:rPr>
      </w:pPr>
      <w:r w:rsidRPr="00E141F1">
        <w:rPr>
          <w:rFonts w:cs="Arial"/>
          <w:szCs w:val="20"/>
        </w:rPr>
        <w:t xml:space="preserve">The communications industry has developed a national database of mobile phone base stations—the national site archive—to improve access to information about the deployment of mobile phone infrastructure across Australia. The archive contains information about most mobile phone towers deployed by carriers and includes Electromagnetic Energy reports about a particular communications facility. This information is available at </w:t>
      </w:r>
      <w:hyperlink r:id="rId77" w:history="1">
        <w:r w:rsidRPr="00066EF0">
          <w:rPr>
            <w:rStyle w:val="Hyperlink"/>
          </w:rPr>
          <w:t>www.rfnsa.com.au/nsa/index.cgi</w:t>
        </w:r>
      </w:hyperlink>
      <w:r>
        <w:rPr>
          <w:rFonts w:cs="Arial"/>
        </w:rPr>
        <w:t>.</w:t>
      </w:r>
    </w:p>
    <w:p w:rsidR="001E6FB8" w:rsidRPr="00E141F1" w:rsidRDefault="001E6FB8" w:rsidP="001E6FB8">
      <w:pPr>
        <w:rPr>
          <w:rFonts w:cs="Arial"/>
        </w:rPr>
      </w:pPr>
    </w:p>
    <w:p w:rsidR="001E6FB8" w:rsidRPr="00E141F1" w:rsidRDefault="001E6FB8" w:rsidP="001E6FB8">
      <w:pPr>
        <w:pStyle w:val="Heading3"/>
      </w:pPr>
      <w:bookmarkStart w:id="503" w:name="_Toc371589091"/>
      <w:bookmarkStart w:id="504" w:name="_Toc373149153"/>
      <w:r w:rsidRPr="00E141F1">
        <w:t>Complaints and enquiries to the ACMA</w:t>
      </w:r>
      <w:bookmarkEnd w:id="503"/>
      <w:bookmarkEnd w:id="504"/>
    </w:p>
    <w:p w:rsidR="001E6FB8" w:rsidRPr="00E141F1" w:rsidRDefault="001E6FB8" w:rsidP="001E6FB8">
      <w:pPr>
        <w:rPr>
          <w:rFonts w:cs="Arial"/>
        </w:rPr>
      </w:pPr>
      <w:r w:rsidRPr="00E141F1">
        <w:rPr>
          <w:rFonts w:cs="Arial"/>
        </w:rPr>
        <w:t>Complaints about carriers’ compliance with the industry code are directed to the carriers in the first instance. The industry code specifies mandatory processes for complaints-handling by carriers. The ACMA examines complaints against the code and may take regulatory action under Part 6 of the Act.</w:t>
      </w:r>
    </w:p>
    <w:p w:rsidR="001E6FB8" w:rsidRPr="00E141F1" w:rsidRDefault="001E6FB8" w:rsidP="001E6FB8">
      <w:pPr>
        <w:rPr>
          <w:rFonts w:cs="Arial"/>
        </w:rPr>
      </w:pPr>
    </w:p>
    <w:p w:rsidR="001E6FB8" w:rsidRPr="00E141F1" w:rsidRDefault="001E6FB8" w:rsidP="001E6FB8">
      <w:pPr>
        <w:rPr>
          <w:rFonts w:cs="Arial"/>
        </w:rPr>
      </w:pPr>
      <w:r w:rsidRPr="00E141F1">
        <w:rPr>
          <w:rFonts w:cs="Arial"/>
        </w:rPr>
        <w:t>During the reporting period, the ACMA received 75 enquiries and one complaint about matters covered by Schedule 3 of the Act and the Telecommunications Code of Practice 1997. The ACMA also received three complaints and 25 enquiries related to the industry code. The carriers undertook a total of 4,109 consultations during this period.</w:t>
      </w:r>
    </w:p>
    <w:p w:rsidR="001E6FB8" w:rsidRDefault="001E6FB8" w:rsidP="001E6FB8">
      <w:pPr>
        <w:rPr>
          <w:rFonts w:cs="Arial"/>
        </w:rPr>
      </w:pPr>
    </w:p>
    <w:p w:rsidR="001E6FB8" w:rsidRDefault="001E6FB8" w:rsidP="001E6FB8">
      <w:pPr>
        <w:rPr>
          <w:rFonts w:cs="Arial"/>
        </w:rPr>
        <w:sectPr w:rsidR="001E6FB8" w:rsidSect="001E6FB8">
          <w:endnotePr>
            <w:numFmt w:val="decimal"/>
            <w:numRestart w:val="eachSect"/>
          </w:endnotePr>
          <w:pgSz w:w="11906" w:h="16838" w:code="9"/>
          <w:pgMar w:top="1945" w:right="3101" w:bottom="868" w:left="1134" w:header="709" w:footer="119" w:gutter="0"/>
          <w:cols w:space="708"/>
          <w:docGrid w:linePitch="360"/>
        </w:sectPr>
      </w:pPr>
    </w:p>
    <w:p w:rsidR="001E6FB8" w:rsidRPr="00E141F1" w:rsidRDefault="001E6FB8" w:rsidP="001E6FB8">
      <w:pPr>
        <w:pStyle w:val="Heading1"/>
      </w:pPr>
      <w:bookmarkStart w:id="505" w:name="_Toc371589092"/>
      <w:bookmarkStart w:id="506" w:name="_Toc373149154"/>
      <w:bookmarkStart w:id="507" w:name="_Toc312157232"/>
      <w:r w:rsidRPr="00E141F1">
        <w:t>Chapter 4</w:t>
      </w:r>
      <w:r w:rsidRPr="00E141F1">
        <w:br/>
        <w:t xml:space="preserve">Broadcasting industry </w:t>
      </w:r>
      <w:r>
        <w:br/>
      </w:r>
      <w:r w:rsidRPr="00E141F1">
        <w:t>regulatory performance</w:t>
      </w:r>
      <w:bookmarkEnd w:id="505"/>
      <w:bookmarkEnd w:id="506"/>
      <w:r w:rsidRPr="00E141F1">
        <w:t xml:space="preserve"> </w:t>
      </w:r>
      <w:bookmarkEnd w:id="507"/>
    </w:p>
    <w:p w:rsidR="001E6FB8" w:rsidRPr="00E141F1" w:rsidRDefault="001E6FB8" w:rsidP="001E6FB8">
      <w:pPr>
        <w:pStyle w:val="Heading2"/>
      </w:pPr>
      <w:bookmarkStart w:id="508" w:name="_Toc371589093"/>
      <w:bookmarkStart w:id="509" w:name="_Toc373149155"/>
      <w:r w:rsidRPr="00E141F1">
        <w:t>Overview</w:t>
      </w:r>
      <w:bookmarkEnd w:id="508"/>
      <w:bookmarkEnd w:id="509"/>
    </w:p>
    <w:p w:rsidR="001E6FB8" w:rsidRPr="00E141F1" w:rsidRDefault="001E6FB8" w:rsidP="001E6FB8">
      <w:pPr>
        <w:rPr>
          <w:rFonts w:cs="Arial"/>
        </w:rPr>
      </w:pPr>
      <w:r w:rsidRPr="00E141F1">
        <w:rPr>
          <w:rFonts w:cs="Arial"/>
        </w:rPr>
        <w:t xml:space="preserve">Broadcasting legislation, program standards and licence conditions determine the regulatory obligations of commercial radio and television broadcasters in Australia. Chapter 4 provides information on the performance of broadcasters in meeting their regulatory obligations. Information is also presented on the number of broadcasting-related complaints to the ACMA under broadcasting codes of practice and about prohibited and potentially prohibited online content under the </w:t>
      </w:r>
      <w:r w:rsidRPr="00E141F1">
        <w:rPr>
          <w:rFonts w:cs="Arial"/>
          <w:i/>
        </w:rPr>
        <w:t xml:space="preserve">Broadcasting Services Act 1992 </w:t>
      </w:r>
      <w:r w:rsidRPr="00E141F1">
        <w:rPr>
          <w:rFonts w:cs="Arial"/>
        </w:rPr>
        <w:t>(BSA).</w:t>
      </w:r>
    </w:p>
    <w:p w:rsidR="001E6FB8" w:rsidRPr="00E141F1" w:rsidRDefault="001E6FB8" w:rsidP="001E6FB8">
      <w:pPr>
        <w:rPr>
          <w:rFonts w:cs="Arial"/>
        </w:rPr>
      </w:pPr>
    </w:p>
    <w:p w:rsidR="001E6FB8" w:rsidRDefault="001E6FB8" w:rsidP="001E6FB8">
      <w:pPr>
        <w:spacing w:after="80"/>
        <w:rPr>
          <w:rFonts w:cs="Arial"/>
        </w:rPr>
      </w:pPr>
      <w:r w:rsidRPr="00E141F1">
        <w:rPr>
          <w:rFonts w:cs="Arial"/>
        </w:rPr>
        <w:t>Key developments relating to broadcasting compliance included:</w:t>
      </w:r>
    </w:p>
    <w:p w:rsidR="001E6FB8" w:rsidRPr="00E141F1" w:rsidRDefault="001E6FB8" w:rsidP="001E6FB8">
      <w:pPr>
        <w:pStyle w:val="ListBullet"/>
        <w:rPr>
          <w:rFonts w:cs="Arial"/>
        </w:rPr>
      </w:pPr>
      <w:r w:rsidRPr="00E141F1">
        <w:rPr>
          <w:rFonts w:cs="Arial"/>
        </w:rPr>
        <w:t>free-to-air commercial television licensees continuing to meet regulatory requirements for transmitting Australian content and advertising</w:t>
      </w:r>
    </w:p>
    <w:p w:rsidR="001E6FB8" w:rsidRPr="00E141F1" w:rsidRDefault="001E6FB8" w:rsidP="001E6FB8">
      <w:pPr>
        <w:pStyle w:val="ListBullet"/>
        <w:rPr>
          <w:rFonts w:cs="Arial"/>
        </w:rPr>
      </w:pPr>
      <w:r w:rsidRPr="00E141F1">
        <w:rPr>
          <w:rFonts w:cs="Arial"/>
        </w:rPr>
        <w:t xml:space="preserve">commercial and national television broadcasters complying with their quota requirements for </w:t>
      </w:r>
      <w:r>
        <w:rPr>
          <w:rFonts w:cs="Arial"/>
        </w:rPr>
        <w:t>HDTV</w:t>
      </w:r>
      <w:r w:rsidRPr="00E141F1">
        <w:rPr>
          <w:rFonts w:cs="Arial"/>
        </w:rPr>
        <w:t xml:space="preserve"> transmission</w:t>
      </w:r>
    </w:p>
    <w:p w:rsidR="001E6FB8" w:rsidRPr="00E141F1" w:rsidRDefault="001E6FB8" w:rsidP="001E6FB8">
      <w:pPr>
        <w:pStyle w:val="ListBullet"/>
        <w:rPr>
          <w:rFonts w:cs="Arial"/>
        </w:rPr>
      </w:pPr>
      <w:r w:rsidRPr="00E141F1">
        <w:rPr>
          <w:rFonts w:cs="Arial"/>
        </w:rPr>
        <w:t xml:space="preserve">all regional commercial radio and television broadcasting licensees broadcasting the required amount of material of local significance </w:t>
      </w:r>
    </w:p>
    <w:p w:rsidR="001E6FB8" w:rsidRPr="00E141F1" w:rsidRDefault="001E6FB8" w:rsidP="001E6FB8">
      <w:pPr>
        <w:pStyle w:val="ListBullet"/>
        <w:rPr>
          <w:rFonts w:cs="Arial"/>
        </w:rPr>
      </w:pPr>
      <w:r w:rsidRPr="00E141F1">
        <w:rPr>
          <w:rFonts w:cs="Arial"/>
        </w:rPr>
        <w:t xml:space="preserve">digitalisation of Australian broadcasting services continuing with digital television rolled out across most of Australia, </w:t>
      </w:r>
      <w:proofErr w:type="spellStart"/>
      <w:r w:rsidRPr="00E141F1">
        <w:rPr>
          <w:rFonts w:cs="Arial"/>
        </w:rPr>
        <w:t>analog</w:t>
      </w:r>
      <w:proofErr w:type="spellEnd"/>
      <w:r w:rsidRPr="00E141F1">
        <w:rPr>
          <w:rFonts w:cs="Arial"/>
        </w:rPr>
        <w:t xml:space="preserve"> television services switched off in most areas and the number of people listening to digital radio increasing</w:t>
      </w:r>
    </w:p>
    <w:p w:rsidR="001E6FB8" w:rsidRPr="00E141F1" w:rsidRDefault="001E6FB8" w:rsidP="001E6FB8">
      <w:pPr>
        <w:pStyle w:val="ListBullet"/>
        <w:spacing w:after="240"/>
        <w:rPr>
          <w:rFonts w:cs="Arial"/>
        </w:rPr>
      </w:pPr>
      <w:r w:rsidRPr="00E141F1">
        <w:rPr>
          <w:rFonts w:cs="Arial"/>
        </w:rPr>
        <w:t>complaints for broadcasting matters (written only) and online content decreasing.</w:t>
      </w:r>
    </w:p>
    <w:p w:rsidR="001E6FB8" w:rsidRPr="00E141F1" w:rsidRDefault="001E6FB8" w:rsidP="001E6FB8">
      <w:pPr>
        <w:pStyle w:val="Heading2"/>
      </w:pPr>
      <w:bookmarkStart w:id="510" w:name="_Toc371589094"/>
      <w:bookmarkStart w:id="511" w:name="_Toc373149156"/>
      <w:r w:rsidRPr="00E141F1">
        <w:t>Australian content on television</w:t>
      </w:r>
      <w:bookmarkEnd w:id="510"/>
      <w:bookmarkEnd w:id="511"/>
    </w:p>
    <w:p w:rsidR="001E6FB8" w:rsidRDefault="001E6FB8" w:rsidP="001E6FB8">
      <w:pPr>
        <w:spacing w:after="80"/>
        <w:rPr>
          <w:rFonts w:cs="Arial"/>
        </w:rPr>
      </w:pPr>
      <w:r w:rsidRPr="00E141F1">
        <w:rPr>
          <w:rFonts w:cs="Arial"/>
        </w:rPr>
        <w:t>The Broadcasting Services (Australian Content) Standard 2005 (Australian Content Standard) requires commercial television broadcasters to:</w:t>
      </w:r>
    </w:p>
    <w:p w:rsidR="001E6FB8" w:rsidRPr="00E141F1" w:rsidRDefault="001E6FB8" w:rsidP="001E6FB8">
      <w:pPr>
        <w:pStyle w:val="ListBullet"/>
        <w:rPr>
          <w:rFonts w:cs="Arial"/>
        </w:rPr>
      </w:pPr>
      <w:r w:rsidRPr="00E141F1">
        <w:rPr>
          <w:rFonts w:cs="Arial"/>
        </w:rPr>
        <w:t>broadcast a minimum level of Australian programming</w:t>
      </w:r>
    </w:p>
    <w:p w:rsidR="001E6FB8" w:rsidRPr="00E141F1" w:rsidRDefault="001E6FB8" w:rsidP="001E6FB8">
      <w:pPr>
        <w:pStyle w:val="ListBullet"/>
        <w:rPr>
          <w:rFonts w:cs="Arial"/>
        </w:rPr>
      </w:pPr>
      <w:r w:rsidRPr="00E141F1">
        <w:rPr>
          <w:rFonts w:cs="Arial"/>
        </w:rPr>
        <w:t>broadcast minimum amounts of first-release Australian drama and documentary programs</w:t>
      </w:r>
    </w:p>
    <w:p w:rsidR="001E6FB8" w:rsidRPr="00E141F1" w:rsidRDefault="001E6FB8" w:rsidP="001E6FB8">
      <w:pPr>
        <w:pStyle w:val="ListBullet"/>
        <w:rPr>
          <w:rFonts w:cs="Arial"/>
        </w:rPr>
      </w:pPr>
      <w:r w:rsidRPr="00E141F1">
        <w:rPr>
          <w:rFonts w:cs="Arial"/>
        </w:rPr>
        <w:t xml:space="preserve">broadcast minimum amounts of Australian-made children’s programs </w:t>
      </w:r>
    </w:p>
    <w:p w:rsidR="001E6FB8" w:rsidRPr="00E141F1" w:rsidRDefault="001E6FB8" w:rsidP="001E6FB8">
      <w:pPr>
        <w:pStyle w:val="ListBullet"/>
        <w:spacing w:after="240"/>
        <w:rPr>
          <w:rFonts w:cs="Arial"/>
        </w:rPr>
      </w:pPr>
      <w:r w:rsidRPr="00E141F1">
        <w:rPr>
          <w:rFonts w:cs="Arial"/>
        </w:rPr>
        <w:t>ensure that all preschool programs are Australian.</w:t>
      </w:r>
    </w:p>
    <w:p w:rsidR="001E6FB8" w:rsidRDefault="001E6FB8" w:rsidP="001E6FB8">
      <w:r w:rsidRPr="00E141F1">
        <w:t xml:space="preserve">From 1 January 2013, following the introduction of the </w:t>
      </w:r>
      <w:r w:rsidRPr="00E141F1">
        <w:rPr>
          <w:i/>
          <w:iCs/>
        </w:rPr>
        <w:t>Broadcasting Legislation Amendment (Convergence Review and Other Measures) Act 2013</w:t>
      </w:r>
      <w:r w:rsidRPr="00E141F1">
        <w:t>, commercial television broadcasters are required to meet specific Australian content quotas across non-core television services (multi-channels). For 2013, this requirement is 730 hours, increasing to 1</w:t>
      </w:r>
      <w:r>
        <w:t>,</w:t>
      </w:r>
      <w:r w:rsidRPr="00E141F1">
        <w:t>460 hours in 2015 and beyond.</w:t>
      </w:r>
      <w:r>
        <w:t xml:space="preserve"> </w:t>
      </w:r>
      <w:r w:rsidRPr="00E141F1">
        <w:t>As with the Australian Content Standard, compliance is based on a calendar year, with 2013 results to be available for the 2013–14 communications report.</w:t>
      </w:r>
    </w:p>
    <w:p w:rsidR="001E6FB8" w:rsidRDefault="001E6FB8" w:rsidP="001E6FB8"/>
    <w:p w:rsidR="001E6FB8" w:rsidRPr="00E141F1" w:rsidRDefault="001E6FB8" w:rsidP="001E6FB8">
      <w:r w:rsidRPr="00E141F1">
        <w:t>For the 2012 calendar year, the major metropolitan free-to-air commercial network licensees met the Australian content transmission quotas for overall content, drama and documentaries (Table 4.1).</w:t>
      </w:r>
    </w:p>
    <w:p w:rsidR="001E6FB8" w:rsidRPr="00E141F1" w:rsidRDefault="001E6FB8" w:rsidP="001E6FB8"/>
    <w:tbl>
      <w:tblPr>
        <w:tblStyle w:val="TableGrid"/>
        <w:tblW w:w="9196" w:type="dxa"/>
        <w:tblInd w:w="126" w:type="dxa"/>
        <w:tblLayout w:type="fixed"/>
        <w:tblLook w:val="04A0"/>
      </w:tblPr>
      <w:tblGrid>
        <w:gridCol w:w="2835"/>
        <w:gridCol w:w="1577"/>
        <w:gridCol w:w="1595"/>
        <w:gridCol w:w="1594"/>
        <w:gridCol w:w="1595"/>
      </w:tblGrid>
      <w:tr w:rsidR="001E6FB8" w:rsidRPr="00E141F1" w:rsidTr="001E6FB8">
        <w:trPr>
          <w:trHeight w:val="750"/>
        </w:trPr>
        <w:tc>
          <w:tcPr>
            <w:tcW w:w="9196" w:type="dxa"/>
            <w:gridSpan w:val="5"/>
            <w:tcBorders>
              <w:top w:val="single" w:sz="4" w:space="0" w:color="auto"/>
              <w:left w:val="nil"/>
              <w:bottom w:val="nil"/>
              <w:right w:val="nil"/>
            </w:tcBorders>
            <w:vAlign w:val="center"/>
          </w:tcPr>
          <w:p w:rsidR="001E6FB8" w:rsidRDefault="001E6FB8" w:rsidP="001E6FB8">
            <w:pPr>
              <w:pStyle w:val="Caption"/>
              <w:keepNext/>
              <w:rPr>
                <w:rFonts w:cs="Arial"/>
              </w:rPr>
            </w:pPr>
            <w:r w:rsidRPr="00E141F1">
              <w:rPr>
                <w:rFonts w:cs="Arial"/>
              </w:rPr>
              <w:t>Table 4.1 Major metropolitan free-to-air commercial network licensees meeting requirements of the Australian Content Standard for the 2012 calendar year</w:t>
            </w:r>
          </w:p>
        </w:tc>
      </w:tr>
      <w:tr w:rsidR="001E6FB8" w:rsidRPr="00E141F1" w:rsidTr="001E6FB8">
        <w:trPr>
          <w:trHeight w:val="328"/>
        </w:trPr>
        <w:tc>
          <w:tcPr>
            <w:tcW w:w="2835" w:type="dxa"/>
            <w:tcBorders>
              <w:top w:val="nil"/>
              <w:left w:val="nil"/>
              <w:bottom w:val="nil"/>
              <w:right w:val="nil"/>
            </w:tcBorders>
            <w:shd w:val="clear" w:color="auto" w:fill="00709E"/>
          </w:tcPr>
          <w:p w:rsidR="001E6FB8" w:rsidRPr="00E141F1" w:rsidRDefault="001E6FB8" w:rsidP="001E6FB8">
            <w:pPr>
              <w:rPr>
                <w:rFonts w:cs="Arial"/>
                <w:color w:val="FFFFFF" w:themeColor="background1"/>
                <w:sz w:val="18"/>
                <w:szCs w:val="18"/>
              </w:rPr>
            </w:pPr>
          </w:p>
        </w:tc>
        <w:tc>
          <w:tcPr>
            <w:tcW w:w="1577" w:type="dxa"/>
            <w:tcBorders>
              <w:top w:val="nil"/>
              <w:left w:val="nil"/>
              <w:bottom w:val="nil"/>
              <w:right w:val="nil"/>
            </w:tcBorders>
            <w:shd w:val="clear" w:color="auto" w:fill="00709E"/>
            <w:vAlign w:val="center"/>
          </w:tcPr>
          <w:p w:rsidR="001E6FB8" w:rsidRPr="00E141F1" w:rsidRDefault="001E6FB8" w:rsidP="001E6FB8">
            <w:pPr>
              <w:jc w:val="center"/>
              <w:rPr>
                <w:rFonts w:cs="Arial"/>
                <w:b/>
                <w:color w:val="FFFFFF" w:themeColor="background1"/>
                <w:sz w:val="18"/>
                <w:szCs w:val="18"/>
              </w:rPr>
            </w:pPr>
          </w:p>
        </w:tc>
        <w:tc>
          <w:tcPr>
            <w:tcW w:w="4784" w:type="dxa"/>
            <w:gridSpan w:val="3"/>
            <w:tcBorders>
              <w:top w:val="nil"/>
              <w:left w:val="nil"/>
              <w:bottom w:val="nil"/>
              <w:right w:val="nil"/>
            </w:tcBorders>
            <w:shd w:val="clear" w:color="auto" w:fill="00709E"/>
          </w:tcPr>
          <w:p w:rsidR="001E6FB8" w:rsidRPr="00E141F1" w:rsidRDefault="001E6FB8" w:rsidP="001E6FB8">
            <w:pPr>
              <w:ind w:right="131"/>
              <w:jc w:val="center"/>
              <w:rPr>
                <w:rFonts w:cs="Arial"/>
                <w:b/>
                <w:color w:val="FFFFFF" w:themeColor="background1"/>
                <w:sz w:val="18"/>
                <w:szCs w:val="18"/>
              </w:rPr>
            </w:pPr>
            <w:r w:rsidRPr="00E141F1">
              <w:rPr>
                <w:rFonts w:cs="Arial"/>
                <w:b/>
                <w:color w:val="FFFFFF" w:themeColor="background1"/>
                <w:sz w:val="18"/>
                <w:szCs w:val="18"/>
              </w:rPr>
              <w:t>Licensees</w:t>
            </w:r>
          </w:p>
        </w:tc>
      </w:tr>
      <w:tr w:rsidR="001E6FB8" w:rsidRPr="0001083B" w:rsidTr="001E6FB8">
        <w:tc>
          <w:tcPr>
            <w:tcW w:w="2835" w:type="dxa"/>
            <w:tcBorders>
              <w:top w:val="nil"/>
              <w:left w:val="nil"/>
              <w:bottom w:val="nil"/>
              <w:right w:val="nil"/>
            </w:tcBorders>
            <w:shd w:val="clear" w:color="auto" w:fill="00709E"/>
          </w:tcPr>
          <w:p w:rsidR="001E6FB8" w:rsidRPr="0001083B" w:rsidRDefault="001E6FB8" w:rsidP="001E6FB8">
            <w:pPr>
              <w:spacing w:before="100" w:beforeAutospacing="1" w:after="100" w:afterAutospacing="1" w:line="240" w:lineRule="auto"/>
              <w:ind w:right="87"/>
              <w:jc w:val="right"/>
              <w:rPr>
                <w:rFonts w:cs="Arial"/>
                <w:b/>
                <w:color w:val="FFFFFF" w:themeColor="background1"/>
                <w:sz w:val="18"/>
                <w:szCs w:val="18"/>
              </w:rPr>
            </w:pPr>
          </w:p>
        </w:tc>
        <w:tc>
          <w:tcPr>
            <w:tcW w:w="1577" w:type="dxa"/>
            <w:tcBorders>
              <w:top w:val="nil"/>
              <w:left w:val="nil"/>
              <w:bottom w:val="nil"/>
              <w:right w:val="nil"/>
            </w:tcBorders>
            <w:shd w:val="clear" w:color="auto" w:fill="00709E"/>
            <w:vAlign w:val="center"/>
          </w:tcPr>
          <w:p w:rsidR="001E6FB8" w:rsidRPr="0001083B" w:rsidRDefault="001E6FB8" w:rsidP="001E6FB8">
            <w:pPr>
              <w:spacing w:before="100" w:beforeAutospacing="1" w:after="100" w:afterAutospacing="1" w:line="240" w:lineRule="auto"/>
              <w:ind w:right="87"/>
              <w:jc w:val="right"/>
              <w:rPr>
                <w:rFonts w:cs="Arial"/>
                <w:b/>
                <w:color w:val="FFFFFF" w:themeColor="background1"/>
                <w:sz w:val="18"/>
                <w:szCs w:val="18"/>
              </w:rPr>
            </w:pPr>
            <w:r w:rsidRPr="00E141F1">
              <w:rPr>
                <w:rFonts w:cs="Arial"/>
                <w:b/>
                <w:color w:val="FFFFFF" w:themeColor="background1"/>
                <w:sz w:val="18"/>
                <w:szCs w:val="18"/>
              </w:rPr>
              <w:t>Minimum transmission quota required to meet the standard</w:t>
            </w:r>
          </w:p>
        </w:tc>
        <w:tc>
          <w:tcPr>
            <w:tcW w:w="1595" w:type="dxa"/>
            <w:tcBorders>
              <w:top w:val="nil"/>
              <w:left w:val="nil"/>
              <w:bottom w:val="nil"/>
              <w:right w:val="nil"/>
            </w:tcBorders>
            <w:shd w:val="clear" w:color="auto" w:fill="00709E"/>
          </w:tcPr>
          <w:p w:rsidR="001E6FB8" w:rsidRPr="00E141F1" w:rsidRDefault="001E6FB8" w:rsidP="001E6FB8">
            <w:pPr>
              <w:spacing w:before="100" w:beforeAutospacing="1" w:after="100" w:afterAutospacing="1" w:line="240" w:lineRule="auto"/>
              <w:ind w:right="87"/>
              <w:jc w:val="right"/>
              <w:rPr>
                <w:rFonts w:cs="Arial"/>
                <w:b/>
                <w:color w:val="FFFFFF" w:themeColor="background1"/>
                <w:sz w:val="18"/>
                <w:szCs w:val="18"/>
              </w:rPr>
            </w:pPr>
            <w:r w:rsidRPr="00E141F1">
              <w:rPr>
                <w:rFonts w:cs="Arial"/>
                <w:b/>
                <w:color w:val="FFFFFF" w:themeColor="background1"/>
                <w:sz w:val="18"/>
                <w:szCs w:val="18"/>
              </w:rPr>
              <w:t>Seven Network</w:t>
            </w:r>
            <w:r w:rsidRPr="00E141F1">
              <w:rPr>
                <w:rFonts w:cs="Arial"/>
                <w:b/>
                <w:color w:val="FFFFFF" w:themeColor="background1"/>
                <w:sz w:val="18"/>
                <w:szCs w:val="18"/>
              </w:rPr>
              <w:br/>
            </w:r>
            <w:r w:rsidRPr="0001083B">
              <w:rPr>
                <w:rFonts w:cs="Arial"/>
                <w:b/>
                <w:color w:val="FFFFFF" w:themeColor="background1"/>
                <w:sz w:val="18"/>
                <w:szCs w:val="18"/>
              </w:rPr>
              <w:t>average across 5 mainland state capital cities</w:t>
            </w:r>
          </w:p>
        </w:tc>
        <w:tc>
          <w:tcPr>
            <w:tcW w:w="1594" w:type="dxa"/>
            <w:tcBorders>
              <w:top w:val="nil"/>
              <w:left w:val="nil"/>
              <w:bottom w:val="nil"/>
              <w:right w:val="nil"/>
            </w:tcBorders>
            <w:shd w:val="clear" w:color="auto" w:fill="00709E"/>
          </w:tcPr>
          <w:p w:rsidR="001E6FB8" w:rsidRPr="00E141F1" w:rsidRDefault="001E6FB8" w:rsidP="001E6FB8">
            <w:pPr>
              <w:spacing w:before="100" w:beforeAutospacing="1" w:after="100" w:afterAutospacing="1" w:line="240" w:lineRule="auto"/>
              <w:ind w:right="87"/>
              <w:jc w:val="right"/>
              <w:rPr>
                <w:rFonts w:cs="Arial"/>
                <w:b/>
                <w:color w:val="FFFFFF" w:themeColor="background1"/>
                <w:sz w:val="18"/>
                <w:szCs w:val="18"/>
              </w:rPr>
            </w:pPr>
            <w:r w:rsidRPr="00E141F1">
              <w:rPr>
                <w:rFonts w:cs="Arial"/>
                <w:b/>
                <w:color w:val="FFFFFF" w:themeColor="background1"/>
                <w:sz w:val="18"/>
                <w:szCs w:val="18"/>
              </w:rPr>
              <w:t>Nine Network</w:t>
            </w:r>
            <w:r w:rsidRPr="0001083B">
              <w:rPr>
                <w:rFonts w:cs="Arial"/>
                <w:b/>
                <w:color w:val="FFFFFF" w:themeColor="background1"/>
                <w:sz w:val="18"/>
                <w:szCs w:val="18"/>
              </w:rPr>
              <w:br/>
              <w:t>average across</w:t>
            </w:r>
            <w:r>
              <w:rPr>
                <w:rFonts w:cs="Arial"/>
                <w:b/>
                <w:color w:val="FFFFFF" w:themeColor="background1"/>
                <w:sz w:val="18"/>
                <w:szCs w:val="18"/>
              </w:rPr>
              <w:t xml:space="preserve"> </w:t>
            </w:r>
            <w:r w:rsidRPr="0001083B">
              <w:rPr>
                <w:rFonts w:cs="Arial"/>
                <w:b/>
                <w:color w:val="FFFFFF" w:themeColor="background1"/>
                <w:sz w:val="18"/>
                <w:szCs w:val="18"/>
              </w:rPr>
              <w:t>Brisbane, Melbourne and Sydney</w:t>
            </w:r>
          </w:p>
        </w:tc>
        <w:tc>
          <w:tcPr>
            <w:tcW w:w="1595" w:type="dxa"/>
            <w:tcBorders>
              <w:top w:val="nil"/>
              <w:left w:val="nil"/>
              <w:bottom w:val="nil"/>
              <w:right w:val="nil"/>
            </w:tcBorders>
            <w:shd w:val="clear" w:color="auto" w:fill="00709E"/>
          </w:tcPr>
          <w:p w:rsidR="001E6FB8" w:rsidRPr="0001083B" w:rsidRDefault="001E6FB8" w:rsidP="001E6FB8">
            <w:pPr>
              <w:spacing w:before="100" w:beforeAutospacing="1" w:after="100" w:afterAutospacing="1" w:line="240" w:lineRule="auto"/>
              <w:ind w:right="87"/>
              <w:jc w:val="right"/>
              <w:rPr>
                <w:rFonts w:cs="Arial"/>
                <w:b/>
                <w:color w:val="FFFFFF" w:themeColor="background1"/>
                <w:sz w:val="18"/>
                <w:szCs w:val="18"/>
              </w:rPr>
            </w:pPr>
            <w:r w:rsidRPr="00E141F1">
              <w:rPr>
                <w:rFonts w:cs="Arial"/>
                <w:b/>
                <w:color w:val="FFFFFF" w:themeColor="background1"/>
                <w:sz w:val="18"/>
                <w:szCs w:val="18"/>
              </w:rPr>
              <w:t>Ten Network</w:t>
            </w:r>
            <w:r w:rsidRPr="0001083B">
              <w:rPr>
                <w:rFonts w:cs="Arial"/>
                <w:b/>
                <w:color w:val="FFFFFF" w:themeColor="background1"/>
                <w:sz w:val="18"/>
                <w:szCs w:val="18"/>
              </w:rPr>
              <w:br/>
              <w:t xml:space="preserve">average across 5 </w:t>
            </w:r>
            <w:r w:rsidRPr="0001083B">
              <w:rPr>
                <w:rFonts w:cs="Arial"/>
                <w:b/>
                <w:color w:val="FFFFFF" w:themeColor="background1"/>
                <w:sz w:val="18"/>
                <w:szCs w:val="18"/>
              </w:rPr>
              <w:br/>
              <w:t>mainland state capital cities</w:t>
            </w:r>
          </w:p>
        </w:tc>
      </w:tr>
      <w:tr w:rsidR="001E6FB8" w:rsidRPr="00E141F1" w:rsidTr="001E6FB8">
        <w:tc>
          <w:tcPr>
            <w:tcW w:w="2835" w:type="dxa"/>
            <w:tcBorders>
              <w:top w:val="nil"/>
              <w:left w:val="nil"/>
              <w:bottom w:val="single" w:sz="4" w:space="0" w:color="BFBFBF" w:themeColor="background1" w:themeShade="BF"/>
              <w:right w:val="nil"/>
            </w:tcBorders>
            <w:vAlign w:val="center"/>
          </w:tcPr>
          <w:p w:rsidR="001E6FB8" w:rsidRPr="00E141F1" w:rsidRDefault="001E6FB8" w:rsidP="001E6FB8">
            <w:pPr>
              <w:rPr>
                <w:rFonts w:cs="Arial"/>
                <w:bCs/>
                <w:color w:val="000000"/>
                <w:sz w:val="18"/>
                <w:szCs w:val="18"/>
              </w:rPr>
            </w:pPr>
            <w:r w:rsidRPr="003E4870">
              <w:rPr>
                <w:rFonts w:cs="Arial"/>
                <w:b/>
                <w:bCs/>
                <w:color w:val="00709E"/>
                <w:sz w:val="18"/>
                <w:szCs w:val="18"/>
              </w:rPr>
              <w:t>Overall Australian content</w:t>
            </w:r>
            <w:r w:rsidRPr="00E141F1">
              <w:rPr>
                <w:rFonts w:cs="Arial"/>
                <w:bCs/>
                <w:color w:val="4F81BD" w:themeColor="accent1"/>
                <w:sz w:val="18"/>
                <w:szCs w:val="18"/>
              </w:rPr>
              <w:br/>
            </w:r>
            <w:r w:rsidRPr="00E141F1">
              <w:rPr>
                <w:rFonts w:cs="Arial"/>
                <w:bCs/>
                <w:color w:val="000000"/>
                <w:sz w:val="18"/>
                <w:szCs w:val="18"/>
              </w:rPr>
              <w:t>first-release and repeat programs* (%)</w:t>
            </w:r>
          </w:p>
        </w:tc>
        <w:tc>
          <w:tcPr>
            <w:tcW w:w="1577" w:type="dxa"/>
            <w:tcBorders>
              <w:top w:val="nil"/>
              <w:left w:val="nil"/>
              <w:bottom w:val="single" w:sz="4" w:space="0" w:color="BFBFBF" w:themeColor="background1" w:themeShade="BF"/>
              <w:right w:val="nil"/>
            </w:tcBorders>
            <w:vAlign w:val="center"/>
          </w:tcPr>
          <w:p w:rsidR="001E6FB8" w:rsidRPr="00E141F1" w:rsidRDefault="001E6FB8" w:rsidP="001E6FB8">
            <w:pPr>
              <w:ind w:right="85"/>
              <w:jc w:val="center"/>
              <w:rPr>
                <w:rFonts w:cs="Arial"/>
                <w:color w:val="000000"/>
                <w:sz w:val="18"/>
                <w:szCs w:val="18"/>
              </w:rPr>
            </w:pPr>
            <w:r w:rsidRPr="00E141F1">
              <w:rPr>
                <w:rFonts w:cs="Arial"/>
                <w:color w:val="000000"/>
                <w:sz w:val="18"/>
                <w:szCs w:val="18"/>
              </w:rPr>
              <w:t>55</w:t>
            </w:r>
          </w:p>
        </w:tc>
        <w:tc>
          <w:tcPr>
            <w:tcW w:w="1595" w:type="dxa"/>
            <w:tcBorders>
              <w:top w:val="nil"/>
              <w:left w:val="nil"/>
              <w:bottom w:val="single" w:sz="4" w:space="0" w:color="BFBFBF" w:themeColor="background1" w:themeShade="BF"/>
              <w:right w:val="nil"/>
            </w:tcBorders>
            <w:vAlign w:val="center"/>
          </w:tcPr>
          <w:p w:rsidR="001E6FB8" w:rsidRPr="00E141F1" w:rsidRDefault="001E6FB8" w:rsidP="001E6FB8">
            <w:pPr>
              <w:ind w:right="163"/>
              <w:jc w:val="center"/>
              <w:rPr>
                <w:rFonts w:cs="Arial"/>
                <w:color w:val="000000"/>
                <w:sz w:val="18"/>
                <w:szCs w:val="18"/>
              </w:rPr>
            </w:pPr>
            <w:r w:rsidRPr="00E141F1">
              <w:rPr>
                <w:rFonts w:cs="Arial"/>
                <w:color w:val="000000"/>
                <w:sz w:val="18"/>
                <w:szCs w:val="18"/>
              </w:rPr>
              <w:t>68</w:t>
            </w:r>
          </w:p>
        </w:tc>
        <w:tc>
          <w:tcPr>
            <w:tcW w:w="1594" w:type="dxa"/>
            <w:tcBorders>
              <w:top w:val="nil"/>
              <w:left w:val="nil"/>
              <w:bottom w:val="single" w:sz="4" w:space="0" w:color="BFBFBF" w:themeColor="background1" w:themeShade="BF"/>
              <w:right w:val="nil"/>
            </w:tcBorders>
            <w:vAlign w:val="center"/>
          </w:tcPr>
          <w:p w:rsidR="001E6FB8" w:rsidRPr="00E141F1" w:rsidRDefault="001E6FB8" w:rsidP="001E6FB8">
            <w:pPr>
              <w:ind w:right="147"/>
              <w:jc w:val="center"/>
              <w:rPr>
                <w:rFonts w:cs="Arial"/>
                <w:color w:val="000000"/>
                <w:sz w:val="18"/>
                <w:szCs w:val="18"/>
              </w:rPr>
            </w:pPr>
            <w:r w:rsidRPr="00E141F1">
              <w:rPr>
                <w:rFonts w:cs="Arial"/>
                <w:color w:val="000000"/>
                <w:sz w:val="18"/>
                <w:szCs w:val="18"/>
              </w:rPr>
              <w:t>68</w:t>
            </w:r>
          </w:p>
        </w:tc>
        <w:tc>
          <w:tcPr>
            <w:tcW w:w="1595" w:type="dxa"/>
            <w:tcBorders>
              <w:top w:val="nil"/>
              <w:left w:val="nil"/>
              <w:bottom w:val="single" w:sz="4" w:space="0" w:color="BFBFBF" w:themeColor="background1" w:themeShade="BF"/>
              <w:right w:val="nil"/>
            </w:tcBorders>
            <w:vAlign w:val="center"/>
          </w:tcPr>
          <w:p w:rsidR="001E6FB8" w:rsidRPr="00E141F1" w:rsidRDefault="001E6FB8" w:rsidP="001E6FB8">
            <w:pPr>
              <w:ind w:right="131"/>
              <w:jc w:val="center"/>
              <w:rPr>
                <w:rFonts w:cs="Arial"/>
                <w:color w:val="000000"/>
                <w:sz w:val="18"/>
                <w:szCs w:val="18"/>
              </w:rPr>
            </w:pPr>
            <w:r w:rsidRPr="00E141F1">
              <w:rPr>
                <w:rFonts w:cs="Arial"/>
                <w:color w:val="000000"/>
                <w:sz w:val="18"/>
                <w:szCs w:val="18"/>
              </w:rPr>
              <w:t>60</w:t>
            </w:r>
          </w:p>
        </w:tc>
      </w:tr>
      <w:tr w:rsidR="001E6FB8" w:rsidRPr="00E141F1" w:rsidTr="001E6FB8">
        <w:tc>
          <w:tcPr>
            <w:tcW w:w="2835"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rPr>
                <w:rFonts w:cs="Arial"/>
                <w:bCs/>
                <w:color w:val="000000"/>
                <w:sz w:val="18"/>
                <w:szCs w:val="18"/>
              </w:rPr>
            </w:pPr>
            <w:r w:rsidRPr="003E4870">
              <w:rPr>
                <w:rFonts w:cs="Arial"/>
                <w:b/>
                <w:bCs/>
                <w:color w:val="00709E"/>
                <w:sz w:val="18"/>
                <w:szCs w:val="18"/>
              </w:rPr>
              <w:t>Australian drama</w:t>
            </w:r>
            <w:r w:rsidRPr="003E4870">
              <w:rPr>
                <w:rFonts w:cs="Arial"/>
                <w:bCs/>
                <w:color w:val="00709E"/>
                <w:sz w:val="18"/>
                <w:szCs w:val="18"/>
              </w:rPr>
              <w:br/>
            </w:r>
            <w:r w:rsidRPr="00E141F1">
              <w:rPr>
                <w:rFonts w:cs="Arial"/>
                <w:bCs/>
                <w:color w:val="000000"/>
                <w:sz w:val="18"/>
                <w:szCs w:val="18"/>
              </w:rPr>
              <w:t>first-release programs (points)</w:t>
            </w:r>
          </w:p>
        </w:tc>
        <w:tc>
          <w:tcPr>
            <w:tcW w:w="1577"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85"/>
              <w:jc w:val="center"/>
              <w:rPr>
                <w:rFonts w:cs="Arial"/>
                <w:color w:val="000000"/>
                <w:sz w:val="18"/>
                <w:szCs w:val="18"/>
              </w:rPr>
            </w:pPr>
            <w:r w:rsidRPr="00E141F1">
              <w:rPr>
                <w:rFonts w:cs="Arial"/>
                <w:color w:val="000000"/>
                <w:sz w:val="18"/>
                <w:szCs w:val="18"/>
              </w:rPr>
              <w:t>250</w:t>
            </w:r>
          </w:p>
        </w:tc>
        <w:tc>
          <w:tcPr>
            <w:tcW w:w="1595"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163"/>
              <w:jc w:val="center"/>
              <w:rPr>
                <w:rFonts w:cs="Arial"/>
                <w:color w:val="000000"/>
                <w:sz w:val="18"/>
                <w:szCs w:val="18"/>
              </w:rPr>
            </w:pPr>
            <w:r w:rsidRPr="00E141F1">
              <w:rPr>
                <w:rFonts w:cs="Arial"/>
                <w:color w:val="000000"/>
                <w:sz w:val="18"/>
                <w:szCs w:val="18"/>
              </w:rPr>
              <w:t>266</w:t>
            </w:r>
          </w:p>
        </w:tc>
        <w:tc>
          <w:tcPr>
            <w:tcW w:w="1594"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147"/>
              <w:jc w:val="center"/>
              <w:rPr>
                <w:rFonts w:cs="Arial"/>
                <w:color w:val="000000"/>
                <w:sz w:val="18"/>
                <w:szCs w:val="18"/>
              </w:rPr>
            </w:pPr>
            <w:r w:rsidRPr="00E141F1">
              <w:rPr>
                <w:rFonts w:cs="Arial"/>
                <w:color w:val="000000"/>
                <w:sz w:val="18"/>
                <w:szCs w:val="18"/>
              </w:rPr>
              <w:t>254</w:t>
            </w:r>
          </w:p>
        </w:tc>
        <w:tc>
          <w:tcPr>
            <w:tcW w:w="1595"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131"/>
              <w:jc w:val="center"/>
              <w:rPr>
                <w:rFonts w:cs="Arial"/>
                <w:color w:val="000000"/>
                <w:sz w:val="18"/>
                <w:szCs w:val="18"/>
              </w:rPr>
            </w:pPr>
            <w:r w:rsidRPr="00E141F1">
              <w:rPr>
                <w:rFonts w:cs="Arial"/>
                <w:color w:val="000000"/>
                <w:sz w:val="18"/>
                <w:szCs w:val="18"/>
              </w:rPr>
              <w:t>260</w:t>
            </w:r>
          </w:p>
        </w:tc>
      </w:tr>
      <w:tr w:rsidR="001E6FB8" w:rsidRPr="00E141F1" w:rsidTr="001E6FB8">
        <w:tc>
          <w:tcPr>
            <w:tcW w:w="2835"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rPr>
                <w:rFonts w:cs="Arial"/>
                <w:bCs/>
                <w:color w:val="000000"/>
                <w:sz w:val="18"/>
                <w:szCs w:val="18"/>
              </w:rPr>
            </w:pPr>
            <w:r w:rsidRPr="003E4870">
              <w:rPr>
                <w:rFonts w:cs="Arial"/>
                <w:b/>
                <w:bCs/>
                <w:color w:val="00709E"/>
                <w:sz w:val="18"/>
                <w:szCs w:val="18"/>
              </w:rPr>
              <w:t>Australian documentaries</w:t>
            </w:r>
            <w:r w:rsidRPr="003E4870">
              <w:rPr>
                <w:rFonts w:cs="Arial"/>
                <w:bCs/>
                <w:color w:val="00709E"/>
                <w:sz w:val="18"/>
                <w:szCs w:val="18"/>
              </w:rPr>
              <w:br/>
            </w:r>
            <w:r w:rsidRPr="00E141F1">
              <w:rPr>
                <w:rFonts w:cs="Arial"/>
                <w:bCs/>
                <w:color w:val="000000"/>
                <w:sz w:val="18"/>
                <w:szCs w:val="18"/>
              </w:rPr>
              <w:t xml:space="preserve">first-release programs </w:t>
            </w:r>
            <w:r>
              <w:rPr>
                <w:rFonts w:cs="Arial"/>
                <w:bCs/>
                <w:color w:val="000000"/>
                <w:sz w:val="18"/>
                <w:szCs w:val="18"/>
              </w:rPr>
              <w:br/>
            </w:r>
            <w:r w:rsidRPr="00E141F1">
              <w:rPr>
                <w:rFonts w:cs="Arial"/>
                <w:bCs/>
                <w:color w:val="000000"/>
                <w:sz w:val="18"/>
                <w:szCs w:val="18"/>
              </w:rPr>
              <w:t>(average hrs)</w:t>
            </w:r>
          </w:p>
        </w:tc>
        <w:tc>
          <w:tcPr>
            <w:tcW w:w="1577"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85"/>
              <w:jc w:val="center"/>
              <w:rPr>
                <w:rFonts w:cs="Arial"/>
                <w:color w:val="000000"/>
                <w:sz w:val="18"/>
                <w:szCs w:val="18"/>
              </w:rPr>
            </w:pPr>
            <w:r w:rsidRPr="00E141F1">
              <w:rPr>
                <w:rFonts w:cs="Arial"/>
                <w:color w:val="000000"/>
                <w:sz w:val="18"/>
                <w:szCs w:val="18"/>
              </w:rPr>
              <w:t>20</w:t>
            </w:r>
          </w:p>
        </w:tc>
        <w:tc>
          <w:tcPr>
            <w:tcW w:w="1595"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163"/>
              <w:jc w:val="center"/>
              <w:rPr>
                <w:rFonts w:cs="Arial"/>
                <w:color w:val="000000"/>
                <w:sz w:val="18"/>
                <w:szCs w:val="18"/>
              </w:rPr>
            </w:pPr>
            <w:r w:rsidRPr="00E141F1">
              <w:rPr>
                <w:rFonts w:cs="Arial"/>
                <w:color w:val="000000"/>
                <w:sz w:val="18"/>
                <w:szCs w:val="18"/>
              </w:rPr>
              <w:t>54</w:t>
            </w:r>
          </w:p>
        </w:tc>
        <w:tc>
          <w:tcPr>
            <w:tcW w:w="1594"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147"/>
              <w:jc w:val="center"/>
              <w:rPr>
                <w:rFonts w:cs="Arial"/>
                <w:color w:val="000000"/>
                <w:sz w:val="18"/>
                <w:szCs w:val="18"/>
              </w:rPr>
            </w:pPr>
            <w:r w:rsidRPr="00E141F1">
              <w:rPr>
                <w:rFonts w:cs="Arial"/>
                <w:color w:val="000000"/>
                <w:sz w:val="18"/>
                <w:szCs w:val="18"/>
              </w:rPr>
              <w:t>22</w:t>
            </w:r>
          </w:p>
        </w:tc>
        <w:tc>
          <w:tcPr>
            <w:tcW w:w="1595"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131"/>
              <w:jc w:val="center"/>
              <w:rPr>
                <w:rFonts w:cs="Arial"/>
                <w:color w:val="000000"/>
                <w:sz w:val="18"/>
                <w:szCs w:val="18"/>
              </w:rPr>
            </w:pPr>
            <w:r w:rsidRPr="00E141F1">
              <w:rPr>
                <w:rFonts w:cs="Arial"/>
                <w:color w:val="000000"/>
                <w:sz w:val="18"/>
                <w:szCs w:val="18"/>
              </w:rPr>
              <w:t>21</w:t>
            </w:r>
          </w:p>
        </w:tc>
      </w:tr>
      <w:tr w:rsidR="001E6FB8" w:rsidRPr="00E141F1" w:rsidTr="001E6FB8">
        <w:trPr>
          <w:trHeight w:val="261"/>
        </w:trPr>
        <w:tc>
          <w:tcPr>
            <w:tcW w:w="9196" w:type="dxa"/>
            <w:gridSpan w:val="5"/>
            <w:tcBorders>
              <w:top w:val="nil"/>
              <w:left w:val="nil"/>
              <w:bottom w:val="single" w:sz="4" w:space="0" w:color="auto"/>
              <w:right w:val="nil"/>
            </w:tcBorders>
            <w:vAlign w:val="center"/>
          </w:tcPr>
          <w:p w:rsidR="001E6FB8" w:rsidRPr="00E141F1" w:rsidRDefault="001E6FB8" w:rsidP="001E6FB8">
            <w:pPr>
              <w:keepNext/>
              <w:keepLines/>
              <w:spacing w:before="120" w:after="60"/>
              <w:rPr>
                <w:rFonts w:cs="Arial"/>
                <w:sz w:val="16"/>
                <w:szCs w:val="16"/>
              </w:rPr>
            </w:pPr>
            <w:r w:rsidRPr="00E141F1">
              <w:rPr>
                <w:rFonts w:cs="Arial"/>
                <w:i/>
                <w:sz w:val="16"/>
                <w:szCs w:val="16"/>
              </w:rPr>
              <w:t>*Must be broadcast between 6.00 am and midnight.</w:t>
            </w:r>
          </w:p>
        </w:tc>
      </w:tr>
    </w:tbl>
    <w:p w:rsidR="001E6FB8" w:rsidRPr="00E141F1" w:rsidRDefault="001E6FB8" w:rsidP="001E6FB8">
      <w:pPr>
        <w:rPr>
          <w:rFonts w:cs="Arial"/>
        </w:rPr>
      </w:pPr>
    </w:p>
    <w:p w:rsidR="001E6FB8" w:rsidRPr="00E141F1" w:rsidRDefault="001E6FB8" w:rsidP="001E6FB8">
      <w:pPr>
        <w:pStyle w:val="Heading3"/>
      </w:pPr>
      <w:bookmarkStart w:id="512" w:name="_Toc308517283"/>
      <w:bookmarkStart w:id="513" w:name="_Toc308523723"/>
      <w:bookmarkStart w:id="514" w:name="_Toc312157239"/>
      <w:bookmarkStart w:id="515" w:name="_Toc371589095"/>
      <w:bookmarkStart w:id="516" w:name="_Toc373149157"/>
      <w:r w:rsidRPr="00E141F1">
        <w:t>Children’s programs on commercial television</w:t>
      </w:r>
      <w:bookmarkEnd w:id="512"/>
      <w:bookmarkEnd w:id="513"/>
      <w:bookmarkEnd w:id="514"/>
      <w:bookmarkEnd w:id="515"/>
      <w:bookmarkEnd w:id="516"/>
    </w:p>
    <w:p w:rsidR="001E6FB8" w:rsidRPr="00E141F1" w:rsidRDefault="001E6FB8" w:rsidP="001E6FB8">
      <w:pPr>
        <w:rPr>
          <w:rFonts w:cs="Arial"/>
        </w:rPr>
      </w:pPr>
      <w:r w:rsidRPr="00E141F1">
        <w:rPr>
          <w:rFonts w:cs="Arial"/>
        </w:rPr>
        <w:t>In conjunction with the Australian Content Standard, the Children’s Television Standards 2009 (CTS) are designed to give children under 14 years of age access to quality television programs that are specifically made for them and reflect their cultural experience.</w:t>
      </w:r>
    </w:p>
    <w:p w:rsidR="001E6FB8" w:rsidRPr="00E141F1" w:rsidRDefault="001E6FB8" w:rsidP="001E6FB8">
      <w:pPr>
        <w:rPr>
          <w:rFonts w:cs="Arial"/>
        </w:rPr>
      </w:pPr>
    </w:p>
    <w:p w:rsidR="001E6FB8" w:rsidRDefault="001E6FB8" w:rsidP="001E6FB8">
      <w:pPr>
        <w:spacing w:after="80"/>
        <w:rPr>
          <w:rFonts w:cs="Arial"/>
        </w:rPr>
      </w:pPr>
      <w:r w:rsidRPr="00E141F1">
        <w:rPr>
          <w:rFonts w:cs="Arial"/>
        </w:rPr>
        <w:t>The CTS requires licensees to provide at least 390 hours annually of children’s programs comprising:</w:t>
      </w:r>
    </w:p>
    <w:p w:rsidR="001E6FB8" w:rsidRPr="00E141F1" w:rsidRDefault="001E6FB8" w:rsidP="001E6FB8">
      <w:pPr>
        <w:pStyle w:val="ListBullet"/>
        <w:rPr>
          <w:rFonts w:cs="Arial"/>
        </w:rPr>
      </w:pPr>
      <w:r w:rsidRPr="00E141F1">
        <w:rPr>
          <w:rFonts w:cs="Arial"/>
        </w:rPr>
        <w:t>260 hours of children’s (C) programs</w:t>
      </w:r>
    </w:p>
    <w:p w:rsidR="001E6FB8" w:rsidRPr="00E141F1" w:rsidRDefault="001E6FB8" w:rsidP="001E6FB8">
      <w:pPr>
        <w:pStyle w:val="ListBullet"/>
        <w:spacing w:after="240"/>
        <w:rPr>
          <w:rFonts w:cs="Arial"/>
        </w:rPr>
      </w:pPr>
      <w:r w:rsidRPr="00E141F1">
        <w:rPr>
          <w:rFonts w:cs="Arial"/>
        </w:rPr>
        <w:t>130 hours of preschool (P) programs.</w:t>
      </w:r>
    </w:p>
    <w:p w:rsidR="001E6FB8" w:rsidRPr="00E141F1" w:rsidRDefault="001E6FB8" w:rsidP="001E6FB8">
      <w:pPr>
        <w:rPr>
          <w:rFonts w:cs="Arial"/>
        </w:rPr>
      </w:pPr>
      <w:r w:rsidRPr="00E141F1">
        <w:rPr>
          <w:rFonts w:cs="Arial"/>
        </w:rPr>
        <w:t>The Australian Content Standard sets out additional annual first release and C drama requirements within these quotas. For the 2012 calendar year, all metropolitan free-to-air commercial television broadcasting licensees met all of these annual quotas (Table</w:t>
      </w:r>
      <w:r>
        <w:rPr>
          <w:rFonts w:cs="Arial"/>
        </w:rPr>
        <w:t> </w:t>
      </w:r>
      <w:r w:rsidRPr="00E141F1">
        <w:rPr>
          <w:rFonts w:cs="Arial"/>
        </w:rPr>
        <w:t>4.2).</w:t>
      </w:r>
    </w:p>
    <w:p w:rsidR="001E6FB8" w:rsidRPr="00E141F1" w:rsidRDefault="001E6FB8" w:rsidP="001E6FB8">
      <w:pPr>
        <w:spacing w:line="240" w:lineRule="auto"/>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Table 4.2 Children’s and preschool children’s programs, 2012 calendar year</w:t>
            </w:r>
          </w:p>
        </w:tc>
      </w:tr>
      <w:tr w:rsidR="001E6FB8" w:rsidRPr="00E141F1" w:rsidTr="001E6FB8">
        <w:trPr>
          <w:trHeight w:val="3086"/>
        </w:trPr>
        <w:tc>
          <w:tcPr>
            <w:tcW w:w="9645" w:type="dxa"/>
            <w:shd w:val="clear" w:color="auto" w:fill="auto"/>
            <w:tcMar>
              <w:left w:w="28" w:type="dxa"/>
            </w:tcMar>
          </w:tcPr>
          <w:tbl>
            <w:tblPr>
              <w:tblW w:w="9629" w:type="dxa"/>
              <w:tblBorders>
                <w:top w:val="single" w:sz="12" w:space="0" w:color="009F4D"/>
                <w:bottom w:val="single" w:sz="4" w:space="0" w:color="C8C8C8"/>
                <w:insideH w:val="single" w:sz="4" w:space="0" w:color="C8C8C8"/>
              </w:tblBorders>
              <w:tblLayout w:type="fixed"/>
              <w:tblCellMar>
                <w:left w:w="85" w:type="dxa"/>
                <w:right w:w="0" w:type="dxa"/>
              </w:tblCellMar>
              <w:tblLook w:val="01E0"/>
            </w:tblPr>
            <w:tblGrid>
              <w:gridCol w:w="2748"/>
              <w:gridCol w:w="1318"/>
              <w:gridCol w:w="1319"/>
              <w:gridCol w:w="1409"/>
              <w:gridCol w:w="1276"/>
              <w:gridCol w:w="1559"/>
            </w:tblGrid>
            <w:tr w:rsidR="001E6FB8" w:rsidRPr="00E141F1" w:rsidTr="001E6FB8">
              <w:trPr>
                <w:trHeight w:val="284"/>
              </w:trPr>
              <w:tc>
                <w:tcPr>
                  <w:tcW w:w="2748" w:type="dxa"/>
                  <w:tcBorders>
                    <w:top w:val="single" w:sz="4" w:space="0" w:color="C8C8C8"/>
                    <w:bottom w:val="single" w:sz="4" w:space="0" w:color="C8C8C8"/>
                  </w:tcBorders>
                  <w:shd w:val="clear" w:color="auto" w:fill="00709E"/>
                  <w:tcMar>
                    <w:top w:w="34" w:type="dxa"/>
                    <w:left w:w="113" w:type="dxa"/>
                  </w:tcMar>
                </w:tcPr>
                <w:p w:rsidR="001E6FB8" w:rsidRPr="00E141F1" w:rsidRDefault="001E6FB8" w:rsidP="001E6FB8">
                  <w:pPr>
                    <w:keepNext/>
                    <w:keepLines/>
                    <w:rPr>
                      <w:rFonts w:cs="Arial"/>
                      <w:b/>
                      <w:color w:val="FFFFFF" w:themeColor="background1"/>
                      <w:sz w:val="18"/>
                      <w:szCs w:val="18"/>
                    </w:rPr>
                  </w:pPr>
                  <w:r w:rsidRPr="00E141F1">
                    <w:rPr>
                      <w:rFonts w:cs="Arial"/>
                      <w:b/>
                      <w:color w:val="FFFFFF" w:themeColor="background1"/>
                      <w:sz w:val="18"/>
                      <w:szCs w:val="18"/>
                    </w:rPr>
                    <w:t>Quota</w:t>
                  </w:r>
                </w:p>
              </w:tc>
              <w:tc>
                <w:tcPr>
                  <w:tcW w:w="2637" w:type="dxa"/>
                  <w:gridSpan w:val="2"/>
                  <w:tcBorders>
                    <w:top w:val="single" w:sz="4" w:space="0" w:color="C8C8C8"/>
                    <w:bottom w:val="single" w:sz="4" w:space="0" w:color="C8C8C8"/>
                    <w:right w:val="single" w:sz="4" w:space="0" w:color="C8C8C8"/>
                  </w:tcBorders>
                  <w:shd w:val="clear" w:color="auto" w:fill="00709E"/>
                  <w:tcMar>
                    <w:left w:w="113" w:type="dxa"/>
                  </w:tcMar>
                </w:tcPr>
                <w:p w:rsidR="001E6FB8" w:rsidRPr="00E141F1" w:rsidRDefault="001E6FB8" w:rsidP="001E6FB8">
                  <w:pPr>
                    <w:keepNext/>
                    <w:keepLines/>
                    <w:ind w:right="173"/>
                    <w:jc w:val="center"/>
                    <w:rPr>
                      <w:rFonts w:cs="Arial"/>
                      <w:b/>
                      <w:color w:val="FFFFFF" w:themeColor="background1"/>
                      <w:sz w:val="18"/>
                      <w:szCs w:val="18"/>
                    </w:rPr>
                  </w:pPr>
                  <w:r w:rsidRPr="00E141F1">
                    <w:rPr>
                      <w:rFonts w:cs="Arial"/>
                      <w:b/>
                      <w:color w:val="FFFFFF" w:themeColor="background1"/>
                      <w:sz w:val="18"/>
                      <w:szCs w:val="18"/>
                    </w:rPr>
                    <w:t xml:space="preserve">Australian children’s </w:t>
                  </w:r>
                  <w:r w:rsidRPr="00E141F1">
                    <w:rPr>
                      <w:rFonts w:cs="Arial"/>
                      <w:b/>
                      <w:color w:val="FFFFFF" w:themeColor="background1"/>
                      <w:sz w:val="18"/>
                      <w:szCs w:val="18"/>
                    </w:rPr>
                    <w:br/>
                    <w:t>C drama</w:t>
                  </w:r>
                </w:p>
              </w:tc>
              <w:tc>
                <w:tcPr>
                  <w:tcW w:w="1409" w:type="dxa"/>
                  <w:tcBorders>
                    <w:top w:val="single" w:sz="4" w:space="0" w:color="C8C8C8"/>
                    <w:left w:val="single" w:sz="4" w:space="0" w:color="C8C8C8"/>
                    <w:bottom w:val="single" w:sz="4" w:space="0" w:color="C8C8C8"/>
                  </w:tcBorders>
                  <w:shd w:val="clear" w:color="auto" w:fill="00709E"/>
                </w:tcPr>
                <w:p w:rsidR="001E6FB8" w:rsidRPr="00E141F1" w:rsidRDefault="001E6FB8" w:rsidP="001E6FB8">
                  <w:pPr>
                    <w:keepNext/>
                    <w:keepLines/>
                    <w:ind w:right="73"/>
                    <w:jc w:val="center"/>
                    <w:rPr>
                      <w:rFonts w:cs="Arial"/>
                      <w:b/>
                      <w:color w:val="FFFFFF" w:themeColor="background1"/>
                      <w:sz w:val="18"/>
                      <w:szCs w:val="18"/>
                    </w:rPr>
                  </w:pPr>
                  <w:r w:rsidRPr="00E141F1">
                    <w:rPr>
                      <w:rFonts w:cs="Arial"/>
                      <w:b/>
                      <w:color w:val="FFFFFF" w:themeColor="background1"/>
                      <w:sz w:val="18"/>
                      <w:szCs w:val="18"/>
                    </w:rPr>
                    <w:t xml:space="preserve">Australian children’s </w:t>
                  </w:r>
                  <w:r w:rsidRPr="00E141F1">
                    <w:rPr>
                      <w:rFonts w:cs="Arial"/>
                      <w:b/>
                      <w:color w:val="FFFFFF" w:themeColor="background1"/>
                      <w:sz w:val="18"/>
                      <w:szCs w:val="18"/>
                    </w:rPr>
                    <w:br/>
                    <w:t>C programs</w:t>
                  </w:r>
                </w:p>
              </w:tc>
              <w:tc>
                <w:tcPr>
                  <w:tcW w:w="1276" w:type="dxa"/>
                  <w:tcBorders>
                    <w:top w:val="single" w:sz="4" w:space="0" w:color="C8C8C8"/>
                    <w:bottom w:val="single" w:sz="4" w:space="0" w:color="C8C8C8"/>
                  </w:tcBorders>
                  <w:shd w:val="clear" w:color="auto" w:fill="00709E"/>
                  <w:tcMar>
                    <w:left w:w="113" w:type="dxa"/>
                  </w:tcMar>
                </w:tcPr>
                <w:p w:rsidR="001E6FB8" w:rsidRPr="00E141F1" w:rsidRDefault="001E6FB8" w:rsidP="001E6FB8">
                  <w:pPr>
                    <w:keepNext/>
                    <w:keepLines/>
                    <w:ind w:right="117"/>
                    <w:jc w:val="center"/>
                    <w:rPr>
                      <w:rFonts w:cs="Arial"/>
                      <w:b/>
                      <w:color w:val="FFFFFF" w:themeColor="background1"/>
                      <w:sz w:val="18"/>
                      <w:szCs w:val="18"/>
                    </w:rPr>
                  </w:pPr>
                  <w:r w:rsidRPr="00E141F1">
                    <w:rPr>
                      <w:rFonts w:cs="Arial"/>
                      <w:b/>
                      <w:color w:val="FFFFFF" w:themeColor="background1"/>
                      <w:sz w:val="18"/>
                      <w:szCs w:val="18"/>
                    </w:rPr>
                    <w:t xml:space="preserve">Children’s </w:t>
                  </w:r>
                  <w:r w:rsidRPr="00E141F1">
                    <w:rPr>
                      <w:rFonts w:cs="Arial"/>
                      <w:b/>
                      <w:color w:val="FFFFFF" w:themeColor="background1"/>
                      <w:sz w:val="18"/>
                      <w:szCs w:val="18"/>
                    </w:rPr>
                    <w:br/>
                    <w:t>C programs</w:t>
                  </w:r>
                </w:p>
              </w:tc>
              <w:tc>
                <w:tcPr>
                  <w:tcW w:w="1559" w:type="dxa"/>
                  <w:tcBorders>
                    <w:top w:val="single" w:sz="4" w:space="0" w:color="C8C8C8"/>
                    <w:bottom w:val="single" w:sz="4" w:space="0" w:color="C8C8C8"/>
                  </w:tcBorders>
                  <w:shd w:val="clear" w:color="auto" w:fill="00709E"/>
                </w:tcPr>
                <w:p w:rsidR="001E6FB8" w:rsidRPr="00E141F1" w:rsidRDefault="001E6FB8" w:rsidP="001E6FB8">
                  <w:pPr>
                    <w:keepNext/>
                    <w:keepLines/>
                    <w:ind w:right="18"/>
                    <w:jc w:val="center"/>
                    <w:rPr>
                      <w:rFonts w:cs="Arial"/>
                      <w:b/>
                      <w:color w:val="FFFFFF" w:themeColor="background1"/>
                      <w:sz w:val="18"/>
                      <w:szCs w:val="18"/>
                    </w:rPr>
                  </w:pPr>
                  <w:r w:rsidRPr="00E141F1">
                    <w:rPr>
                      <w:rFonts w:cs="Arial"/>
                      <w:b/>
                      <w:color w:val="FFFFFF" w:themeColor="background1"/>
                      <w:sz w:val="18"/>
                      <w:szCs w:val="18"/>
                    </w:rPr>
                    <w:t xml:space="preserve">Australian preschool </w:t>
                  </w:r>
                  <w:r w:rsidRPr="00E141F1">
                    <w:rPr>
                      <w:rFonts w:cs="Arial"/>
                      <w:b/>
                      <w:color w:val="FFFFFF" w:themeColor="background1"/>
                      <w:sz w:val="18"/>
                      <w:szCs w:val="18"/>
                    </w:rPr>
                    <w:br/>
                    <w:t>P programs</w:t>
                  </w:r>
                </w:p>
              </w:tc>
            </w:tr>
            <w:tr w:rsidR="001E6FB8" w:rsidRPr="00E141F1" w:rsidTr="001E6FB8">
              <w:trPr>
                <w:trHeight w:val="284"/>
              </w:trPr>
              <w:tc>
                <w:tcPr>
                  <w:tcW w:w="2748" w:type="dxa"/>
                  <w:tcBorders>
                    <w:top w:val="single" w:sz="4" w:space="0" w:color="C8C8C8"/>
                  </w:tcBorders>
                  <w:shd w:val="clear" w:color="auto" w:fill="00709E"/>
                  <w:tcMar>
                    <w:left w:w="113" w:type="dxa"/>
                  </w:tcMar>
                </w:tcPr>
                <w:p w:rsidR="001E6FB8" w:rsidRPr="00E141F1" w:rsidRDefault="001E6FB8" w:rsidP="001E6FB8">
                  <w:pPr>
                    <w:keepNext/>
                    <w:keepLines/>
                    <w:rPr>
                      <w:rFonts w:cs="Arial"/>
                      <w:b/>
                      <w:color w:val="FFFFFF" w:themeColor="background1"/>
                      <w:sz w:val="18"/>
                      <w:szCs w:val="18"/>
                    </w:rPr>
                  </w:pPr>
                  <w:r w:rsidRPr="00E141F1">
                    <w:rPr>
                      <w:rFonts w:cs="Arial"/>
                      <w:b/>
                      <w:color w:val="FFFFFF" w:themeColor="background1"/>
                      <w:sz w:val="18"/>
                      <w:szCs w:val="18"/>
                    </w:rPr>
                    <w:t>Run</w:t>
                  </w:r>
                </w:p>
              </w:tc>
              <w:tc>
                <w:tcPr>
                  <w:tcW w:w="1318" w:type="dxa"/>
                  <w:tcBorders>
                    <w:top w:val="single" w:sz="4" w:space="0" w:color="C8C8C8"/>
                  </w:tcBorders>
                  <w:shd w:val="clear" w:color="auto" w:fill="00709E"/>
                  <w:tcMar>
                    <w:left w:w="113" w:type="dxa"/>
                  </w:tcMar>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First release</w:t>
                  </w:r>
                </w:p>
              </w:tc>
              <w:tc>
                <w:tcPr>
                  <w:tcW w:w="1319" w:type="dxa"/>
                  <w:tcBorders>
                    <w:top w:val="single" w:sz="4" w:space="0" w:color="C8C8C8"/>
                    <w:right w:val="single" w:sz="4" w:space="0" w:color="C8C8C8"/>
                  </w:tcBorders>
                  <w:shd w:val="clear" w:color="auto" w:fill="00709E"/>
                  <w:tcMar>
                    <w:left w:w="113" w:type="dxa"/>
                    <w:right w:w="113" w:type="dxa"/>
                  </w:tcMar>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Repeat</w:t>
                  </w:r>
                </w:p>
              </w:tc>
              <w:tc>
                <w:tcPr>
                  <w:tcW w:w="1409" w:type="dxa"/>
                  <w:tcBorders>
                    <w:top w:val="single" w:sz="4" w:space="0" w:color="C8C8C8"/>
                    <w:left w:val="single" w:sz="4" w:space="0" w:color="C8C8C8"/>
                  </w:tcBorders>
                  <w:shd w:val="clear" w:color="auto" w:fill="00709E"/>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First release</w:t>
                  </w:r>
                </w:p>
              </w:tc>
              <w:tc>
                <w:tcPr>
                  <w:tcW w:w="1276" w:type="dxa"/>
                  <w:tcBorders>
                    <w:top w:val="single" w:sz="4" w:space="0" w:color="C8C8C8"/>
                  </w:tcBorders>
                  <w:shd w:val="clear" w:color="auto" w:fill="00709E"/>
                  <w:tcMar>
                    <w:left w:w="113" w:type="dxa"/>
                  </w:tcMar>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All</w:t>
                  </w:r>
                </w:p>
              </w:tc>
              <w:tc>
                <w:tcPr>
                  <w:tcW w:w="1559" w:type="dxa"/>
                  <w:tcBorders>
                    <w:top w:val="single" w:sz="4" w:space="0" w:color="C8C8C8"/>
                  </w:tcBorders>
                  <w:shd w:val="clear" w:color="auto" w:fill="00709E"/>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All</w:t>
                  </w:r>
                </w:p>
              </w:tc>
            </w:tr>
            <w:tr w:rsidR="001E6FB8" w:rsidRPr="00E141F1" w:rsidTr="001E6FB8">
              <w:trPr>
                <w:trHeight w:val="284"/>
              </w:trPr>
              <w:tc>
                <w:tcPr>
                  <w:tcW w:w="2748" w:type="dxa"/>
                  <w:tcBorders>
                    <w:top w:val="single" w:sz="4" w:space="0" w:color="C8C8C8"/>
                  </w:tcBorders>
                  <w:shd w:val="clear" w:color="auto" w:fill="00709E"/>
                  <w:tcMar>
                    <w:left w:w="113" w:type="dxa"/>
                  </w:tcMar>
                </w:tcPr>
                <w:p w:rsidR="001E6FB8" w:rsidRPr="00E141F1" w:rsidRDefault="001E6FB8" w:rsidP="001E6FB8">
                  <w:pPr>
                    <w:keepNext/>
                    <w:keepLines/>
                    <w:rPr>
                      <w:rFonts w:cs="Arial"/>
                      <w:b/>
                      <w:color w:val="FFFFFF" w:themeColor="background1"/>
                      <w:sz w:val="18"/>
                      <w:szCs w:val="18"/>
                    </w:rPr>
                  </w:pPr>
                  <w:r w:rsidRPr="00E141F1">
                    <w:rPr>
                      <w:rFonts w:cs="Arial"/>
                      <w:b/>
                      <w:color w:val="FFFFFF" w:themeColor="background1"/>
                      <w:sz w:val="18"/>
                      <w:szCs w:val="18"/>
                    </w:rPr>
                    <w:t>Measure</w:t>
                  </w:r>
                </w:p>
              </w:tc>
              <w:tc>
                <w:tcPr>
                  <w:tcW w:w="1318" w:type="dxa"/>
                  <w:tcBorders>
                    <w:top w:val="single" w:sz="4" w:space="0" w:color="C8C8C8"/>
                  </w:tcBorders>
                  <w:shd w:val="clear" w:color="auto" w:fill="00709E"/>
                  <w:tcMar>
                    <w:left w:w="113" w:type="dxa"/>
                  </w:tcMar>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Total annual hours</w:t>
                  </w:r>
                </w:p>
              </w:tc>
              <w:tc>
                <w:tcPr>
                  <w:tcW w:w="1319" w:type="dxa"/>
                  <w:tcBorders>
                    <w:top w:val="single" w:sz="4" w:space="0" w:color="C8C8C8"/>
                    <w:right w:val="single" w:sz="4" w:space="0" w:color="C8C8C8"/>
                  </w:tcBorders>
                  <w:shd w:val="clear" w:color="auto" w:fill="00709E"/>
                  <w:tcMar>
                    <w:left w:w="113" w:type="dxa"/>
                    <w:right w:w="113" w:type="dxa"/>
                  </w:tcMar>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Total annual hours</w:t>
                  </w:r>
                </w:p>
              </w:tc>
              <w:tc>
                <w:tcPr>
                  <w:tcW w:w="1409" w:type="dxa"/>
                  <w:tcBorders>
                    <w:top w:val="single" w:sz="4" w:space="0" w:color="C8C8C8"/>
                    <w:left w:val="single" w:sz="4" w:space="0" w:color="C8C8C8"/>
                  </w:tcBorders>
                  <w:shd w:val="clear" w:color="auto" w:fill="00709E"/>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 xml:space="preserve">Total annual hours—includes </w:t>
                  </w:r>
                  <w:r w:rsidRPr="00E141F1">
                    <w:rPr>
                      <w:rFonts w:cs="Arial"/>
                      <w:b/>
                      <w:color w:val="FFFFFF" w:themeColor="background1"/>
                      <w:sz w:val="18"/>
                      <w:szCs w:val="18"/>
                    </w:rPr>
                    <w:br/>
                    <w:t>C drama</w:t>
                  </w:r>
                </w:p>
              </w:tc>
              <w:tc>
                <w:tcPr>
                  <w:tcW w:w="1276" w:type="dxa"/>
                  <w:tcBorders>
                    <w:top w:val="single" w:sz="4" w:space="0" w:color="C8C8C8"/>
                  </w:tcBorders>
                  <w:shd w:val="clear" w:color="auto" w:fill="00709E"/>
                  <w:tcMar>
                    <w:left w:w="113" w:type="dxa"/>
                  </w:tcMar>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 xml:space="preserve">Total annual hours—all </w:t>
                  </w:r>
                  <w:r w:rsidRPr="00E141F1">
                    <w:rPr>
                      <w:rFonts w:cs="Arial"/>
                      <w:b/>
                      <w:color w:val="FFFFFF" w:themeColor="background1"/>
                      <w:sz w:val="18"/>
                      <w:szCs w:val="18"/>
                    </w:rPr>
                    <w:br/>
                    <w:t>C programs</w:t>
                  </w:r>
                </w:p>
              </w:tc>
              <w:tc>
                <w:tcPr>
                  <w:tcW w:w="1559" w:type="dxa"/>
                  <w:tcBorders>
                    <w:top w:val="single" w:sz="4" w:space="0" w:color="C8C8C8"/>
                  </w:tcBorders>
                  <w:shd w:val="clear" w:color="auto" w:fill="00709E"/>
                </w:tcPr>
                <w:p w:rsidR="001E6FB8" w:rsidRPr="00E141F1" w:rsidRDefault="001E6FB8" w:rsidP="001E6FB8">
                  <w:pPr>
                    <w:keepNext/>
                    <w:keepLines/>
                    <w:jc w:val="center"/>
                    <w:rPr>
                      <w:rFonts w:cs="Arial"/>
                      <w:b/>
                      <w:color w:val="FFFFFF" w:themeColor="background1"/>
                      <w:sz w:val="18"/>
                      <w:szCs w:val="18"/>
                    </w:rPr>
                  </w:pPr>
                  <w:r w:rsidRPr="00E141F1">
                    <w:rPr>
                      <w:rFonts w:cs="Arial"/>
                      <w:b/>
                      <w:color w:val="FFFFFF" w:themeColor="background1"/>
                      <w:sz w:val="18"/>
                      <w:szCs w:val="18"/>
                    </w:rPr>
                    <w:t>Total annual hours</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Minimum annual requirement</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8</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130</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260</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w:t>
                  </w:r>
                </w:p>
              </w:tc>
            </w:tr>
            <w:tr w:rsidR="001E6FB8" w:rsidRPr="00E141F1" w:rsidTr="001E6FB8">
              <w:trPr>
                <w:trHeight w:val="284"/>
              </w:trPr>
              <w:tc>
                <w:tcPr>
                  <w:tcW w:w="2748" w:type="dxa"/>
                  <w:shd w:val="clear" w:color="auto" w:fill="auto"/>
                  <w:tcMar>
                    <w:left w:w="113" w:type="dxa"/>
                  </w:tcMar>
                </w:tcPr>
                <w:p w:rsidR="001E6FB8" w:rsidRPr="003E4870" w:rsidRDefault="001E6FB8" w:rsidP="001E6FB8">
                  <w:pPr>
                    <w:keepNext/>
                    <w:keepLines/>
                    <w:rPr>
                      <w:rFonts w:cs="Arial"/>
                      <w:color w:val="00709E"/>
                      <w:sz w:val="18"/>
                      <w:szCs w:val="18"/>
                    </w:rPr>
                  </w:pPr>
                  <w:r w:rsidRPr="003E4870">
                    <w:rPr>
                      <w:rFonts w:cs="Arial"/>
                      <w:b/>
                      <w:color w:val="00709E"/>
                      <w:sz w:val="18"/>
                      <w:szCs w:val="18"/>
                    </w:rPr>
                    <w:t>Seven licensees</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p>
              </w:tc>
              <w:tc>
                <w:tcPr>
                  <w:tcW w:w="1559" w:type="dxa"/>
                </w:tcPr>
                <w:p w:rsidR="001E6FB8" w:rsidRPr="00E141F1" w:rsidRDefault="001E6FB8" w:rsidP="001E6FB8">
                  <w:pPr>
                    <w:keepNext/>
                    <w:keepLines/>
                    <w:jc w:val="center"/>
                    <w:rPr>
                      <w:rFonts w:cs="Arial"/>
                      <w:sz w:val="18"/>
                      <w:szCs w:val="18"/>
                    </w:rPr>
                  </w:pP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SAS Adelaide</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32.5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102</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130</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260</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BTQ Brisbane</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32.5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102</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130</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260</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HSV Melbourne</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32.5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102</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130</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260</w:t>
                  </w:r>
                </w:p>
              </w:tc>
              <w:tc>
                <w:tcPr>
                  <w:tcW w:w="1559" w:type="dxa"/>
                </w:tcPr>
                <w:p w:rsidR="001E6FB8" w:rsidRPr="00E141F1" w:rsidRDefault="001E6FB8" w:rsidP="001E6FB8">
                  <w:pPr>
                    <w:keepNext/>
                    <w:keepLines/>
                    <w:jc w:val="center"/>
                    <w:rPr>
                      <w:rFonts w:cs="Arial"/>
                      <w:b/>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TVW Perth</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32.5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102</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130</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260</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ATN Sydney</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32.5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102</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130</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260</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3E4870" w:rsidRDefault="001E6FB8" w:rsidP="001E6FB8">
                  <w:pPr>
                    <w:keepNext/>
                    <w:keepLines/>
                    <w:rPr>
                      <w:rFonts w:cs="Arial"/>
                      <w:b/>
                      <w:color w:val="00709E"/>
                      <w:sz w:val="18"/>
                      <w:szCs w:val="18"/>
                    </w:rPr>
                  </w:pPr>
                  <w:r w:rsidRPr="003E4870">
                    <w:rPr>
                      <w:rFonts w:cs="Arial"/>
                      <w:b/>
                      <w:color w:val="00709E"/>
                      <w:sz w:val="18"/>
                      <w:szCs w:val="18"/>
                    </w:rPr>
                    <w:t>Nine licensees</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b/>
                      <w:sz w:val="18"/>
                      <w:szCs w:val="18"/>
                    </w:rPr>
                  </w:pP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b/>
                      <w:sz w:val="18"/>
                      <w:szCs w:val="18"/>
                    </w:rPr>
                  </w:pPr>
                </w:p>
              </w:tc>
              <w:tc>
                <w:tcPr>
                  <w:tcW w:w="1409" w:type="dxa"/>
                  <w:tcBorders>
                    <w:left w:val="single" w:sz="4" w:space="0" w:color="C8C8C8"/>
                  </w:tcBorders>
                  <w:shd w:val="clear" w:color="auto" w:fill="auto"/>
                </w:tcPr>
                <w:p w:rsidR="001E6FB8" w:rsidRPr="00E141F1" w:rsidRDefault="001E6FB8" w:rsidP="001E6FB8">
                  <w:pPr>
                    <w:keepNext/>
                    <w:keepLines/>
                    <w:jc w:val="center"/>
                    <w:rPr>
                      <w:rFonts w:cs="Arial"/>
                      <w:b/>
                      <w:sz w:val="18"/>
                      <w:szCs w:val="18"/>
                    </w:rPr>
                  </w:pPr>
                </w:p>
              </w:tc>
              <w:tc>
                <w:tcPr>
                  <w:tcW w:w="1276" w:type="dxa"/>
                  <w:shd w:val="clear" w:color="auto" w:fill="auto"/>
                  <w:tcMar>
                    <w:left w:w="113" w:type="dxa"/>
                  </w:tcMar>
                </w:tcPr>
                <w:p w:rsidR="001E6FB8" w:rsidRPr="00E141F1" w:rsidRDefault="001E6FB8" w:rsidP="001E6FB8">
                  <w:pPr>
                    <w:keepNext/>
                    <w:keepLines/>
                    <w:jc w:val="center"/>
                    <w:rPr>
                      <w:rFonts w:cs="Arial"/>
                      <w:b/>
                      <w:sz w:val="18"/>
                      <w:szCs w:val="18"/>
                    </w:rPr>
                  </w:pPr>
                </w:p>
              </w:tc>
              <w:tc>
                <w:tcPr>
                  <w:tcW w:w="1559" w:type="dxa"/>
                  <w:shd w:val="clear" w:color="auto" w:fill="auto"/>
                </w:tcPr>
                <w:p w:rsidR="001E6FB8" w:rsidRPr="00E141F1" w:rsidRDefault="001E6FB8" w:rsidP="001E6FB8">
                  <w:pPr>
                    <w:keepNext/>
                    <w:keepLines/>
                    <w:jc w:val="center"/>
                    <w:rPr>
                      <w:rFonts w:cs="Arial"/>
                      <w:b/>
                      <w:sz w:val="18"/>
                      <w:szCs w:val="18"/>
                    </w:rPr>
                  </w:pP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QTQ Brisbane</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32</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88.5</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130.5</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262.5</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GTV Melbourne</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32</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88.5</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130.5</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262.5</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TCN Sydney</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32</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88.5</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130.5</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262.5</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3E4870" w:rsidRDefault="001E6FB8" w:rsidP="001E6FB8">
                  <w:pPr>
                    <w:keepNext/>
                    <w:keepLines/>
                    <w:rPr>
                      <w:rFonts w:cs="Arial"/>
                      <w:b/>
                      <w:color w:val="00709E"/>
                      <w:sz w:val="18"/>
                      <w:szCs w:val="18"/>
                    </w:rPr>
                  </w:pPr>
                  <w:r w:rsidRPr="003E4870">
                    <w:rPr>
                      <w:rFonts w:cs="Arial"/>
                      <w:b/>
                      <w:color w:val="00709E"/>
                      <w:sz w:val="18"/>
                      <w:szCs w:val="18"/>
                    </w:rPr>
                    <w:t>Ten licensees</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b/>
                      <w:sz w:val="18"/>
                      <w:szCs w:val="18"/>
                    </w:rPr>
                  </w:pPr>
                </w:p>
              </w:tc>
              <w:tc>
                <w:tcPr>
                  <w:tcW w:w="1409" w:type="dxa"/>
                  <w:tcBorders>
                    <w:left w:val="single" w:sz="4" w:space="0" w:color="C8C8C8"/>
                  </w:tcBorders>
                  <w:shd w:val="clear" w:color="auto" w:fill="auto"/>
                </w:tcPr>
                <w:p w:rsidR="001E6FB8" w:rsidRPr="00E141F1" w:rsidRDefault="001E6FB8" w:rsidP="001E6FB8">
                  <w:pPr>
                    <w:keepNext/>
                    <w:keepLines/>
                    <w:jc w:val="center"/>
                    <w:rPr>
                      <w:rFonts w:cs="Arial"/>
                      <w:b/>
                      <w:sz w:val="18"/>
                      <w:szCs w:val="18"/>
                    </w:rPr>
                  </w:pPr>
                </w:p>
              </w:tc>
              <w:tc>
                <w:tcPr>
                  <w:tcW w:w="1276" w:type="dxa"/>
                  <w:shd w:val="clear" w:color="auto" w:fill="auto"/>
                  <w:tcMar>
                    <w:left w:w="113" w:type="dxa"/>
                  </w:tcMar>
                </w:tcPr>
                <w:p w:rsidR="001E6FB8" w:rsidRPr="00E141F1" w:rsidRDefault="001E6FB8" w:rsidP="001E6FB8">
                  <w:pPr>
                    <w:keepNext/>
                    <w:keepLines/>
                    <w:jc w:val="center"/>
                    <w:rPr>
                      <w:rFonts w:cs="Arial"/>
                      <w:b/>
                      <w:sz w:val="18"/>
                      <w:szCs w:val="18"/>
                    </w:rPr>
                  </w:pPr>
                </w:p>
              </w:tc>
              <w:tc>
                <w:tcPr>
                  <w:tcW w:w="1559" w:type="dxa"/>
                  <w:shd w:val="clear" w:color="auto" w:fill="auto"/>
                </w:tcPr>
                <w:p w:rsidR="001E6FB8" w:rsidRPr="00E141F1" w:rsidRDefault="001E6FB8" w:rsidP="001E6FB8">
                  <w:pPr>
                    <w:keepNext/>
                    <w:keepLines/>
                    <w:jc w:val="center"/>
                    <w:rPr>
                      <w:rFonts w:cs="Arial"/>
                      <w:b/>
                      <w:sz w:val="18"/>
                      <w:szCs w:val="18"/>
                    </w:rPr>
                  </w:pP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ADS Adelaide</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68</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131.5</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264.5</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TVQ Brisbane</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68</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131.5</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264.5</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ATV Melbourne</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68</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131</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264.5</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NEW Perth</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68</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131</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264.5</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r w:rsidR="001E6FB8" w:rsidRPr="00E141F1" w:rsidTr="001E6FB8">
              <w:trPr>
                <w:trHeight w:val="284"/>
              </w:trPr>
              <w:tc>
                <w:tcPr>
                  <w:tcW w:w="2748" w:type="dxa"/>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TEN Sydney</w:t>
                  </w:r>
                </w:p>
              </w:tc>
              <w:tc>
                <w:tcPr>
                  <w:tcW w:w="1318" w:type="dxa"/>
                  <w:tcBorders>
                    <w:top w:val="single" w:sz="4" w:space="0" w:color="C8C8C8"/>
                  </w:tcBorders>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25</w:t>
                  </w:r>
                </w:p>
              </w:tc>
              <w:tc>
                <w:tcPr>
                  <w:tcW w:w="1319" w:type="dxa"/>
                  <w:tcBorders>
                    <w:top w:val="single" w:sz="4" w:space="0" w:color="C8C8C8"/>
                    <w:right w:val="single" w:sz="4" w:space="0" w:color="C8C8C8"/>
                  </w:tcBorders>
                  <w:shd w:val="clear" w:color="auto" w:fill="auto"/>
                  <w:tcMar>
                    <w:left w:w="113" w:type="dxa"/>
                    <w:right w:w="113" w:type="dxa"/>
                  </w:tcMar>
                </w:tcPr>
                <w:p w:rsidR="001E6FB8" w:rsidRPr="00E141F1" w:rsidRDefault="001E6FB8" w:rsidP="001E6FB8">
                  <w:pPr>
                    <w:keepNext/>
                    <w:keepLines/>
                    <w:jc w:val="center"/>
                    <w:rPr>
                      <w:rFonts w:cs="Arial"/>
                      <w:sz w:val="18"/>
                      <w:szCs w:val="18"/>
                    </w:rPr>
                  </w:pPr>
                  <w:r w:rsidRPr="00E141F1">
                    <w:rPr>
                      <w:rFonts w:cs="Arial"/>
                      <w:sz w:val="18"/>
                      <w:szCs w:val="18"/>
                    </w:rPr>
                    <w:t>68</w:t>
                  </w:r>
                </w:p>
              </w:tc>
              <w:tc>
                <w:tcPr>
                  <w:tcW w:w="1409" w:type="dxa"/>
                  <w:tcBorders>
                    <w:left w:val="single" w:sz="4" w:space="0" w:color="C8C8C8"/>
                  </w:tcBorders>
                </w:tcPr>
                <w:p w:rsidR="001E6FB8" w:rsidRPr="00E141F1" w:rsidRDefault="001E6FB8" w:rsidP="001E6FB8">
                  <w:pPr>
                    <w:keepNext/>
                    <w:keepLines/>
                    <w:jc w:val="center"/>
                    <w:rPr>
                      <w:rFonts w:cs="Arial"/>
                      <w:sz w:val="18"/>
                      <w:szCs w:val="18"/>
                    </w:rPr>
                  </w:pPr>
                  <w:r w:rsidRPr="00E141F1">
                    <w:rPr>
                      <w:rFonts w:cs="Arial"/>
                      <w:sz w:val="18"/>
                      <w:szCs w:val="18"/>
                    </w:rPr>
                    <w:t>131</w:t>
                  </w:r>
                </w:p>
              </w:tc>
              <w:tc>
                <w:tcPr>
                  <w:tcW w:w="1276" w:type="dxa"/>
                  <w:shd w:val="clear" w:color="auto" w:fill="auto"/>
                  <w:tcMar>
                    <w:left w:w="113" w:type="dxa"/>
                  </w:tcMar>
                </w:tcPr>
                <w:p w:rsidR="001E6FB8" w:rsidRPr="00E141F1" w:rsidRDefault="001E6FB8" w:rsidP="001E6FB8">
                  <w:pPr>
                    <w:keepNext/>
                    <w:keepLines/>
                    <w:jc w:val="center"/>
                    <w:rPr>
                      <w:rFonts w:cs="Arial"/>
                      <w:sz w:val="18"/>
                      <w:szCs w:val="18"/>
                    </w:rPr>
                  </w:pPr>
                  <w:r w:rsidRPr="00E141F1">
                    <w:rPr>
                      <w:rFonts w:cs="Arial"/>
                      <w:sz w:val="18"/>
                      <w:szCs w:val="18"/>
                    </w:rPr>
                    <w:t>264.5</w:t>
                  </w:r>
                </w:p>
              </w:tc>
              <w:tc>
                <w:tcPr>
                  <w:tcW w:w="1559" w:type="dxa"/>
                </w:tcPr>
                <w:p w:rsidR="001E6FB8" w:rsidRPr="00E141F1" w:rsidRDefault="001E6FB8" w:rsidP="001E6FB8">
                  <w:pPr>
                    <w:keepNext/>
                    <w:keepLines/>
                    <w:jc w:val="center"/>
                    <w:rPr>
                      <w:rFonts w:cs="Arial"/>
                      <w:sz w:val="18"/>
                      <w:szCs w:val="18"/>
                    </w:rPr>
                  </w:pPr>
                  <w:r w:rsidRPr="00E141F1">
                    <w:rPr>
                      <w:rFonts w:cs="Arial"/>
                      <w:sz w:val="18"/>
                      <w:szCs w:val="18"/>
                    </w:rPr>
                    <w:t>130.5</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after="60"/>
              <w:rPr>
                <w:rFonts w:cs="Arial"/>
              </w:rPr>
            </w:pPr>
            <w:r w:rsidRPr="00E141F1">
              <w:rPr>
                <w:rFonts w:cs="Arial"/>
                <w:i/>
                <w:sz w:val="16"/>
                <w:szCs w:val="16"/>
              </w:rPr>
              <w:t>Source: The ACMA.</w:t>
            </w:r>
          </w:p>
        </w:tc>
      </w:tr>
    </w:tbl>
    <w:p w:rsidR="001E6FB8" w:rsidRPr="00E141F1" w:rsidRDefault="001E6FB8" w:rsidP="001E6FB8">
      <w:pPr>
        <w:spacing w:line="240" w:lineRule="auto"/>
        <w:rPr>
          <w:rFonts w:cs="Arial"/>
        </w:rPr>
      </w:pPr>
    </w:p>
    <w:p w:rsidR="001E6FB8" w:rsidRPr="00E141F1" w:rsidRDefault="001E6FB8" w:rsidP="001E6FB8">
      <w:pPr>
        <w:pStyle w:val="Heading3"/>
      </w:pPr>
      <w:bookmarkStart w:id="517" w:name="_Toc363045491"/>
      <w:bookmarkStart w:id="518" w:name="_Toc371589096"/>
      <w:bookmarkStart w:id="519" w:name="_Toc373149158"/>
      <w:bookmarkStart w:id="520" w:name="_Toc287540278"/>
      <w:bookmarkStart w:id="521" w:name="_Toc308517285"/>
      <w:bookmarkStart w:id="522" w:name="_Toc308523725"/>
      <w:bookmarkStart w:id="523" w:name="_Toc312157241"/>
      <w:r w:rsidRPr="00E141F1">
        <w:t>Subscription television drama expenditure</w:t>
      </w:r>
      <w:bookmarkEnd w:id="517"/>
      <w:bookmarkEnd w:id="518"/>
      <w:bookmarkEnd w:id="519"/>
    </w:p>
    <w:p w:rsidR="001E6FB8" w:rsidRPr="00E141F1" w:rsidRDefault="001E6FB8" w:rsidP="001E6FB8">
      <w:pPr>
        <w:rPr>
          <w:rFonts w:cs="Arial"/>
        </w:rPr>
      </w:pPr>
      <w:r w:rsidRPr="00E141F1">
        <w:rPr>
          <w:rFonts w:cs="Arial"/>
        </w:rPr>
        <w:t>The new eligible drama expenditure scheme requires licensees and channel providers that provide subscription television drama services to spend at least 10 per cent of their annual total program expenditure on eligible drama programs during a financial year. If the 10 per cent expenditure requirement is not met in the current financial year, the shortfall amount must be made up the following year.</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To be eligible, a drama program must be an Australian or New Zealand production or co-production, and must not have been televised in Australia or New Zealand on a broadcasting service at any time before the expenditure on the program is incurred. While the scheme imposes a spending obligation on licensees and channel providers for Australian and New Zealand programs, there is no broadcasting requirement.</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BSA defines a subscription television drama service as a service devoted predominantly to drama programs; that is, more than 50 per cent of the programming consists of drama programs.</w:t>
      </w:r>
    </w:p>
    <w:p w:rsidR="001E6FB8" w:rsidRPr="00E141F1" w:rsidRDefault="001E6FB8" w:rsidP="001E6FB8">
      <w:pPr>
        <w:rPr>
          <w:rFonts w:cs="Arial"/>
        </w:rPr>
      </w:pPr>
    </w:p>
    <w:p w:rsidR="001E6FB8" w:rsidRPr="00E141F1" w:rsidRDefault="001E6FB8" w:rsidP="001E6FB8">
      <w:r w:rsidRPr="00E141F1">
        <w:t>Each year, scheme participants are required to provide annual returns by 29 August. As a result, only 2011–12 information is available. For the 2011–12 compliance period, six licensees and seven channel providers supplied 28 eligible drama channels. All participants met their expenditure obligations for this period, reporting an expenditure on new eligible Australian drama of $24 million (aggregated). Of that expenditure, $6.8</w:t>
      </w:r>
      <w:r>
        <w:t> </w:t>
      </w:r>
      <w:r w:rsidRPr="00E141F1">
        <w:t>million was nominated to acquit the expenditure shortfall for 2010–11. Similarly, for 2012–13 licensees and channel providers must spend a minimum of $6.4 million on new eligible programs to acquit the remaining 2011–12 obligation.</w:t>
      </w:r>
    </w:p>
    <w:p w:rsidR="001E6FB8" w:rsidRPr="00E141F1" w:rsidRDefault="001E6FB8" w:rsidP="001E6FB8"/>
    <w:p w:rsidR="001E6FB8" w:rsidRPr="00E141F1" w:rsidRDefault="001E6FB8" w:rsidP="001E6FB8">
      <w:pPr>
        <w:pStyle w:val="Heading3"/>
      </w:pPr>
      <w:bookmarkStart w:id="524" w:name="_Toc371589097"/>
      <w:bookmarkStart w:id="525" w:name="_Toc373149159"/>
      <w:r w:rsidRPr="00E141F1">
        <w:t>Australian advertising</w:t>
      </w:r>
      <w:bookmarkEnd w:id="520"/>
      <w:bookmarkEnd w:id="521"/>
      <w:bookmarkEnd w:id="522"/>
      <w:bookmarkEnd w:id="523"/>
      <w:bookmarkEnd w:id="524"/>
      <w:bookmarkEnd w:id="525"/>
    </w:p>
    <w:p w:rsidR="001E6FB8" w:rsidRPr="00E141F1" w:rsidRDefault="001E6FB8" w:rsidP="001E6FB8">
      <w:pPr>
        <w:tabs>
          <w:tab w:val="left" w:pos="4395"/>
        </w:tabs>
        <w:rPr>
          <w:rFonts w:cs="Arial"/>
        </w:rPr>
      </w:pPr>
      <w:r w:rsidRPr="00E141F1">
        <w:rPr>
          <w:rFonts w:cs="Arial"/>
        </w:rPr>
        <w:t xml:space="preserve">Advertisements are classified as Australian or foreign by Commercials Advice Pty Ltd, also known as CAD, which is wholly owned by Free TV Australia. CAD classification data, together with reports from the commercial television licensees, are used to monitor trends in Australian and foreign content in advertising. The ACMA publishes annual reports on compliance with the standard on its website. </w:t>
      </w:r>
    </w:p>
    <w:p w:rsidR="001E6FB8" w:rsidRPr="00E141F1"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Table 4.3 Top three product categories for Australian and foreign advertisements</w:t>
            </w:r>
          </w:p>
        </w:tc>
      </w:tr>
      <w:tr w:rsidR="001E6FB8" w:rsidRPr="00E141F1" w:rsidTr="001E6FB8">
        <w:trPr>
          <w:trHeight w:val="1583"/>
        </w:trPr>
        <w:tc>
          <w:tcPr>
            <w:tcW w:w="9645" w:type="dxa"/>
            <w:shd w:val="clear" w:color="auto" w:fill="auto"/>
            <w:tcMar>
              <w:left w:w="28" w:type="dxa"/>
            </w:tcMar>
          </w:tcPr>
          <w:tbl>
            <w:tblPr>
              <w:tblW w:w="9647" w:type="dxa"/>
              <w:tblBorders>
                <w:top w:val="single" w:sz="12" w:space="0" w:color="009F4D"/>
                <w:bottom w:val="single" w:sz="4" w:space="0" w:color="C8C8C8"/>
                <w:insideH w:val="single" w:sz="4" w:space="0" w:color="C8C8C8"/>
                <w:insideV w:val="single" w:sz="4" w:space="0" w:color="C8C8C8"/>
              </w:tblBorders>
              <w:tblLayout w:type="fixed"/>
              <w:tblCellMar>
                <w:left w:w="85" w:type="dxa"/>
                <w:right w:w="0" w:type="dxa"/>
              </w:tblCellMar>
              <w:tblLook w:val="01E0"/>
            </w:tblPr>
            <w:tblGrid>
              <w:gridCol w:w="2411"/>
              <w:gridCol w:w="2412"/>
              <w:gridCol w:w="2411"/>
              <w:gridCol w:w="2413"/>
            </w:tblGrid>
            <w:tr w:rsidR="001E6FB8" w:rsidRPr="00E141F1" w:rsidTr="001E6FB8">
              <w:trPr>
                <w:trHeight w:val="290"/>
              </w:trPr>
              <w:tc>
                <w:tcPr>
                  <w:tcW w:w="4823" w:type="dxa"/>
                  <w:gridSpan w:val="2"/>
                  <w:tcBorders>
                    <w:top w:val="single" w:sz="4" w:space="0" w:color="C8C8C8"/>
                    <w:bottom w:val="nil"/>
                  </w:tcBorders>
                  <w:shd w:val="clear" w:color="auto" w:fill="00709E"/>
                  <w:tcMar>
                    <w:top w:w="34" w:type="dxa"/>
                    <w:left w:w="113" w:type="dxa"/>
                  </w:tcMar>
                </w:tcPr>
                <w:p w:rsidR="001E6FB8" w:rsidRPr="00E141F1" w:rsidRDefault="001E6FB8" w:rsidP="001E6FB8">
                  <w:pPr>
                    <w:pStyle w:val="TableHeading"/>
                    <w:jc w:val="center"/>
                    <w:rPr>
                      <w:rFonts w:cs="Arial"/>
                      <w:color w:val="FFFFFF" w:themeColor="background1"/>
                      <w:sz w:val="18"/>
                      <w:szCs w:val="18"/>
                    </w:rPr>
                  </w:pPr>
                  <w:r w:rsidRPr="00E141F1">
                    <w:rPr>
                      <w:rFonts w:cs="Arial"/>
                      <w:color w:val="FFFFFF" w:themeColor="background1"/>
                      <w:sz w:val="18"/>
                      <w:szCs w:val="18"/>
                    </w:rPr>
                    <w:t>Australia</w:t>
                  </w:r>
                </w:p>
              </w:tc>
              <w:tc>
                <w:tcPr>
                  <w:tcW w:w="4824" w:type="dxa"/>
                  <w:gridSpan w:val="2"/>
                  <w:tcBorders>
                    <w:top w:val="single" w:sz="4" w:space="0" w:color="C8C8C8"/>
                    <w:bottom w:val="nil"/>
                  </w:tcBorders>
                  <w:shd w:val="clear" w:color="auto" w:fill="00709E"/>
                  <w:tcMar>
                    <w:left w:w="113" w:type="dxa"/>
                  </w:tcMar>
                </w:tcPr>
                <w:p w:rsidR="001E6FB8" w:rsidRPr="00E141F1" w:rsidRDefault="001E6FB8" w:rsidP="001E6FB8">
                  <w:pPr>
                    <w:pStyle w:val="TableHeading"/>
                    <w:jc w:val="center"/>
                    <w:rPr>
                      <w:rFonts w:cs="Arial"/>
                      <w:color w:val="FFFFFF" w:themeColor="background1"/>
                      <w:sz w:val="18"/>
                      <w:szCs w:val="18"/>
                    </w:rPr>
                  </w:pPr>
                  <w:r w:rsidRPr="00E141F1">
                    <w:rPr>
                      <w:rFonts w:cs="Arial"/>
                      <w:color w:val="FFFFFF" w:themeColor="background1"/>
                      <w:sz w:val="18"/>
                      <w:szCs w:val="18"/>
                    </w:rPr>
                    <w:t>Foreign</w:t>
                  </w:r>
                </w:p>
              </w:tc>
            </w:tr>
            <w:tr w:rsidR="001E6FB8" w:rsidRPr="00E141F1" w:rsidTr="001E6FB8">
              <w:trPr>
                <w:trHeight w:val="290"/>
              </w:trPr>
              <w:tc>
                <w:tcPr>
                  <w:tcW w:w="2411" w:type="dxa"/>
                  <w:tcBorders>
                    <w:top w:val="nil"/>
                    <w:right w:val="nil"/>
                  </w:tcBorders>
                  <w:shd w:val="clear" w:color="auto" w:fill="00709E"/>
                  <w:tcMar>
                    <w:top w:w="34" w:type="dxa"/>
                    <w:left w:w="113" w:type="dxa"/>
                  </w:tcMar>
                </w:tcPr>
                <w:p w:rsidR="001E6FB8" w:rsidRPr="00E141F1" w:rsidRDefault="001E6FB8" w:rsidP="001E6FB8">
                  <w:pPr>
                    <w:pStyle w:val="TableHeading"/>
                    <w:rPr>
                      <w:rFonts w:cs="Arial"/>
                      <w:color w:val="FFFFFF" w:themeColor="background1"/>
                      <w:sz w:val="18"/>
                      <w:szCs w:val="18"/>
                    </w:rPr>
                  </w:pPr>
                  <w:r w:rsidRPr="00E141F1">
                    <w:rPr>
                      <w:rFonts w:cs="Arial"/>
                      <w:color w:val="FFFFFF" w:themeColor="background1"/>
                      <w:sz w:val="18"/>
                      <w:szCs w:val="18"/>
                    </w:rPr>
                    <w:t>2011</w:t>
                  </w:r>
                </w:p>
              </w:tc>
              <w:tc>
                <w:tcPr>
                  <w:tcW w:w="2412" w:type="dxa"/>
                  <w:tcBorders>
                    <w:top w:val="nil"/>
                    <w:left w:val="nil"/>
                  </w:tcBorders>
                  <w:shd w:val="clear" w:color="auto" w:fill="00709E"/>
                  <w:tcMar>
                    <w:left w:w="113" w:type="dxa"/>
                  </w:tcMar>
                </w:tcPr>
                <w:p w:rsidR="001E6FB8" w:rsidRPr="00E141F1" w:rsidRDefault="001E6FB8" w:rsidP="001E6FB8">
                  <w:pPr>
                    <w:pStyle w:val="TableHeading"/>
                    <w:rPr>
                      <w:rFonts w:cs="Arial"/>
                      <w:color w:val="FFFFFF" w:themeColor="background1"/>
                      <w:sz w:val="18"/>
                      <w:szCs w:val="18"/>
                    </w:rPr>
                  </w:pPr>
                  <w:r w:rsidRPr="00E141F1">
                    <w:rPr>
                      <w:rFonts w:cs="Arial"/>
                      <w:color w:val="FFFFFF" w:themeColor="background1"/>
                      <w:sz w:val="18"/>
                      <w:szCs w:val="18"/>
                    </w:rPr>
                    <w:t>2012</w:t>
                  </w:r>
                </w:p>
              </w:tc>
              <w:tc>
                <w:tcPr>
                  <w:tcW w:w="2411" w:type="dxa"/>
                  <w:tcBorders>
                    <w:top w:val="nil"/>
                    <w:right w:val="nil"/>
                  </w:tcBorders>
                  <w:shd w:val="clear" w:color="auto" w:fill="00709E"/>
                  <w:tcMar>
                    <w:left w:w="113" w:type="dxa"/>
                  </w:tcMar>
                </w:tcPr>
                <w:p w:rsidR="001E6FB8" w:rsidRPr="00E141F1" w:rsidRDefault="001E6FB8" w:rsidP="001E6FB8">
                  <w:pPr>
                    <w:pStyle w:val="TableHeading"/>
                    <w:rPr>
                      <w:rFonts w:cs="Arial"/>
                      <w:color w:val="FFFFFF" w:themeColor="background1"/>
                      <w:sz w:val="18"/>
                      <w:szCs w:val="18"/>
                    </w:rPr>
                  </w:pPr>
                  <w:r w:rsidRPr="00E141F1">
                    <w:rPr>
                      <w:rFonts w:cs="Arial"/>
                      <w:color w:val="FFFFFF" w:themeColor="background1"/>
                      <w:sz w:val="18"/>
                      <w:szCs w:val="18"/>
                    </w:rPr>
                    <w:t>2011</w:t>
                  </w:r>
                </w:p>
              </w:tc>
              <w:tc>
                <w:tcPr>
                  <w:tcW w:w="2413" w:type="dxa"/>
                  <w:tcBorders>
                    <w:top w:val="nil"/>
                    <w:left w:val="nil"/>
                  </w:tcBorders>
                  <w:shd w:val="clear" w:color="auto" w:fill="00709E"/>
                  <w:tcMar>
                    <w:left w:w="113" w:type="dxa"/>
                  </w:tcMar>
                </w:tcPr>
                <w:p w:rsidR="001E6FB8" w:rsidRPr="00E141F1" w:rsidRDefault="001E6FB8" w:rsidP="001E6FB8">
                  <w:pPr>
                    <w:pStyle w:val="TableHeading"/>
                    <w:rPr>
                      <w:rFonts w:cs="Arial"/>
                      <w:color w:val="FFFFFF" w:themeColor="background1"/>
                      <w:sz w:val="18"/>
                      <w:szCs w:val="18"/>
                    </w:rPr>
                  </w:pPr>
                  <w:r w:rsidRPr="00E141F1">
                    <w:rPr>
                      <w:rFonts w:cs="Arial"/>
                      <w:color w:val="FFFFFF" w:themeColor="background1"/>
                      <w:sz w:val="18"/>
                      <w:szCs w:val="18"/>
                    </w:rPr>
                    <w:t>2012</w:t>
                  </w:r>
                </w:p>
              </w:tc>
            </w:tr>
            <w:tr w:rsidR="001E6FB8" w:rsidRPr="00E141F1" w:rsidTr="001E6FB8">
              <w:trPr>
                <w:trHeight w:val="290"/>
              </w:trPr>
              <w:tc>
                <w:tcPr>
                  <w:tcW w:w="2411" w:type="dxa"/>
                  <w:tcBorders>
                    <w:righ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Retail</w:t>
                  </w:r>
                </w:p>
              </w:tc>
              <w:tc>
                <w:tcPr>
                  <w:tcW w:w="2412" w:type="dxa"/>
                  <w:tcBorders>
                    <w:top w:val="single" w:sz="4" w:space="0" w:color="C8C8C8"/>
                    <w:lef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Retail</w:t>
                  </w:r>
                </w:p>
              </w:tc>
              <w:tc>
                <w:tcPr>
                  <w:tcW w:w="2411" w:type="dxa"/>
                  <w:tcBorders>
                    <w:righ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Retail</w:t>
                  </w:r>
                </w:p>
              </w:tc>
              <w:tc>
                <w:tcPr>
                  <w:tcW w:w="2413" w:type="dxa"/>
                  <w:tcBorders>
                    <w:top w:val="single" w:sz="4" w:space="0" w:color="C8C8C8"/>
                    <w:lef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Retail</w:t>
                  </w:r>
                </w:p>
              </w:tc>
            </w:tr>
            <w:tr w:rsidR="001E6FB8" w:rsidRPr="00E141F1" w:rsidTr="001E6FB8">
              <w:trPr>
                <w:trHeight w:val="290"/>
              </w:trPr>
              <w:tc>
                <w:tcPr>
                  <w:tcW w:w="2411" w:type="dxa"/>
                  <w:tcBorders>
                    <w:righ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Entertainment</w:t>
                  </w:r>
                </w:p>
              </w:tc>
              <w:tc>
                <w:tcPr>
                  <w:tcW w:w="2412" w:type="dxa"/>
                  <w:tcBorders>
                    <w:top w:val="single" w:sz="4" w:space="0" w:color="C8C8C8"/>
                    <w:lef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Entertainment</w:t>
                  </w:r>
                </w:p>
              </w:tc>
              <w:tc>
                <w:tcPr>
                  <w:tcW w:w="2411" w:type="dxa"/>
                  <w:tcBorders>
                    <w:righ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Motor vehicle</w:t>
                  </w:r>
                </w:p>
              </w:tc>
              <w:tc>
                <w:tcPr>
                  <w:tcW w:w="2413" w:type="dxa"/>
                  <w:tcBorders>
                    <w:top w:val="single" w:sz="4" w:space="0" w:color="C8C8C8"/>
                    <w:lef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Motor vehicle</w:t>
                  </w:r>
                </w:p>
              </w:tc>
            </w:tr>
            <w:tr w:rsidR="001E6FB8" w:rsidRPr="00E141F1" w:rsidTr="001E6FB8">
              <w:trPr>
                <w:trHeight w:val="290"/>
              </w:trPr>
              <w:tc>
                <w:tcPr>
                  <w:tcW w:w="2411" w:type="dxa"/>
                  <w:tcBorders>
                    <w:righ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Motor vehicle</w:t>
                  </w:r>
                </w:p>
              </w:tc>
              <w:tc>
                <w:tcPr>
                  <w:tcW w:w="2412" w:type="dxa"/>
                  <w:tcBorders>
                    <w:top w:val="single" w:sz="4" w:space="0" w:color="C8C8C8"/>
                    <w:lef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Motor vehicle</w:t>
                  </w:r>
                </w:p>
              </w:tc>
              <w:tc>
                <w:tcPr>
                  <w:tcW w:w="2411" w:type="dxa"/>
                  <w:tcBorders>
                    <w:righ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Leisure and outdoor</w:t>
                  </w:r>
                </w:p>
              </w:tc>
              <w:tc>
                <w:tcPr>
                  <w:tcW w:w="2413" w:type="dxa"/>
                  <w:tcBorders>
                    <w:top w:val="single" w:sz="4" w:space="0" w:color="C8C8C8"/>
                    <w:left w:val="nil"/>
                  </w:tcBorders>
                  <w:shd w:val="clear" w:color="auto" w:fill="auto"/>
                  <w:tcMar>
                    <w:left w:w="113" w:type="dxa"/>
                  </w:tcMar>
                </w:tcPr>
                <w:p w:rsidR="001E6FB8" w:rsidRPr="00E141F1" w:rsidRDefault="001E6FB8" w:rsidP="001E6FB8">
                  <w:pPr>
                    <w:rPr>
                      <w:rFonts w:cs="Arial"/>
                      <w:sz w:val="18"/>
                      <w:szCs w:val="18"/>
                    </w:rPr>
                  </w:pPr>
                  <w:r w:rsidRPr="00E141F1">
                    <w:rPr>
                      <w:rFonts w:cs="Arial"/>
                      <w:sz w:val="18"/>
                      <w:szCs w:val="18"/>
                    </w:rPr>
                    <w:t>Leisure and outdoor</w:t>
                  </w:r>
                </w:p>
              </w:tc>
            </w:tr>
          </w:tbl>
          <w:p w:rsidR="001E6FB8" w:rsidRPr="00E141F1" w:rsidRDefault="001E6FB8" w:rsidP="001E6FB8">
            <w:pPr>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spacing w:before="60" w:after="60"/>
              <w:rPr>
                <w:rFonts w:cs="Arial"/>
                <w:i/>
              </w:rPr>
            </w:pPr>
            <w:r w:rsidRPr="00E141F1">
              <w:rPr>
                <w:rFonts w:cs="Arial"/>
                <w:i/>
                <w:sz w:val="16"/>
              </w:rPr>
              <w:t xml:space="preserve">Note: The top three Australian categories have been consistent since 2005. </w:t>
            </w:r>
          </w:p>
        </w:tc>
      </w:tr>
    </w:tbl>
    <w:p w:rsidR="001E6FB8" w:rsidRPr="00E141F1" w:rsidRDefault="001E6FB8" w:rsidP="001E6FB8">
      <w:pPr>
        <w:rPr>
          <w:rFonts w:cs="Arial"/>
        </w:rPr>
      </w:pPr>
    </w:p>
    <w:p w:rsidR="001E6FB8" w:rsidRPr="00E141F1" w:rsidRDefault="001E6FB8" w:rsidP="001E6FB8">
      <w:pPr>
        <w:rPr>
          <w:rFonts w:cs="Arial"/>
        </w:rPr>
      </w:pPr>
      <w:r w:rsidRPr="00E141F1">
        <w:rPr>
          <w:rFonts w:cs="Arial"/>
        </w:rPr>
        <w:t>The total number of advertisements classif</w:t>
      </w:r>
      <w:r>
        <w:rPr>
          <w:rFonts w:cs="Arial"/>
        </w:rPr>
        <w:t>ied as Australian decreased by two</w:t>
      </w:r>
      <w:r w:rsidRPr="00E141F1">
        <w:rPr>
          <w:rFonts w:cs="Arial"/>
        </w:rPr>
        <w:t xml:space="preserve"> per cent to 73,942 in 2012, from 75,644 in 2011. Foreign </w:t>
      </w:r>
      <w:r>
        <w:rPr>
          <w:rFonts w:cs="Arial"/>
        </w:rPr>
        <w:t>advertisements also reduced by two</w:t>
      </w:r>
      <w:r w:rsidRPr="00E141F1">
        <w:rPr>
          <w:rFonts w:cs="Arial"/>
        </w:rPr>
        <w:t xml:space="preserve"> per cent to 3,578, while exempt advertisements increased by 10 per cent to 5,615 (Figure 4.1).</w:t>
      </w:r>
    </w:p>
    <w:p w:rsidR="001E6FB8" w:rsidRPr="00E141F1" w:rsidRDefault="001E6FB8" w:rsidP="001E6FB8">
      <w:pPr>
        <w:rPr>
          <w:rFonts w:cs="Arial"/>
        </w:rPr>
      </w:pPr>
    </w:p>
    <w:tbl>
      <w:tblPr>
        <w:tblW w:w="9600" w:type="dxa"/>
        <w:tblLayout w:type="fixed"/>
        <w:tblCellMar>
          <w:left w:w="0" w:type="dxa"/>
          <w:right w:w="0" w:type="dxa"/>
        </w:tblCellMar>
        <w:tblLook w:val="01E0"/>
      </w:tblPr>
      <w:tblGrid>
        <w:gridCol w:w="9600"/>
      </w:tblGrid>
      <w:tr w:rsidR="001E6FB8" w:rsidRPr="00E141F1" w:rsidTr="001E6FB8">
        <w:trPr>
          <w:trHeight w:val="546"/>
        </w:trPr>
        <w:tc>
          <w:tcPr>
            <w:tcW w:w="9600"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Figure 4.1 Australian and foreign advertisements classified by CAD, by calendar year</w:t>
            </w:r>
          </w:p>
        </w:tc>
      </w:tr>
      <w:tr w:rsidR="001E6FB8" w:rsidRPr="00E141F1" w:rsidTr="001E6FB8">
        <w:trPr>
          <w:trHeight w:val="2957"/>
        </w:trPr>
        <w:tc>
          <w:tcPr>
            <w:tcW w:w="9600" w:type="dxa"/>
            <w:shd w:val="clear" w:color="auto" w:fill="auto"/>
            <w:tcMar>
              <w:left w:w="28" w:type="dxa"/>
            </w:tcMar>
          </w:tcPr>
          <w:p w:rsidR="001E6FB8" w:rsidRPr="00E141F1" w:rsidRDefault="001E6FB8" w:rsidP="001E6FB8">
            <w:pPr>
              <w:rPr>
                <w:rFonts w:cs="Arial"/>
              </w:rPr>
            </w:pPr>
            <w:r w:rsidRPr="00657BFA">
              <w:rPr>
                <w:rFonts w:cs="Arial"/>
                <w:noProof/>
              </w:rPr>
              <w:drawing>
                <wp:inline distT="0" distB="0" distL="0" distR="0">
                  <wp:extent cx="5915025" cy="2486025"/>
                  <wp:effectExtent l="0" t="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1E6FB8" w:rsidRPr="00E141F1" w:rsidTr="001E6FB8">
        <w:trPr>
          <w:trHeight w:val="279"/>
        </w:trPr>
        <w:tc>
          <w:tcPr>
            <w:tcW w:w="9600" w:type="dxa"/>
            <w:tcBorders>
              <w:bottom w:val="single" w:sz="2" w:space="0" w:color="505050"/>
            </w:tcBorders>
            <w:shd w:val="clear" w:color="auto" w:fill="auto"/>
          </w:tcPr>
          <w:p w:rsidR="001E6FB8" w:rsidRPr="00E141F1" w:rsidRDefault="001E6FB8" w:rsidP="001E6FB8">
            <w:pPr>
              <w:spacing w:after="60"/>
              <w:rPr>
                <w:rFonts w:cs="Arial"/>
              </w:rPr>
            </w:pPr>
            <w:r w:rsidRPr="00E141F1">
              <w:rPr>
                <w:rFonts w:cs="Arial"/>
                <w:i/>
                <w:sz w:val="16"/>
                <w:szCs w:val="16"/>
              </w:rPr>
              <w:t>Source: CAD.</w:t>
            </w:r>
          </w:p>
        </w:tc>
      </w:tr>
    </w:tbl>
    <w:p w:rsidR="001E6FB8" w:rsidRPr="00E141F1" w:rsidRDefault="001E6FB8" w:rsidP="001E6FB8">
      <w:pPr>
        <w:tabs>
          <w:tab w:val="left" w:pos="1096"/>
        </w:tabs>
        <w:spacing w:line="240" w:lineRule="auto"/>
        <w:rPr>
          <w:rFonts w:cs="Arial"/>
        </w:rPr>
      </w:pPr>
    </w:p>
    <w:p w:rsidR="001E6FB8" w:rsidRPr="00E141F1" w:rsidRDefault="001E6FB8" w:rsidP="001E6FB8">
      <w:r w:rsidRPr="00E141F1">
        <w:t>Figure 4.2 shows that all free-to-air television networks broadcast more than the required 80 per cent of Australian advertising in the 2012 calendar year, with the overall average of 89 per cent across networks.</w:t>
      </w:r>
      <w:r>
        <w:rPr>
          <w:rStyle w:val="EndnoteReference"/>
          <w:rFonts w:cs="Arial"/>
        </w:rPr>
        <w:endnoteReference w:id="39"/>
      </w:r>
    </w:p>
    <w:p w:rsidR="001E6FB8" w:rsidRPr="00E141F1" w:rsidRDefault="001E6FB8" w:rsidP="001E6FB8"/>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4.2 Percentage of Australian advertising broadcasted by calendar year</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keepNext/>
              <w:keepLines/>
              <w:rPr>
                <w:rFonts w:cs="Arial"/>
              </w:rPr>
            </w:pPr>
            <w:r w:rsidRPr="0001083B">
              <w:rPr>
                <w:rFonts w:cs="Arial"/>
                <w:noProof/>
              </w:rPr>
              <w:drawing>
                <wp:inline distT="0" distB="0" distL="0" distR="0">
                  <wp:extent cx="5963478" cy="2951922"/>
                  <wp:effectExtent l="0" t="0" r="0" b="0"/>
                  <wp:docPr id="270"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60" w:after="60"/>
              <w:rPr>
                <w:rFonts w:cs="Arial"/>
              </w:rPr>
            </w:pPr>
            <w:r w:rsidRPr="00E141F1">
              <w:rPr>
                <w:rFonts w:cs="Arial"/>
                <w:i/>
                <w:sz w:val="16"/>
                <w:szCs w:val="16"/>
              </w:rPr>
              <w:t>Source: CAD</w:t>
            </w:r>
            <w:r>
              <w:rPr>
                <w:rFonts w:cs="Arial"/>
                <w:i/>
                <w:sz w:val="16"/>
                <w:szCs w:val="16"/>
              </w:rPr>
              <w:t>.</w:t>
            </w:r>
          </w:p>
        </w:tc>
      </w:tr>
    </w:tbl>
    <w:p w:rsidR="001E6FB8" w:rsidRPr="00E141F1" w:rsidRDefault="001E6FB8" w:rsidP="001E6FB8">
      <w:pPr>
        <w:rPr>
          <w:rFonts w:cs="Arial"/>
        </w:rPr>
      </w:pPr>
    </w:p>
    <w:p w:rsidR="001E6FB8" w:rsidRPr="00E141F1" w:rsidRDefault="001E6FB8" w:rsidP="001E6FB8">
      <w:pPr>
        <w:pStyle w:val="Heading3"/>
      </w:pPr>
      <w:bookmarkStart w:id="526" w:name="_Toc308517287"/>
      <w:bookmarkStart w:id="527" w:name="_Toc308523727"/>
      <w:bookmarkStart w:id="528" w:name="_Toc312157243"/>
      <w:bookmarkStart w:id="529" w:name="_Toc371589098"/>
      <w:bookmarkStart w:id="530" w:name="_Toc373149160"/>
      <w:r w:rsidRPr="00E141F1">
        <w:t>Captioning</w:t>
      </w:r>
      <w:bookmarkEnd w:id="526"/>
      <w:bookmarkEnd w:id="527"/>
      <w:bookmarkEnd w:id="528"/>
      <w:bookmarkEnd w:id="529"/>
      <w:bookmarkEnd w:id="530"/>
    </w:p>
    <w:p w:rsidR="001E6FB8" w:rsidRPr="00E141F1" w:rsidRDefault="001E6FB8" w:rsidP="001E6FB8">
      <w:pPr>
        <w:rPr>
          <w:rFonts w:cs="Arial"/>
        </w:rPr>
      </w:pPr>
      <w:r w:rsidRPr="00E141F1">
        <w:rPr>
          <w:rFonts w:cs="Arial"/>
        </w:rPr>
        <w:t>Under the BSA, free-to-air television broadcasters (ABC, SBS and commercial stations)</w:t>
      </w:r>
      <w:r w:rsidRPr="00E141F1">
        <w:rPr>
          <w:rFonts w:cs="Arial"/>
          <w:color w:val="262626"/>
          <w:sz w:val="18"/>
          <w:szCs w:val="18"/>
        </w:rPr>
        <w:t xml:space="preserve"> </w:t>
      </w:r>
      <w:r w:rsidRPr="00E141F1">
        <w:rPr>
          <w:rFonts w:cs="Arial"/>
        </w:rPr>
        <w:t xml:space="preserve">are required to provide a captioning service for all programs transmitted between 6.00 pm and 10.30 pm and during all news and current affairs programs.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On 28 June 2012, the government amended captioning provisions in the BSA. From 1</w:t>
      </w:r>
      <w:r>
        <w:rPr>
          <w:rFonts w:cs="Arial"/>
        </w:rPr>
        <w:t> </w:t>
      </w:r>
      <w:r w:rsidRPr="00E141F1">
        <w:rPr>
          <w:rFonts w:cs="Arial"/>
        </w:rPr>
        <w:t>July 2012, free-to-air television broadcasters and subscription television licensees are required to meet annual captioning targets.</w:t>
      </w:r>
      <w:r w:rsidRPr="00E141F1">
        <w:rPr>
          <w:rStyle w:val="EndnoteReference"/>
          <w:rFonts w:cs="Arial"/>
        </w:rPr>
        <w:endnoteReference w:id="40"/>
      </w:r>
      <w:r>
        <w:rPr>
          <w:rFonts w:cs="Arial"/>
        </w:rPr>
        <w:t xml:space="preserve">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One of the amendments requires the ACMA to develop captioning quality standard(s) for television programs transmitted on free-to-air broadcast television and subscription television. The ACMA’s new television captioning quality standard</w:t>
      </w:r>
      <w:r w:rsidRPr="00E141F1">
        <w:rPr>
          <w:rStyle w:val="EndnoteReference"/>
          <w:rFonts w:cs="Arial"/>
        </w:rPr>
        <w:endnoteReference w:id="41"/>
      </w:r>
      <w:r w:rsidRPr="00E141F1">
        <w:rPr>
          <w:rFonts w:cs="Arial"/>
        </w:rPr>
        <w:t xml:space="preserve"> came into effect on 5 June 2013. The standard requires captions to be readable, accurate and comprehensible so that they are meaningful to deaf and hearing-impaired viewers. </w:t>
      </w:r>
    </w:p>
    <w:p w:rsidR="001E6FB8" w:rsidRPr="00E141F1" w:rsidRDefault="001E6FB8" w:rsidP="001E6FB8">
      <w:pPr>
        <w:rPr>
          <w:rFonts w:cs="Arial"/>
        </w:rPr>
      </w:pPr>
    </w:p>
    <w:p w:rsidR="001E6FB8" w:rsidRPr="00E141F1" w:rsidRDefault="001E6FB8" w:rsidP="001E6FB8">
      <w:pPr>
        <w:pStyle w:val="Heading2"/>
      </w:pPr>
      <w:bookmarkStart w:id="531" w:name="_Toc371589099"/>
      <w:bookmarkStart w:id="532" w:name="_Toc373149161"/>
      <w:r w:rsidRPr="00E141F1">
        <w:t>Notification of changes in control</w:t>
      </w:r>
      <w:bookmarkEnd w:id="531"/>
      <w:bookmarkEnd w:id="532"/>
    </w:p>
    <w:p w:rsidR="001E6FB8" w:rsidRPr="00E141F1" w:rsidRDefault="001E6FB8" w:rsidP="001E6FB8">
      <w:pPr>
        <w:rPr>
          <w:rFonts w:cs="Arial"/>
        </w:rPr>
      </w:pPr>
      <w:r w:rsidRPr="00E141F1">
        <w:rPr>
          <w:rFonts w:cs="Arial"/>
        </w:rPr>
        <w:t xml:space="preserve">Commercial television and radio licensees and publishers of associated newspapers must notify the ACMA of any changes in control within five days of becoming aware of those changes (section 63 of the BSA). Persons who come into a position to exercise control of such licences and associated newspapers are also required to notify the ACMA within five days of becoming aware of the change in control (section 64 of the BSA).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ACMA updates the Register of Controlled Media Groups (RCMG) when it is notified of relevant changes in control. An unacceptable media diversity situation arises if a change in control results in fewer than five points in any metropolitan commercial radio licence area or fewer than four points in any regional commercial radio licence area (subsections 61AB(1) and 61AB(2) of the BSA). In general, each registrable media group constitutes one point, as does each separate media operation that is not part of a registrable media group (section 61AEA of the BSA). </w:t>
      </w:r>
    </w:p>
    <w:p w:rsidR="001E6FB8" w:rsidRPr="00E141F1" w:rsidRDefault="001E6FB8" w:rsidP="001E6FB8">
      <w:pPr>
        <w:rPr>
          <w:rFonts w:cs="Arial"/>
        </w:rPr>
      </w:pPr>
    </w:p>
    <w:p w:rsidR="001E6FB8" w:rsidRPr="00E141F1" w:rsidRDefault="001E6FB8" w:rsidP="001E6FB8">
      <w:pPr>
        <w:pStyle w:val="Heading3"/>
      </w:pPr>
      <w:bookmarkStart w:id="533" w:name="_Toc287540283"/>
      <w:bookmarkStart w:id="534" w:name="_Toc308517289"/>
      <w:bookmarkStart w:id="535" w:name="_Toc308523729"/>
      <w:bookmarkStart w:id="536" w:name="_Toc312157245"/>
      <w:bookmarkStart w:id="537" w:name="_Toc371589100"/>
      <w:bookmarkStart w:id="538" w:name="_Toc373149162"/>
      <w:r w:rsidRPr="00E141F1">
        <w:t>Compliance with legislative requirements</w:t>
      </w:r>
      <w:bookmarkEnd w:id="533"/>
      <w:bookmarkEnd w:id="534"/>
      <w:bookmarkEnd w:id="535"/>
      <w:bookmarkEnd w:id="536"/>
      <w:bookmarkEnd w:id="537"/>
      <w:bookmarkEnd w:id="538"/>
    </w:p>
    <w:p w:rsidR="001E6FB8" w:rsidRPr="00E141F1" w:rsidRDefault="001E6FB8" w:rsidP="001E6FB8">
      <w:pPr>
        <w:rPr>
          <w:rFonts w:cs="Arial"/>
        </w:rPr>
      </w:pPr>
      <w:r w:rsidRPr="00E141F1">
        <w:rPr>
          <w:rFonts w:cs="Arial"/>
          <w:szCs w:val="20"/>
        </w:rPr>
        <w:t xml:space="preserve">Under Part 14E of the BSA, an authorised ACMA infringement notice officer can issue a formal warning (under section 205XA) and this may be followed by an infringement notice (under section 205Y) where the officer has reasonable grounds to believe that </w:t>
      </w:r>
      <w:r>
        <w:rPr>
          <w:rFonts w:cs="Arial"/>
          <w:szCs w:val="20"/>
        </w:rPr>
        <w:br/>
      </w:r>
      <w:r w:rsidRPr="00E141F1">
        <w:rPr>
          <w:rFonts w:cs="Arial"/>
          <w:szCs w:val="20"/>
        </w:rPr>
        <w:t xml:space="preserve">a person has contravened a notification provision referred to above (section 62, 63 </w:t>
      </w:r>
      <w:r>
        <w:rPr>
          <w:rFonts w:cs="Arial"/>
          <w:szCs w:val="20"/>
        </w:rPr>
        <w:br/>
      </w:r>
      <w:r w:rsidRPr="00E141F1">
        <w:rPr>
          <w:rFonts w:cs="Arial"/>
          <w:szCs w:val="20"/>
        </w:rPr>
        <w:t>or 64).</w:t>
      </w:r>
    </w:p>
    <w:p w:rsidR="001E6FB8" w:rsidRPr="00E141F1" w:rsidRDefault="001E6FB8" w:rsidP="001E6FB8">
      <w:pPr>
        <w:rPr>
          <w:rFonts w:cs="Arial"/>
        </w:rPr>
      </w:pPr>
    </w:p>
    <w:p w:rsidR="001E6FB8" w:rsidRPr="00E141F1" w:rsidRDefault="001E6FB8" w:rsidP="001E6FB8">
      <w:pPr>
        <w:rPr>
          <w:rFonts w:cs="Arial"/>
          <w:szCs w:val="20"/>
        </w:rPr>
      </w:pPr>
      <w:r w:rsidRPr="00E141F1">
        <w:rPr>
          <w:rFonts w:cs="Arial"/>
          <w:szCs w:val="20"/>
        </w:rPr>
        <w:t xml:space="preserve">Thirteen transactions affecting the control of media operations occurred during </w:t>
      </w:r>
      <w:r>
        <w:rPr>
          <w:rFonts w:cs="Arial"/>
          <w:szCs w:val="20"/>
        </w:rPr>
        <w:br/>
      </w:r>
      <w:r w:rsidRPr="00E141F1">
        <w:rPr>
          <w:rFonts w:cs="Arial"/>
          <w:szCs w:val="20"/>
        </w:rPr>
        <w:t xml:space="preserve">2012–13. </w:t>
      </w:r>
    </w:p>
    <w:p w:rsidR="001E6FB8" w:rsidRPr="00E141F1" w:rsidRDefault="001E6FB8" w:rsidP="001E6FB8">
      <w:pPr>
        <w:rPr>
          <w:rFonts w:cs="Arial"/>
          <w:szCs w:val="20"/>
        </w:rPr>
      </w:pPr>
    </w:p>
    <w:p w:rsidR="001E6FB8" w:rsidRPr="00E141F1" w:rsidRDefault="001E6FB8" w:rsidP="001E6FB8">
      <w:pPr>
        <w:rPr>
          <w:rFonts w:cs="Arial"/>
        </w:rPr>
      </w:pPr>
      <w:r w:rsidRPr="00E141F1">
        <w:rPr>
          <w:rFonts w:cs="Arial"/>
          <w:szCs w:val="20"/>
        </w:rPr>
        <w:t>For the fourth year running, the licensees of all 327 commercial broadcasting licences and publishers of all 46 associated newspapers lodged their annual returns on time (as required under Part 5 of the BSA). The information contained in the annual returns is used to monitor the ownership of media operations and is reflected in the media control database and the RCMG.</w:t>
      </w:r>
    </w:p>
    <w:p w:rsidR="001E6FB8" w:rsidRPr="00E141F1" w:rsidRDefault="001E6FB8" w:rsidP="001E6FB8">
      <w:pPr>
        <w:rPr>
          <w:rFonts w:cs="Arial"/>
          <w:szCs w:val="20"/>
        </w:rPr>
      </w:pPr>
    </w:p>
    <w:p w:rsidR="001E6FB8" w:rsidRPr="00E141F1" w:rsidRDefault="001E6FB8" w:rsidP="001E6FB8">
      <w:pPr>
        <w:rPr>
          <w:rFonts w:cs="Arial"/>
          <w:szCs w:val="20"/>
          <w:highlight w:val="yellow"/>
        </w:rPr>
      </w:pPr>
      <w:r w:rsidRPr="00E141F1">
        <w:rPr>
          <w:rFonts w:cs="Arial"/>
          <w:szCs w:val="20"/>
        </w:rPr>
        <w:t>During 2012–13, one infringement notice and six formal warnings were given for late notifications. However, these were related to events that took place in previous financial years.</w:t>
      </w:r>
    </w:p>
    <w:p w:rsidR="001E6FB8" w:rsidRPr="00E141F1" w:rsidRDefault="001E6FB8" w:rsidP="001E6FB8">
      <w:pPr>
        <w:rPr>
          <w:rFonts w:cs="Arial"/>
          <w:szCs w:val="20"/>
          <w:highlight w:val="yellow"/>
        </w:rPr>
      </w:pPr>
    </w:p>
    <w:p w:rsidR="001E6FB8" w:rsidRPr="00E141F1" w:rsidRDefault="001E6FB8" w:rsidP="001E6FB8">
      <w:pPr>
        <w:pStyle w:val="Heading2"/>
      </w:pPr>
      <w:bookmarkStart w:id="539" w:name="_Toc371589101"/>
      <w:bookmarkStart w:id="540" w:name="_Toc373149163"/>
      <w:r w:rsidRPr="00E141F1">
        <w:t>Local information on regional television</w:t>
      </w:r>
      <w:bookmarkEnd w:id="539"/>
      <w:bookmarkEnd w:id="540"/>
    </w:p>
    <w:p w:rsidR="001E6FB8" w:rsidRPr="00E141F1" w:rsidRDefault="001E6FB8" w:rsidP="001E6FB8">
      <w:pPr>
        <w:spacing w:after="80"/>
        <w:rPr>
          <w:rFonts w:cs="Arial"/>
        </w:rPr>
      </w:pPr>
      <w:r w:rsidRPr="00E141F1">
        <w:rPr>
          <w:rFonts w:cs="Arial"/>
        </w:rPr>
        <w:t>The following regional commercial television broadcasting licensees in Queensland, New South Wales, Victoria and Tasmania must broadcast minimum amounts of material of local significance (local content) as a result of an additional licence condition:</w:t>
      </w:r>
    </w:p>
    <w:p w:rsidR="001E6FB8" w:rsidRPr="00E141F1" w:rsidRDefault="001E6FB8" w:rsidP="001E6FB8">
      <w:pPr>
        <w:pStyle w:val="ListBullet"/>
        <w:rPr>
          <w:rFonts w:cs="Arial"/>
        </w:rPr>
      </w:pPr>
      <w:r w:rsidRPr="00E141F1">
        <w:rPr>
          <w:rFonts w:cs="Arial"/>
        </w:rPr>
        <w:t xml:space="preserve">Seven Qld, Southern Cross and WIN TV in regional Queensland </w:t>
      </w:r>
    </w:p>
    <w:p w:rsidR="001E6FB8" w:rsidRPr="00E141F1" w:rsidRDefault="001E6FB8" w:rsidP="001E6FB8">
      <w:pPr>
        <w:pStyle w:val="ListBullet"/>
        <w:rPr>
          <w:rFonts w:cs="Arial"/>
        </w:rPr>
      </w:pPr>
      <w:r w:rsidRPr="00E141F1">
        <w:rPr>
          <w:rFonts w:cs="Arial"/>
        </w:rPr>
        <w:t>NBN Ltd, Prime Television and Southern Cross in northern New South Wales</w:t>
      </w:r>
    </w:p>
    <w:p w:rsidR="001E6FB8" w:rsidRPr="00E141F1" w:rsidRDefault="001E6FB8" w:rsidP="001E6FB8">
      <w:pPr>
        <w:pStyle w:val="ListBullet"/>
        <w:rPr>
          <w:rFonts w:cs="Arial"/>
        </w:rPr>
      </w:pPr>
      <w:r w:rsidRPr="00E141F1">
        <w:rPr>
          <w:rFonts w:cs="Arial"/>
        </w:rPr>
        <w:t>Prime Television, Southern Cross and WIN TV in southern New South Wales</w:t>
      </w:r>
    </w:p>
    <w:p w:rsidR="001E6FB8" w:rsidRPr="00E141F1" w:rsidRDefault="001E6FB8" w:rsidP="001E6FB8">
      <w:pPr>
        <w:pStyle w:val="ListBullet"/>
        <w:rPr>
          <w:rFonts w:cs="Arial"/>
        </w:rPr>
      </w:pPr>
      <w:r w:rsidRPr="00E141F1">
        <w:rPr>
          <w:rFonts w:cs="Arial"/>
        </w:rPr>
        <w:t>Prime Television, Southern Cross and WIN TV in regional Victoria</w:t>
      </w:r>
    </w:p>
    <w:p w:rsidR="001E6FB8" w:rsidRPr="00E141F1" w:rsidRDefault="001E6FB8" w:rsidP="001E6FB8">
      <w:pPr>
        <w:pStyle w:val="ListBullet"/>
        <w:spacing w:after="240"/>
        <w:rPr>
          <w:rFonts w:cs="Arial"/>
        </w:rPr>
      </w:pPr>
      <w:r w:rsidRPr="00E141F1">
        <w:rPr>
          <w:rFonts w:cs="Arial"/>
        </w:rPr>
        <w:t>Southern Cross, WIN TV and Southern Cross/WIN joint venture in Tasmania.</w:t>
      </w:r>
    </w:p>
    <w:p w:rsidR="001E6FB8" w:rsidRPr="00E141F1" w:rsidRDefault="001E6FB8" w:rsidP="001E6FB8">
      <w:pPr>
        <w:rPr>
          <w:rFonts w:cs="Arial"/>
        </w:rPr>
      </w:pPr>
      <w:r w:rsidRPr="00E141F1">
        <w:rPr>
          <w:rFonts w:cs="Arial"/>
        </w:rPr>
        <w:t xml:space="preserve">For the period 22 July 2012 to 2 February 2013, all regional broadcasting licensees in Queensland, New South Wales, Victoria and Tasmania (except Tasmanian Digital Television) reported that they met the weekly and six-weekly minimum quota requirements of 90 points and 720 points respectively.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Tasmanian Digital Television reported that it met its 120-point quota requirement for the period 1 January to 31 December 2012. Being a digital-only commercial television service, Tasmanian Digital Television operated under an additional licence condition until 31 December 2012. For the period 1 January to 2 February 2013, Tasmanian Digital Television met the pro rata quota requirement of 480 points over four weeks.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In June 2013, the ACMA commenced an investigation into local content on regional commercial television, following a ministerial direction. The focus of the investigation is on the operation and effectiveness of the current legislative requirements, including the importance of local content to people living in regional areas, access to local content in regional areas, the economic circumstances of regional commercial television broadcasters and whether the current requirements should be extended to other regional areas. The investigation will include public consultation, a quantitative survey of people living in regional areas of Australia and economic analysis. It is expected to be completed in the next reporting period.</w:t>
      </w:r>
    </w:p>
    <w:p w:rsidR="001E6FB8" w:rsidRPr="00E141F1" w:rsidRDefault="001E6FB8" w:rsidP="001E6FB8">
      <w:pPr>
        <w:rPr>
          <w:rFonts w:cs="Arial"/>
          <w:highlight w:val="yellow"/>
        </w:rPr>
      </w:pPr>
    </w:p>
    <w:p w:rsidR="001E6FB8" w:rsidRPr="00E141F1" w:rsidRDefault="001E6FB8" w:rsidP="001E6FB8">
      <w:pPr>
        <w:pStyle w:val="Heading2"/>
      </w:pPr>
      <w:bookmarkStart w:id="541" w:name="_Toc371589102"/>
      <w:bookmarkStart w:id="542" w:name="_Toc373149164"/>
      <w:r w:rsidRPr="00E141F1">
        <w:t xml:space="preserve">Local content, presence and information on </w:t>
      </w:r>
      <w:r>
        <w:br/>
      </w:r>
      <w:r w:rsidRPr="00E141F1">
        <w:t>regional radio</w:t>
      </w:r>
      <w:bookmarkEnd w:id="541"/>
      <w:bookmarkEnd w:id="542"/>
    </w:p>
    <w:p w:rsidR="001E6FB8" w:rsidRPr="00E141F1" w:rsidRDefault="001E6FB8" w:rsidP="001E6FB8">
      <w:pPr>
        <w:rPr>
          <w:rFonts w:cs="Arial"/>
        </w:rPr>
      </w:pPr>
      <w:r w:rsidRPr="00E141F1">
        <w:rPr>
          <w:rFonts w:cs="Arial"/>
        </w:rPr>
        <w:t>Since 1 January 2008, the Broadcasting Service (Additional Regional Commercial Radio Licence Condition – Material of Local Significance) Notice 19 December 2007 (the 2007 licence condition) requires regional commercial radio broadcasting licensees to broadcast prescribed amounts of material of local significance (local content) between 5.00 am and 8.00 pm on business days.</w:t>
      </w:r>
      <w:r w:rsidRPr="00E141F1">
        <w:rPr>
          <w:rStyle w:val="EndnoteReference"/>
          <w:rFonts w:cs="Arial"/>
        </w:rPr>
        <w:endnoteReference w:id="42"/>
      </w:r>
    </w:p>
    <w:p w:rsidR="001E6FB8" w:rsidRPr="00E141F1" w:rsidRDefault="001E6FB8" w:rsidP="001E6FB8">
      <w:pPr>
        <w:rPr>
          <w:rFonts w:cs="Arial"/>
        </w:rPr>
      </w:pPr>
    </w:p>
    <w:p w:rsidR="001E6FB8" w:rsidRPr="00E141F1" w:rsidRDefault="001E6FB8" w:rsidP="001E6FB8">
      <w:pPr>
        <w:rPr>
          <w:rFonts w:cs="Arial"/>
        </w:rPr>
      </w:pPr>
      <w:r w:rsidRPr="00E141F1">
        <w:rPr>
          <w:rFonts w:cs="Arial"/>
        </w:rPr>
        <w:t>According to licensees’ annual returns for 2011–12, all 222 licensees met their local content quotas by broadcasting prescribed amounts of local content.</w:t>
      </w:r>
    </w:p>
    <w:p w:rsidR="001E6FB8" w:rsidRPr="00E141F1" w:rsidRDefault="001E6FB8" w:rsidP="001E6FB8">
      <w:pPr>
        <w:rPr>
          <w:rFonts w:cs="Arial"/>
        </w:rPr>
      </w:pPr>
    </w:p>
    <w:p w:rsidR="001E6FB8" w:rsidRPr="00E141F1" w:rsidRDefault="001E6FB8" w:rsidP="001E6FB8">
      <w:pPr>
        <w:spacing w:after="80"/>
        <w:rPr>
          <w:rFonts w:cs="Arial"/>
        </w:rPr>
      </w:pPr>
      <w:r w:rsidRPr="00E141F1">
        <w:rPr>
          <w:rFonts w:cs="Arial"/>
        </w:rPr>
        <w:t xml:space="preserve">Since April 2007, regional commercial radio broadcasting licensees affected by certain changes in ownership or control (known as ‘trigger events’) have also attracted obligations to: </w:t>
      </w:r>
    </w:p>
    <w:p w:rsidR="001E6FB8" w:rsidRPr="00E141F1" w:rsidRDefault="001E6FB8" w:rsidP="001E6FB8">
      <w:pPr>
        <w:pStyle w:val="ListBullet"/>
        <w:rPr>
          <w:rFonts w:cs="Arial"/>
        </w:rPr>
      </w:pPr>
      <w:r w:rsidRPr="00E141F1">
        <w:rPr>
          <w:rFonts w:cs="Arial"/>
        </w:rPr>
        <w:t xml:space="preserve">maintain existing levels of local presence (local staff and facilities) </w:t>
      </w:r>
    </w:p>
    <w:p w:rsidR="001E6FB8" w:rsidRPr="00E141F1" w:rsidRDefault="001E6FB8" w:rsidP="001E6FB8">
      <w:pPr>
        <w:pStyle w:val="ListBullet"/>
        <w:spacing w:after="240"/>
        <w:rPr>
          <w:rFonts w:cs="Arial"/>
        </w:rPr>
      </w:pPr>
      <w:r w:rsidRPr="00E141F1">
        <w:rPr>
          <w:rFonts w:cs="Arial"/>
        </w:rPr>
        <w:t xml:space="preserve">broadcast specified amounts of local news, weather and other information (also known as the minimum service standards under Part 5 of the BSA). </w:t>
      </w:r>
    </w:p>
    <w:p w:rsidR="001E6FB8" w:rsidRPr="00E141F1" w:rsidRDefault="001E6FB8" w:rsidP="001E6FB8">
      <w:pPr>
        <w:rPr>
          <w:rFonts w:cs="Arial"/>
        </w:rPr>
      </w:pPr>
      <w:r w:rsidRPr="00E141F1">
        <w:rPr>
          <w:rFonts w:cs="Arial"/>
        </w:rPr>
        <w:t>According to licensees’ annual returns for 2011–12, all trigger event affected licensees maintained existing levels of local presence and met their minimum service standard quotas.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In April 2012, the</w:t>
      </w:r>
      <w:r w:rsidRPr="00E141F1">
        <w:rPr>
          <w:rFonts w:cs="Arial"/>
          <w:i/>
        </w:rPr>
        <w:t xml:space="preserve"> Broadcasting Services Amendment (Regional Commercial Radio) Act 2012</w:t>
      </w:r>
      <w:r w:rsidRPr="00E141F1">
        <w:rPr>
          <w:rFonts w:cs="Arial"/>
        </w:rPr>
        <w:t xml:space="preserve"> amended the BSA so that remote area and racing service licensees were exempted from the obligations to broadcast prescribed amounts of material of local content, maintain existing levels of local presence and broadcast the minimum service standards.</w:t>
      </w:r>
      <w:r w:rsidRPr="00E141F1">
        <w:rPr>
          <w:rStyle w:val="EndnoteReference"/>
          <w:rFonts w:cs="Arial"/>
        </w:rPr>
        <w:endnoteReference w:id="43"/>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In May 2013, all regional commercial radio licensees (other than remote area, racing and section 40 licensees) were asked to complete Local Record Presence Forms providing a snapshot of local presence levels as at April 2013. All licensees met this requirement.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As at 30 June 2013, 95 regional commercial radio licensees had been affected by a trigger event since April 2007. During 2012–13, trigger events occurred for six licensees. </w:t>
      </w:r>
    </w:p>
    <w:p w:rsidR="001E6FB8" w:rsidRPr="00E141F1" w:rsidRDefault="001E6FB8" w:rsidP="001E6FB8">
      <w:pPr>
        <w:rPr>
          <w:rFonts w:cs="Arial"/>
        </w:rPr>
      </w:pPr>
    </w:p>
    <w:p w:rsidR="001E6FB8" w:rsidRDefault="001E6FB8" w:rsidP="001E6FB8">
      <w:pPr>
        <w:pStyle w:val="Heading2"/>
      </w:pPr>
      <w:bookmarkStart w:id="543" w:name="_Toc371589103"/>
      <w:bookmarkStart w:id="544" w:name="_Toc373149165"/>
      <w:proofErr w:type="spellStart"/>
      <w:r w:rsidRPr="00E141F1">
        <w:t>Datacasting</w:t>
      </w:r>
      <w:bookmarkEnd w:id="543"/>
      <w:bookmarkEnd w:id="544"/>
      <w:proofErr w:type="spellEnd"/>
    </w:p>
    <w:p w:rsidR="001E6FB8" w:rsidRPr="00E141F1" w:rsidRDefault="001E6FB8" w:rsidP="001E6FB8">
      <w:pPr>
        <w:rPr>
          <w:rFonts w:cs="Arial"/>
        </w:rPr>
      </w:pPr>
      <w:proofErr w:type="spellStart"/>
      <w:r w:rsidRPr="00E141F1">
        <w:rPr>
          <w:rFonts w:cs="Arial"/>
        </w:rPr>
        <w:t>Datacasters</w:t>
      </w:r>
      <w:proofErr w:type="spellEnd"/>
      <w:r w:rsidRPr="00E141F1">
        <w:rPr>
          <w:rFonts w:cs="Arial"/>
        </w:rPr>
        <w:t xml:space="preserve"> are subject to licence conditions in the </w:t>
      </w:r>
      <w:r w:rsidRPr="00E141F1">
        <w:rPr>
          <w:rFonts w:cs="Arial"/>
          <w:iCs/>
        </w:rPr>
        <w:t>BSA</w:t>
      </w:r>
      <w:r w:rsidRPr="00E141F1">
        <w:rPr>
          <w:rFonts w:cs="Arial"/>
        </w:rPr>
        <w:t xml:space="preserve"> that control and restrict the content they can transmit. During the reporting period, the ACMA received </w:t>
      </w:r>
      <w:r>
        <w:rPr>
          <w:rFonts w:cs="Arial"/>
        </w:rPr>
        <w:t>16</w:t>
      </w:r>
      <w:r w:rsidRPr="00E141F1">
        <w:rPr>
          <w:rFonts w:cs="Arial"/>
        </w:rPr>
        <w:t xml:space="preserve"> complaints about </w:t>
      </w:r>
      <w:proofErr w:type="spellStart"/>
      <w:r w:rsidRPr="00E141F1">
        <w:rPr>
          <w:rFonts w:cs="Arial"/>
        </w:rPr>
        <w:t>datacasters</w:t>
      </w:r>
      <w:proofErr w:type="spellEnd"/>
      <w:r w:rsidRPr="00E141F1">
        <w:rPr>
          <w:rFonts w:cs="Arial"/>
        </w:rPr>
        <w:t xml:space="preserve"> and conducted three investigations into licensee compliance with the applicable licence conditions. The three investigations are the first the ACMA has conducted into </w:t>
      </w:r>
      <w:proofErr w:type="spellStart"/>
      <w:r w:rsidRPr="00E141F1">
        <w:rPr>
          <w:rFonts w:cs="Arial"/>
        </w:rPr>
        <w:t>datacasting</w:t>
      </w:r>
      <w:proofErr w:type="spellEnd"/>
      <w:r w:rsidRPr="00E141F1">
        <w:rPr>
          <w:rFonts w:cs="Arial"/>
        </w:rPr>
        <w:t>.</w:t>
      </w:r>
    </w:p>
    <w:p w:rsidR="001E6FB8" w:rsidRPr="00E141F1" w:rsidRDefault="001E6FB8" w:rsidP="001E6FB8">
      <w:pPr>
        <w:rPr>
          <w:rFonts w:cs="Arial"/>
        </w:rPr>
      </w:pPr>
    </w:p>
    <w:p w:rsidR="001E6FB8" w:rsidRPr="00E141F1" w:rsidRDefault="001E6FB8" w:rsidP="001E6FB8">
      <w:pPr>
        <w:rPr>
          <w:rFonts w:cs="Arial"/>
        </w:rPr>
      </w:pPr>
      <w:proofErr w:type="spellStart"/>
      <w:r w:rsidRPr="00E141F1">
        <w:rPr>
          <w:rFonts w:cs="Arial"/>
        </w:rPr>
        <w:t>Datacasters</w:t>
      </w:r>
      <w:proofErr w:type="spellEnd"/>
      <w:r w:rsidRPr="00E141F1">
        <w:rPr>
          <w:rFonts w:cs="Arial"/>
        </w:rPr>
        <w:t xml:space="preserve"> are permitted to transmit information-only programs, educational programs and foreign-language news and current affairs. </w:t>
      </w:r>
      <w:proofErr w:type="spellStart"/>
      <w:r w:rsidRPr="00E141F1">
        <w:rPr>
          <w:rFonts w:cs="Arial"/>
        </w:rPr>
        <w:t>Datacasters</w:t>
      </w:r>
      <w:proofErr w:type="spellEnd"/>
      <w:r w:rsidRPr="00E141F1">
        <w:rPr>
          <w:rFonts w:cs="Arial"/>
        </w:rPr>
        <w:t xml:space="preserve"> are prohibited from transmitting Category A or B programs which include drama, comedy, sport, English language news and current affairs. </w:t>
      </w:r>
      <w:proofErr w:type="spellStart"/>
      <w:r w:rsidRPr="00E141F1">
        <w:rPr>
          <w:rFonts w:cs="Arial"/>
        </w:rPr>
        <w:t>Datacasters</w:t>
      </w:r>
      <w:proofErr w:type="spellEnd"/>
      <w:r w:rsidRPr="00E141F1">
        <w:rPr>
          <w:rFonts w:cs="Arial"/>
        </w:rPr>
        <w:t xml:space="preserve"> are also subject to a licence condition that they will not transmit content that has been classified R18+ or X18+ by the Classification Board.</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Of the three ACMA investigations, two related to the category of program. The first investigation found that Channel Seven Melbourne Pty Ltd (the licensee of </w:t>
      </w:r>
      <w:proofErr w:type="spellStart"/>
      <w:r w:rsidRPr="00E141F1">
        <w:rPr>
          <w:rFonts w:cs="Arial"/>
        </w:rPr>
        <w:t>datacasting</w:t>
      </w:r>
      <w:proofErr w:type="spellEnd"/>
      <w:r w:rsidRPr="00E141F1">
        <w:rPr>
          <w:rFonts w:cs="Arial"/>
        </w:rPr>
        <w:t xml:space="preserve"> service TV4ME) breached a licence condition by transmitting various entertainment programs in March 2012. The second investigation found that Channel Seven Perth Pty Ltd (the licensee of </w:t>
      </w:r>
      <w:proofErr w:type="spellStart"/>
      <w:r w:rsidRPr="00E141F1">
        <w:rPr>
          <w:rFonts w:cs="Arial"/>
        </w:rPr>
        <w:t>datacasting</w:t>
      </w:r>
      <w:proofErr w:type="spellEnd"/>
      <w:r w:rsidRPr="00E141F1">
        <w:rPr>
          <w:rFonts w:cs="Arial"/>
        </w:rPr>
        <w:t xml:space="preserve"> service TV4ME) did not breach a licence condition by transmitting </w:t>
      </w:r>
      <w:r w:rsidRPr="00E141F1">
        <w:rPr>
          <w:rFonts w:cs="Arial"/>
          <w:i/>
        </w:rPr>
        <w:t>Psychic TV</w:t>
      </w:r>
      <w:r w:rsidRPr="00E141F1">
        <w:rPr>
          <w:rFonts w:cs="Arial"/>
        </w:rPr>
        <w:t xml:space="preserve"> on 7 January 2013.</w:t>
      </w:r>
    </w:p>
    <w:p w:rsidR="001E6FB8" w:rsidRPr="00E141F1" w:rsidRDefault="001E6FB8" w:rsidP="001E6FB8">
      <w:pPr>
        <w:rPr>
          <w:rFonts w:cs="Arial"/>
        </w:rPr>
      </w:pPr>
    </w:p>
    <w:p w:rsidR="001E6FB8" w:rsidRPr="00E141F1" w:rsidRDefault="001E6FB8" w:rsidP="001E6FB8">
      <w:r w:rsidRPr="00E141F1">
        <w:t xml:space="preserve">The third investigation concerned the classification of certain material. The ACMA found that Nine Network Queensland Television Ltd and Channel Nine Pty Ltd (licensees of the </w:t>
      </w:r>
      <w:proofErr w:type="spellStart"/>
      <w:r w:rsidRPr="00E141F1">
        <w:t>datacasting</w:t>
      </w:r>
      <w:proofErr w:type="spellEnd"/>
      <w:r w:rsidRPr="00E141F1">
        <w:t xml:space="preserve"> service Extra) did not breach the classification licence condition by transmitting </w:t>
      </w:r>
      <w:r w:rsidRPr="00E141F1">
        <w:rPr>
          <w:i/>
          <w:iCs/>
        </w:rPr>
        <w:t>Babe TV</w:t>
      </w:r>
      <w:r w:rsidRPr="00E141F1">
        <w:t xml:space="preserve"> on 8 October 2012.</w:t>
      </w:r>
    </w:p>
    <w:p w:rsidR="001E6FB8" w:rsidRPr="00E141F1" w:rsidRDefault="001E6FB8" w:rsidP="001E6FB8"/>
    <w:p w:rsidR="001E6FB8" w:rsidRPr="00E141F1" w:rsidRDefault="001E6FB8" w:rsidP="001E6FB8">
      <w:pPr>
        <w:pStyle w:val="Heading2"/>
      </w:pPr>
      <w:bookmarkStart w:id="545" w:name="_Toc371589104"/>
      <w:bookmarkStart w:id="546" w:name="_Toc373149166"/>
      <w:r w:rsidRPr="00E141F1">
        <w:t>Anti-terrorism standards</w:t>
      </w:r>
      <w:bookmarkEnd w:id="545"/>
      <w:bookmarkEnd w:id="546"/>
    </w:p>
    <w:p w:rsidR="001E6FB8" w:rsidRPr="00E141F1" w:rsidRDefault="001E6FB8" w:rsidP="001E6FB8">
      <w:pPr>
        <w:rPr>
          <w:rFonts w:cs="Arial"/>
        </w:rPr>
      </w:pPr>
      <w:bookmarkStart w:id="547" w:name="_Toc287540288"/>
      <w:r w:rsidRPr="00E141F1">
        <w:rPr>
          <w:rFonts w:cs="Arial"/>
        </w:rPr>
        <w:t>The Broadcasting Services (Anti-terrorism Requirements for Open Narrowcasting Television Services) Standard 2011 and the Broadcasting Services (Anti-terrorism Requirements for Subscription Narrowcasting Television Services) Standard 2011 (collectively the 2011 Anti-terrorism Standards) commenced on 1 July 2011.</w:t>
      </w:r>
    </w:p>
    <w:p w:rsidR="001E6FB8" w:rsidRPr="00E141F1" w:rsidRDefault="001E6FB8" w:rsidP="001E6FB8">
      <w:pPr>
        <w:rPr>
          <w:rFonts w:cs="Arial"/>
        </w:rPr>
      </w:pPr>
    </w:p>
    <w:p w:rsidR="001E6FB8" w:rsidRPr="00E141F1" w:rsidRDefault="001E6FB8" w:rsidP="001E6FB8">
      <w:pPr>
        <w:rPr>
          <w:rFonts w:cs="Arial"/>
        </w:rPr>
      </w:pPr>
      <w:r w:rsidRPr="00E141F1">
        <w:rPr>
          <w:rFonts w:cs="Arial"/>
        </w:rPr>
        <w:t>For the second consecutive year there were no complaints or investigations about industry compliance with the 2011 Anti-terrorism Standards.</w:t>
      </w:r>
    </w:p>
    <w:p w:rsidR="001E6FB8" w:rsidRPr="00E141F1" w:rsidRDefault="001E6FB8" w:rsidP="001E6FB8">
      <w:pPr>
        <w:rPr>
          <w:rFonts w:cs="Arial"/>
          <w:highlight w:val="yellow"/>
        </w:rPr>
      </w:pPr>
    </w:p>
    <w:p w:rsidR="001E6FB8" w:rsidRPr="00E141F1" w:rsidRDefault="001E6FB8" w:rsidP="001E6FB8">
      <w:pPr>
        <w:pStyle w:val="Heading2"/>
      </w:pPr>
      <w:bookmarkStart w:id="548" w:name="_Toc308517294"/>
      <w:bookmarkStart w:id="549" w:name="_Toc308523734"/>
      <w:bookmarkStart w:id="550" w:name="_Toc312157250"/>
      <w:bookmarkStart w:id="551" w:name="_Toc371589105"/>
      <w:bookmarkStart w:id="552" w:name="_Toc373149167"/>
      <w:r w:rsidRPr="00E141F1">
        <w:t>Commercial radio standards</w:t>
      </w:r>
      <w:bookmarkEnd w:id="547"/>
      <w:bookmarkEnd w:id="548"/>
      <w:bookmarkEnd w:id="549"/>
      <w:bookmarkEnd w:id="550"/>
      <w:bookmarkEnd w:id="551"/>
      <w:bookmarkEnd w:id="552"/>
    </w:p>
    <w:p w:rsidR="001E6FB8" w:rsidRPr="00E141F1" w:rsidRDefault="001E6FB8" w:rsidP="001E6FB8">
      <w:pPr>
        <w:rPr>
          <w:rFonts w:cs="Arial"/>
        </w:rPr>
      </w:pPr>
      <w:r w:rsidRPr="00E141F1">
        <w:rPr>
          <w:rFonts w:cs="Arial"/>
        </w:rPr>
        <w:t>During the reporting period, the ACMA conducted eight investigations into alleged breaches of commercial radio standards.</w:t>
      </w:r>
    </w:p>
    <w:p w:rsidR="001E6FB8" w:rsidRPr="00E141F1" w:rsidRDefault="001E6FB8" w:rsidP="001E6FB8">
      <w:pPr>
        <w:rPr>
          <w:rFonts w:cs="Arial"/>
          <w:b/>
        </w:rPr>
      </w:pPr>
    </w:p>
    <w:p w:rsidR="001E6FB8" w:rsidRPr="00E141F1" w:rsidRDefault="001E6FB8" w:rsidP="001E6FB8">
      <w:pPr>
        <w:pStyle w:val="Heading3"/>
      </w:pPr>
      <w:bookmarkStart w:id="553" w:name="_Toc371589106"/>
      <w:bookmarkStart w:id="554" w:name="_Toc373149168"/>
      <w:r w:rsidRPr="00E141F1">
        <w:t>Advertising</w:t>
      </w:r>
      <w:bookmarkEnd w:id="553"/>
      <w:bookmarkEnd w:id="554"/>
    </w:p>
    <w:p w:rsidR="001E6FB8" w:rsidRPr="00E141F1" w:rsidRDefault="001E6FB8" w:rsidP="001E6FB8">
      <w:pPr>
        <w:rPr>
          <w:rFonts w:cs="Arial"/>
        </w:rPr>
      </w:pPr>
      <w:r w:rsidRPr="00E141F1">
        <w:rPr>
          <w:rFonts w:cs="Arial"/>
        </w:rPr>
        <w:t xml:space="preserve">Four investigations concerned both the Broadcasting Services (Commercial Radio Advertising) Standard 2012 and clause 3.1(a) of the Commercial Radio Australia Codes of Practice and Guidelines 2011 (the Code). Clause 3.1(a) requires that advertisements must not be presented as news or other program material. All four investigations related to using the song </w:t>
      </w:r>
      <w:r w:rsidRPr="00E141F1">
        <w:rPr>
          <w:rFonts w:cs="Arial"/>
          <w:i/>
        </w:rPr>
        <w:t xml:space="preserve">Down </w:t>
      </w:r>
      <w:proofErr w:type="spellStart"/>
      <w:r w:rsidRPr="00E141F1">
        <w:rPr>
          <w:rFonts w:cs="Arial"/>
          <w:i/>
        </w:rPr>
        <w:t>Down</w:t>
      </w:r>
      <w:proofErr w:type="spellEnd"/>
      <w:r w:rsidRPr="00E141F1">
        <w:rPr>
          <w:rFonts w:cs="Arial"/>
        </w:rPr>
        <w:t xml:space="preserve"> by Status Quo in a radio advertising campaign. One investigation resulted in a breach finding against Southern State Broadcasters Pty Ltd (the licensee of commercial radio station 5DN) as the material, broadcast on 11 July 2012, was not distinguishable as an advertisement and was presented as a classic hits song rather than an advertisement. Three investigations resulted in no breach findings against ARN Communications Pty Ltd (the licensee of commercial radio stations 2UUS, 3KKZ and 4KQ) of both the licence condition and clause 3.1(a) of the Code in relation to their broadcasts on 11 July 2012.</w:t>
      </w:r>
    </w:p>
    <w:p w:rsidR="001E6FB8" w:rsidRPr="00E141F1" w:rsidRDefault="001E6FB8" w:rsidP="001E6FB8">
      <w:pPr>
        <w:rPr>
          <w:rFonts w:cs="Arial"/>
        </w:rPr>
      </w:pPr>
    </w:p>
    <w:p w:rsidR="001E6FB8" w:rsidRPr="00E141F1" w:rsidRDefault="001E6FB8" w:rsidP="001E6FB8">
      <w:pPr>
        <w:pStyle w:val="Heading3"/>
      </w:pPr>
      <w:bookmarkStart w:id="555" w:name="_Toc371589107"/>
      <w:bookmarkStart w:id="556" w:name="_Toc373149169"/>
      <w:r w:rsidRPr="00E141F1">
        <w:t>Disclosure</w:t>
      </w:r>
      <w:bookmarkEnd w:id="555"/>
      <w:bookmarkEnd w:id="556"/>
    </w:p>
    <w:p w:rsidR="001E6FB8" w:rsidRPr="00E141F1" w:rsidRDefault="001E6FB8" w:rsidP="001E6FB8">
      <w:pPr>
        <w:rPr>
          <w:rFonts w:cs="Arial"/>
        </w:rPr>
      </w:pPr>
      <w:r w:rsidRPr="00E141F1">
        <w:rPr>
          <w:rFonts w:cs="Arial"/>
        </w:rPr>
        <w:t xml:space="preserve">One investigation under the Broadcasting Services (Commercial Radio Advertising Standard) 2012 found that Great Southern Land Broadcasters Pty Ltd (the licensee of commercial radio station Sea FM) did not breach the standard during the broadcast of </w:t>
      </w:r>
      <w:r w:rsidRPr="00E141F1">
        <w:rPr>
          <w:rFonts w:cs="Arial"/>
          <w:i/>
        </w:rPr>
        <w:t>Sea FM Breakfast with Nick &amp; Woody</w:t>
      </w:r>
      <w:r w:rsidRPr="00E141F1">
        <w:rPr>
          <w:rFonts w:cs="Arial"/>
        </w:rPr>
        <w:t xml:space="preserve"> program on 23 January 2013.</w:t>
      </w:r>
    </w:p>
    <w:p w:rsidR="001E6FB8" w:rsidRPr="00E141F1" w:rsidRDefault="001E6FB8" w:rsidP="001E6FB8">
      <w:pPr>
        <w:rPr>
          <w:rFonts w:cs="Arial"/>
        </w:rPr>
      </w:pPr>
    </w:p>
    <w:p w:rsidR="001E6FB8" w:rsidRPr="00B520F3" w:rsidRDefault="001E6FB8" w:rsidP="001E6FB8">
      <w:pPr>
        <w:rPr>
          <w:rFonts w:cs="Arial"/>
        </w:rPr>
      </w:pPr>
      <w:r w:rsidRPr="00E141F1">
        <w:rPr>
          <w:rFonts w:cs="Arial"/>
        </w:rPr>
        <w:t xml:space="preserve">The ACMA conducted three investigations under both the Broadcasting Services (Commercial Radio Advertising) Standard 2012 and the Broadcasting Services (Commercial Radio Current Affairs Disclosure) Standard 2012. The programs investigated were, </w:t>
      </w:r>
      <w:r w:rsidRPr="00E141F1">
        <w:rPr>
          <w:rFonts w:cs="Arial"/>
          <w:i/>
        </w:rPr>
        <w:t>The Alan Jones Breakfast Show</w:t>
      </w:r>
      <w:r w:rsidRPr="00E141F1">
        <w:rPr>
          <w:rFonts w:cs="Arial"/>
        </w:rPr>
        <w:t xml:space="preserve"> and </w:t>
      </w:r>
      <w:r w:rsidRPr="00E141F1">
        <w:rPr>
          <w:rFonts w:cs="Arial"/>
          <w:i/>
        </w:rPr>
        <w:t>The Ray Hadley Morning Show</w:t>
      </w:r>
      <w:r w:rsidRPr="00E141F1">
        <w:rPr>
          <w:rFonts w:cs="Arial"/>
        </w:rPr>
        <w:t xml:space="preserve"> broadcast by Harbour Radio Pty Limited (the licensee of commercial radio station 2GB) on 6 December 2012 and 20 February 2013 respectively, and </w:t>
      </w:r>
      <w:r w:rsidRPr="00E141F1">
        <w:rPr>
          <w:rFonts w:cs="Arial"/>
          <w:i/>
        </w:rPr>
        <w:t xml:space="preserve">The John </w:t>
      </w:r>
      <w:proofErr w:type="spellStart"/>
      <w:r w:rsidRPr="00E141F1">
        <w:rPr>
          <w:rFonts w:cs="Arial"/>
          <w:i/>
        </w:rPr>
        <w:t>MacKenzie</w:t>
      </w:r>
      <w:proofErr w:type="spellEnd"/>
      <w:r w:rsidRPr="00E141F1">
        <w:rPr>
          <w:rFonts w:cs="Arial"/>
          <w:i/>
        </w:rPr>
        <w:t xml:space="preserve"> Morning Show</w:t>
      </w:r>
      <w:r w:rsidRPr="00E141F1">
        <w:rPr>
          <w:rFonts w:cs="Arial"/>
        </w:rPr>
        <w:t xml:space="preserve"> broadcast by Prime Radio (Cairns-AM) Pty Limited (the licensee of commercial radio station 4EL) in relation to its broadcast on 19 February 2013. All three investigations resulted in no breach findings.</w:t>
      </w:r>
    </w:p>
    <w:p w:rsidR="001E6FB8" w:rsidRPr="00E141F1" w:rsidRDefault="001E6FB8" w:rsidP="001E6FB8">
      <w:pPr>
        <w:rPr>
          <w:rFonts w:cs="Arial"/>
          <w:highlight w:val="yellow"/>
        </w:rPr>
      </w:pPr>
    </w:p>
    <w:p w:rsidR="001E6FB8" w:rsidRPr="00E141F1" w:rsidRDefault="001E6FB8" w:rsidP="001E6FB8">
      <w:pPr>
        <w:pStyle w:val="Heading2"/>
      </w:pPr>
      <w:bookmarkStart w:id="557" w:name="_Toc371589108"/>
      <w:bookmarkStart w:id="558" w:name="_Toc373149170"/>
      <w:r w:rsidRPr="00E141F1">
        <w:t>Digital broadcasting</w:t>
      </w:r>
      <w:bookmarkEnd w:id="557"/>
      <w:bookmarkEnd w:id="558"/>
    </w:p>
    <w:p w:rsidR="001E6FB8" w:rsidRPr="00E141F1" w:rsidRDefault="001E6FB8" w:rsidP="001E6FB8">
      <w:pPr>
        <w:rPr>
          <w:rFonts w:cs="Arial"/>
        </w:rPr>
      </w:pPr>
      <w:bookmarkStart w:id="559" w:name="_Toc287540293"/>
      <w:r w:rsidRPr="00E141F1">
        <w:rPr>
          <w:rFonts w:cs="Arial"/>
        </w:rPr>
        <w:t xml:space="preserve">Digitalisation of Australian broadcasting services includes the phased transition of terrestrial television services from </w:t>
      </w:r>
      <w:proofErr w:type="spellStart"/>
      <w:r w:rsidRPr="00E141F1">
        <w:rPr>
          <w:rFonts w:cs="Arial"/>
        </w:rPr>
        <w:t>analog</w:t>
      </w:r>
      <w:proofErr w:type="spellEnd"/>
      <w:r w:rsidRPr="00E141F1">
        <w:rPr>
          <w:rFonts w:cs="Arial"/>
        </w:rPr>
        <w:t xml:space="preserve"> to digital services in the period June 2010 to December 2013 and the introduction of digital radio services.</w:t>
      </w:r>
    </w:p>
    <w:bookmarkEnd w:id="559"/>
    <w:p w:rsidR="001E6FB8" w:rsidRPr="00E141F1" w:rsidRDefault="001E6FB8" w:rsidP="001E6FB8">
      <w:pPr>
        <w:rPr>
          <w:rFonts w:cs="Arial"/>
          <w:highlight w:val="yellow"/>
        </w:rPr>
      </w:pPr>
    </w:p>
    <w:p w:rsidR="001E6FB8" w:rsidRPr="00E141F1" w:rsidRDefault="001E6FB8" w:rsidP="001E6FB8">
      <w:pPr>
        <w:pStyle w:val="Heading3"/>
      </w:pPr>
      <w:bookmarkStart w:id="560" w:name="_Toc308517299"/>
      <w:bookmarkStart w:id="561" w:name="_Toc308523739"/>
      <w:bookmarkStart w:id="562" w:name="_Toc312157255"/>
      <w:bookmarkStart w:id="563" w:name="_Toc371589109"/>
      <w:bookmarkStart w:id="564" w:name="_Toc373149171"/>
      <w:r w:rsidRPr="00E141F1">
        <w:t>Digital television</w:t>
      </w:r>
      <w:bookmarkEnd w:id="560"/>
      <w:bookmarkEnd w:id="561"/>
      <w:bookmarkEnd w:id="562"/>
      <w:bookmarkEnd w:id="563"/>
      <w:bookmarkEnd w:id="564"/>
    </w:p>
    <w:p w:rsidR="001E6FB8" w:rsidRPr="00E141F1" w:rsidRDefault="001E6FB8" w:rsidP="001E6FB8">
      <w:pPr>
        <w:rPr>
          <w:rFonts w:cs="Arial"/>
        </w:rPr>
      </w:pPr>
      <w:r w:rsidRPr="00E141F1">
        <w:rPr>
          <w:rFonts w:cs="Arial"/>
        </w:rPr>
        <w:t xml:space="preserve">Since the initial switching-off of </w:t>
      </w:r>
      <w:proofErr w:type="spellStart"/>
      <w:r w:rsidRPr="00E141F1">
        <w:rPr>
          <w:rFonts w:cs="Arial"/>
        </w:rPr>
        <w:t>analog</w:t>
      </w:r>
      <w:proofErr w:type="spellEnd"/>
      <w:r w:rsidRPr="00E141F1">
        <w:rPr>
          <w:rFonts w:cs="Arial"/>
        </w:rPr>
        <w:t xml:space="preserve"> services in the Mildura and </w:t>
      </w:r>
      <w:proofErr w:type="spellStart"/>
      <w:r w:rsidRPr="00E141F1">
        <w:rPr>
          <w:rFonts w:cs="Arial"/>
        </w:rPr>
        <w:t>Sunraysia</w:t>
      </w:r>
      <w:proofErr w:type="spellEnd"/>
      <w:r w:rsidRPr="00E141F1">
        <w:rPr>
          <w:rFonts w:cs="Arial"/>
        </w:rPr>
        <w:t xml:space="preserve"> licence area in Victoria on 30 June 2010, switchover has continued across most of Australia. During the 2012–13 reporting period, the following areas switched over from </w:t>
      </w:r>
      <w:proofErr w:type="spellStart"/>
      <w:r w:rsidRPr="00E141F1">
        <w:rPr>
          <w:rFonts w:cs="Arial"/>
        </w:rPr>
        <w:t>analog</w:t>
      </w:r>
      <w:proofErr w:type="spellEnd"/>
      <w:r w:rsidRPr="00E141F1">
        <w:rPr>
          <w:rFonts w:cs="Arial"/>
        </w:rPr>
        <w:t xml:space="preserve"> to digital </w:t>
      </w:r>
      <w:r w:rsidRPr="0023753D">
        <w:rPr>
          <w:rFonts w:cs="Arial"/>
        </w:rPr>
        <w:t>television (Table 4.4)</w:t>
      </w:r>
      <w:r>
        <w:rPr>
          <w:rFonts w:cs="Arial"/>
        </w:rPr>
        <w:t>.</w:t>
      </w:r>
    </w:p>
    <w:p w:rsidR="001E6FB8" w:rsidRPr="00E141F1" w:rsidRDefault="001E6FB8" w:rsidP="001E6FB8">
      <w:pPr>
        <w:rPr>
          <w:rFonts w:cs="Arial"/>
        </w:rPr>
      </w:pPr>
    </w:p>
    <w:tbl>
      <w:tblPr>
        <w:tblStyle w:val="TableGrid"/>
        <w:tblW w:w="9214" w:type="dxa"/>
        <w:tblInd w:w="108" w:type="dxa"/>
        <w:tblLook w:val="04A0"/>
      </w:tblPr>
      <w:tblGrid>
        <w:gridCol w:w="5103"/>
        <w:gridCol w:w="4111"/>
      </w:tblGrid>
      <w:tr w:rsidR="001E6FB8" w:rsidRPr="00E141F1" w:rsidTr="001E6FB8">
        <w:trPr>
          <w:trHeight w:val="495"/>
        </w:trPr>
        <w:tc>
          <w:tcPr>
            <w:tcW w:w="9214" w:type="dxa"/>
            <w:gridSpan w:val="2"/>
            <w:tcBorders>
              <w:top w:val="single" w:sz="4" w:space="0" w:color="auto"/>
              <w:left w:val="nil"/>
              <w:bottom w:val="nil"/>
              <w:right w:val="nil"/>
            </w:tcBorders>
            <w:vAlign w:val="center"/>
          </w:tcPr>
          <w:p w:rsidR="001E6FB8" w:rsidRPr="00E141F1" w:rsidRDefault="001E6FB8" w:rsidP="001E6FB8">
            <w:pPr>
              <w:rPr>
                <w:rFonts w:cs="Arial"/>
              </w:rPr>
            </w:pPr>
            <w:r w:rsidRPr="00E141F1">
              <w:rPr>
                <w:rFonts w:cs="Arial"/>
                <w:b/>
                <w:bCs/>
                <w:color w:val="808285"/>
                <w:szCs w:val="20"/>
              </w:rPr>
              <w:t>Table</w:t>
            </w:r>
            <w:r>
              <w:rPr>
                <w:rFonts w:cs="Arial"/>
                <w:b/>
                <w:bCs/>
                <w:color w:val="808285"/>
                <w:szCs w:val="20"/>
              </w:rPr>
              <w:t xml:space="preserve"> 4.4 Switchover dates in 2012–</w:t>
            </w:r>
            <w:r w:rsidRPr="00E141F1">
              <w:rPr>
                <w:rFonts w:cs="Arial"/>
                <w:b/>
                <w:bCs/>
                <w:color w:val="808285"/>
                <w:szCs w:val="20"/>
              </w:rPr>
              <w:t>13</w:t>
            </w:r>
          </w:p>
        </w:tc>
      </w:tr>
      <w:tr w:rsidR="001E6FB8" w:rsidRPr="00E141F1" w:rsidTr="001E6FB8">
        <w:tc>
          <w:tcPr>
            <w:tcW w:w="5103" w:type="dxa"/>
            <w:tcBorders>
              <w:top w:val="nil"/>
              <w:left w:val="nil"/>
              <w:bottom w:val="nil"/>
              <w:right w:val="nil"/>
            </w:tcBorders>
            <w:shd w:val="clear" w:color="auto" w:fill="00709E"/>
          </w:tcPr>
          <w:p w:rsidR="001E6FB8" w:rsidRPr="00E141F1" w:rsidRDefault="001E6FB8" w:rsidP="001E6FB8">
            <w:pPr>
              <w:rPr>
                <w:rFonts w:cs="Arial"/>
                <w:b/>
                <w:color w:val="FFFFFF" w:themeColor="background1"/>
                <w:sz w:val="18"/>
                <w:szCs w:val="18"/>
              </w:rPr>
            </w:pPr>
            <w:r w:rsidRPr="00E141F1">
              <w:rPr>
                <w:rFonts w:cs="Arial"/>
                <w:b/>
                <w:color w:val="FFFFFF" w:themeColor="background1"/>
                <w:sz w:val="18"/>
                <w:szCs w:val="18"/>
              </w:rPr>
              <w:t>Switchover area</w:t>
            </w:r>
          </w:p>
        </w:tc>
        <w:tc>
          <w:tcPr>
            <w:tcW w:w="4111" w:type="dxa"/>
            <w:tcBorders>
              <w:top w:val="nil"/>
              <w:left w:val="nil"/>
              <w:bottom w:val="nil"/>
              <w:right w:val="nil"/>
            </w:tcBorders>
            <w:shd w:val="clear" w:color="auto" w:fill="00709E"/>
          </w:tcPr>
          <w:p w:rsidR="001E6FB8" w:rsidRPr="00E141F1" w:rsidRDefault="001E6FB8" w:rsidP="001E6FB8">
            <w:pPr>
              <w:ind w:right="92"/>
              <w:jc w:val="right"/>
              <w:rPr>
                <w:rFonts w:cs="Arial"/>
                <w:b/>
                <w:color w:val="FFFFFF" w:themeColor="background1"/>
                <w:sz w:val="18"/>
                <w:szCs w:val="18"/>
              </w:rPr>
            </w:pPr>
            <w:r w:rsidRPr="00E141F1">
              <w:rPr>
                <w:rFonts w:cs="Arial"/>
                <w:b/>
                <w:color w:val="FFFFFF" w:themeColor="background1"/>
                <w:sz w:val="18"/>
                <w:szCs w:val="18"/>
              </w:rPr>
              <w:t>Switchover date</w:t>
            </w:r>
          </w:p>
        </w:tc>
      </w:tr>
      <w:tr w:rsidR="001E6FB8" w:rsidRPr="00E141F1" w:rsidTr="001E6FB8">
        <w:tc>
          <w:tcPr>
            <w:tcW w:w="5103" w:type="dxa"/>
            <w:tcBorders>
              <w:top w:val="nil"/>
              <w:left w:val="nil"/>
              <w:bottom w:val="single" w:sz="4" w:space="0" w:color="BFBFBF" w:themeColor="background1" w:themeShade="BF"/>
              <w:right w:val="nil"/>
            </w:tcBorders>
          </w:tcPr>
          <w:p w:rsidR="001E6FB8" w:rsidRPr="00E141F1" w:rsidRDefault="001E6FB8" w:rsidP="001E6FB8">
            <w:pPr>
              <w:rPr>
                <w:rFonts w:cs="Arial"/>
                <w:sz w:val="18"/>
                <w:szCs w:val="18"/>
              </w:rPr>
            </w:pPr>
            <w:r w:rsidRPr="00E141F1">
              <w:rPr>
                <w:rFonts w:cs="Arial"/>
                <w:sz w:val="18"/>
                <w:szCs w:val="18"/>
              </w:rPr>
              <w:t>Northern New South Wales</w:t>
            </w:r>
          </w:p>
        </w:tc>
        <w:tc>
          <w:tcPr>
            <w:tcW w:w="4111" w:type="dxa"/>
            <w:tcBorders>
              <w:top w:val="nil"/>
              <w:left w:val="nil"/>
              <w:bottom w:val="single" w:sz="4" w:space="0" w:color="BFBFBF" w:themeColor="background1" w:themeShade="BF"/>
              <w:right w:val="nil"/>
            </w:tcBorders>
          </w:tcPr>
          <w:p w:rsidR="001E6FB8" w:rsidRPr="00E141F1" w:rsidRDefault="001E6FB8" w:rsidP="001E6FB8">
            <w:pPr>
              <w:ind w:right="92"/>
              <w:jc w:val="right"/>
              <w:rPr>
                <w:rFonts w:cs="Arial"/>
                <w:sz w:val="18"/>
                <w:szCs w:val="18"/>
              </w:rPr>
            </w:pPr>
            <w:r w:rsidRPr="00E141F1">
              <w:rPr>
                <w:rFonts w:cs="Arial"/>
                <w:sz w:val="18"/>
                <w:szCs w:val="18"/>
              </w:rPr>
              <w:t>27 November 2012</w:t>
            </w:r>
          </w:p>
        </w:tc>
      </w:tr>
      <w:tr w:rsidR="001E6FB8" w:rsidRPr="00E141F1" w:rsidTr="001E6FB8">
        <w:tc>
          <w:tcPr>
            <w:tcW w:w="5103" w:type="dxa"/>
            <w:tcBorders>
              <w:top w:val="single" w:sz="4" w:space="0" w:color="BFBFBF" w:themeColor="background1" w:themeShade="BF"/>
              <w:left w:val="nil"/>
              <w:bottom w:val="single" w:sz="4" w:space="0" w:color="BFBFBF" w:themeColor="background1" w:themeShade="BF"/>
              <w:right w:val="nil"/>
            </w:tcBorders>
          </w:tcPr>
          <w:p w:rsidR="001E6FB8" w:rsidRPr="00E141F1" w:rsidRDefault="001E6FB8" w:rsidP="001E6FB8">
            <w:pPr>
              <w:rPr>
                <w:rFonts w:cs="Arial"/>
                <w:sz w:val="18"/>
                <w:szCs w:val="18"/>
              </w:rPr>
            </w:pPr>
            <w:r w:rsidRPr="00E141F1">
              <w:rPr>
                <w:rFonts w:cs="Arial"/>
                <w:sz w:val="18"/>
                <w:szCs w:val="18"/>
              </w:rPr>
              <w:t>Adelaide</w:t>
            </w:r>
          </w:p>
        </w:tc>
        <w:tc>
          <w:tcPr>
            <w:tcW w:w="4111" w:type="dxa"/>
            <w:tcBorders>
              <w:top w:val="single" w:sz="4" w:space="0" w:color="BFBFBF" w:themeColor="background1" w:themeShade="BF"/>
              <w:left w:val="nil"/>
              <w:bottom w:val="single" w:sz="4" w:space="0" w:color="BFBFBF" w:themeColor="background1" w:themeShade="BF"/>
              <w:right w:val="nil"/>
            </w:tcBorders>
          </w:tcPr>
          <w:p w:rsidR="001E6FB8" w:rsidRPr="00E141F1" w:rsidRDefault="001E6FB8" w:rsidP="001E6FB8">
            <w:pPr>
              <w:ind w:right="92"/>
              <w:jc w:val="right"/>
              <w:rPr>
                <w:rFonts w:cs="Arial"/>
                <w:sz w:val="18"/>
                <w:szCs w:val="18"/>
              </w:rPr>
            </w:pPr>
            <w:r w:rsidRPr="00E141F1">
              <w:rPr>
                <w:rFonts w:cs="Arial"/>
                <w:sz w:val="18"/>
                <w:szCs w:val="18"/>
              </w:rPr>
              <w:t>2 April 2013</w:t>
            </w:r>
          </w:p>
        </w:tc>
      </w:tr>
      <w:tr w:rsidR="001E6FB8" w:rsidRPr="00E141F1" w:rsidTr="001E6FB8">
        <w:tc>
          <w:tcPr>
            <w:tcW w:w="5103" w:type="dxa"/>
            <w:tcBorders>
              <w:top w:val="single" w:sz="4" w:space="0" w:color="BFBFBF" w:themeColor="background1" w:themeShade="BF"/>
              <w:left w:val="nil"/>
              <w:bottom w:val="single" w:sz="4" w:space="0" w:color="BFBFBF" w:themeColor="background1" w:themeShade="BF"/>
              <w:right w:val="nil"/>
            </w:tcBorders>
          </w:tcPr>
          <w:p w:rsidR="001E6FB8" w:rsidRPr="00E141F1" w:rsidRDefault="001E6FB8" w:rsidP="001E6FB8">
            <w:pPr>
              <w:rPr>
                <w:rFonts w:cs="Arial"/>
                <w:sz w:val="18"/>
                <w:szCs w:val="18"/>
              </w:rPr>
            </w:pPr>
            <w:r w:rsidRPr="00E141F1">
              <w:rPr>
                <w:rFonts w:cs="Arial"/>
                <w:sz w:val="18"/>
                <w:szCs w:val="18"/>
              </w:rPr>
              <w:t>Tasmania</w:t>
            </w:r>
          </w:p>
        </w:tc>
        <w:tc>
          <w:tcPr>
            <w:tcW w:w="4111" w:type="dxa"/>
            <w:tcBorders>
              <w:top w:val="single" w:sz="4" w:space="0" w:color="BFBFBF" w:themeColor="background1" w:themeShade="BF"/>
              <w:left w:val="nil"/>
              <w:bottom w:val="single" w:sz="4" w:space="0" w:color="BFBFBF" w:themeColor="background1" w:themeShade="BF"/>
              <w:right w:val="nil"/>
            </w:tcBorders>
          </w:tcPr>
          <w:p w:rsidR="001E6FB8" w:rsidRPr="00E141F1" w:rsidRDefault="001E6FB8" w:rsidP="001E6FB8">
            <w:pPr>
              <w:ind w:right="92"/>
              <w:jc w:val="right"/>
              <w:rPr>
                <w:rFonts w:cs="Arial"/>
                <w:sz w:val="18"/>
                <w:szCs w:val="18"/>
              </w:rPr>
            </w:pPr>
            <w:r w:rsidRPr="00E141F1">
              <w:rPr>
                <w:rFonts w:cs="Arial"/>
                <w:sz w:val="18"/>
                <w:szCs w:val="18"/>
              </w:rPr>
              <w:t>9 April 2013</w:t>
            </w:r>
          </w:p>
        </w:tc>
      </w:tr>
      <w:tr w:rsidR="001E6FB8" w:rsidRPr="00E141F1" w:rsidTr="001E6FB8">
        <w:tc>
          <w:tcPr>
            <w:tcW w:w="5103" w:type="dxa"/>
            <w:tcBorders>
              <w:top w:val="nil"/>
              <w:left w:val="nil"/>
              <w:bottom w:val="single" w:sz="4" w:space="0" w:color="BFBFBF" w:themeColor="background1" w:themeShade="BF"/>
              <w:right w:val="nil"/>
            </w:tcBorders>
          </w:tcPr>
          <w:p w:rsidR="001E6FB8" w:rsidRPr="00E141F1" w:rsidRDefault="001E6FB8" w:rsidP="001E6FB8">
            <w:pPr>
              <w:rPr>
                <w:rFonts w:cs="Arial"/>
                <w:sz w:val="18"/>
                <w:szCs w:val="18"/>
              </w:rPr>
            </w:pPr>
            <w:r w:rsidRPr="00E141F1">
              <w:rPr>
                <w:rFonts w:cs="Arial"/>
                <w:sz w:val="18"/>
                <w:szCs w:val="18"/>
              </w:rPr>
              <w:t>Perth</w:t>
            </w:r>
          </w:p>
        </w:tc>
        <w:tc>
          <w:tcPr>
            <w:tcW w:w="4111" w:type="dxa"/>
            <w:tcBorders>
              <w:top w:val="nil"/>
              <w:left w:val="nil"/>
              <w:bottom w:val="single" w:sz="4" w:space="0" w:color="BFBFBF" w:themeColor="background1" w:themeShade="BF"/>
              <w:right w:val="nil"/>
            </w:tcBorders>
          </w:tcPr>
          <w:p w:rsidR="001E6FB8" w:rsidRPr="00E141F1" w:rsidRDefault="001E6FB8" w:rsidP="001E6FB8">
            <w:pPr>
              <w:ind w:right="92"/>
              <w:jc w:val="right"/>
              <w:rPr>
                <w:rFonts w:cs="Arial"/>
                <w:sz w:val="18"/>
                <w:szCs w:val="18"/>
              </w:rPr>
            </w:pPr>
            <w:r w:rsidRPr="00E141F1">
              <w:rPr>
                <w:rFonts w:cs="Arial"/>
                <w:sz w:val="18"/>
                <w:szCs w:val="18"/>
              </w:rPr>
              <w:t>16 April 2013</w:t>
            </w:r>
          </w:p>
        </w:tc>
      </w:tr>
      <w:tr w:rsidR="001E6FB8" w:rsidRPr="00E141F1" w:rsidTr="001E6FB8">
        <w:tc>
          <w:tcPr>
            <w:tcW w:w="5103" w:type="dxa"/>
            <w:tcBorders>
              <w:top w:val="single" w:sz="4" w:space="0" w:color="BFBFBF" w:themeColor="background1" w:themeShade="BF"/>
              <w:left w:val="nil"/>
              <w:bottom w:val="single" w:sz="4" w:space="0" w:color="BFBFBF" w:themeColor="background1" w:themeShade="BF"/>
              <w:right w:val="nil"/>
            </w:tcBorders>
          </w:tcPr>
          <w:p w:rsidR="001E6FB8" w:rsidRPr="00E141F1" w:rsidRDefault="001E6FB8" w:rsidP="001E6FB8">
            <w:pPr>
              <w:rPr>
                <w:rFonts w:cs="Arial"/>
                <w:sz w:val="18"/>
                <w:szCs w:val="18"/>
              </w:rPr>
            </w:pPr>
            <w:r w:rsidRPr="00E141F1">
              <w:rPr>
                <w:rFonts w:cs="Arial"/>
                <w:sz w:val="18"/>
                <w:szCs w:val="18"/>
              </w:rPr>
              <w:t>Brisbane (includes Sunshine Coast and Gold Coast)</w:t>
            </w:r>
          </w:p>
        </w:tc>
        <w:tc>
          <w:tcPr>
            <w:tcW w:w="4111" w:type="dxa"/>
            <w:tcBorders>
              <w:top w:val="single" w:sz="4" w:space="0" w:color="BFBFBF" w:themeColor="background1" w:themeShade="BF"/>
              <w:left w:val="nil"/>
              <w:bottom w:val="single" w:sz="4" w:space="0" w:color="BFBFBF" w:themeColor="background1" w:themeShade="BF"/>
              <w:right w:val="nil"/>
            </w:tcBorders>
          </w:tcPr>
          <w:p w:rsidR="001E6FB8" w:rsidRPr="00E141F1" w:rsidRDefault="001E6FB8" w:rsidP="001E6FB8">
            <w:pPr>
              <w:ind w:right="92"/>
              <w:jc w:val="right"/>
              <w:rPr>
                <w:rFonts w:cs="Arial"/>
                <w:sz w:val="18"/>
                <w:szCs w:val="18"/>
              </w:rPr>
            </w:pPr>
            <w:r w:rsidRPr="00E141F1">
              <w:rPr>
                <w:rFonts w:cs="Arial"/>
                <w:sz w:val="18"/>
                <w:szCs w:val="18"/>
              </w:rPr>
              <w:t>28 May 2013</w:t>
            </w:r>
          </w:p>
        </w:tc>
      </w:tr>
      <w:tr w:rsidR="001E6FB8" w:rsidRPr="00E141F1" w:rsidTr="001E6FB8">
        <w:tc>
          <w:tcPr>
            <w:tcW w:w="5103" w:type="dxa"/>
            <w:tcBorders>
              <w:top w:val="single" w:sz="4" w:space="0" w:color="BFBFBF" w:themeColor="background1" w:themeShade="BF"/>
              <w:left w:val="nil"/>
              <w:bottom w:val="single" w:sz="4" w:space="0" w:color="BFBFBF" w:themeColor="background1" w:themeShade="BF"/>
              <w:right w:val="nil"/>
            </w:tcBorders>
          </w:tcPr>
          <w:p w:rsidR="001E6FB8" w:rsidRPr="00E141F1" w:rsidRDefault="001E6FB8" w:rsidP="001E6FB8">
            <w:pPr>
              <w:rPr>
                <w:rFonts w:cs="Arial"/>
                <w:sz w:val="18"/>
                <w:szCs w:val="18"/>
              </w:rPr>
            </w:pPr>
            <w:r w:rsidRPr="00E141F1">
              <w:rPr>
                <w:rFonts w:cs="Arial"/>
                <w:sz w:val="18"/>
                <w:szCs w:val="18"/>
              </w:rPr>
              <w:t>Remote and Regional Western Australia</w:t>
            </w:r>
          </w:p>
        </w:tc>
        <w:tc>
          <w:tcPr>
            <w:tcW w:w="4111" w:type="dxa"/>
            <w:tcBorders>
              <w:top w:val="single" w:sz="4" w:space="0" w:color="BFBFBF" w:themeColor="background1" w:themeShade="BF"/>
              <w:left w:val="nil"/>
              <w:bottom w:val="single" w:sz="4" w:space="0" w:color="BFBFBF" w:themeColor="background1" w:themeShade="BF"/>
              <w:right w:val="nil"/>
            </w:tcBorders>
          </w:tcPr>
          <w:p w:rsidR="001E6FB8" w:rsidRPr="00E141F1" w:rsidRDefault="001E6FB8" w:rsidP="001E6FB8">
            <w:pPr>
              <w:ind w:right="92"/>
              <w:jc w:val="right"/>
              <w:rPr>
                <w:rFonts w:cs="Arial"/>
                <w:sz w:val="18"/>
                <w:szCs w:val="18"/>
              </w:rPr>
            </w:pPr>
            <w:r w:rsidRPr="00E141F1">
              <w:rPr>
                <w:rFonts w:cs="Arial"/>
                <w:sz w:val="18"/>
                <w:szCs w:val="18"/>
              </w:rPr>
              <w:t>25 June 2013</w:t>
            </w:r>
          </w:p>
        </w:tc>
      </w:tr>
      <w:tr w:rsidR="001E6FB8" w:rsidRPr="00E141F1" w:rsidTr="001E6FB8">
        <w:tc>
          <w:tcPr>
            <w:tcW w:w="9214" w:type="dxa"/>
            <w:gridSpan w:val="2"/>
            <w:tcBorders>
              <w:top w:val="single" w:sz="4" w:space="0" w:color="BFBFBF" w:themeColor="background1" w:themeShade="BF"/>
              <w:left w:val="nil"/>
              <w:bottom w:val="single" w:sz="4" w:space="0" w:color="auto"/>
              <w:right w:val="nil"/>
            </w:tcBorders>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*The Remote and Regional Western Australia licence area overlaps with four smaller remote licence areas—Geraldton, Kalgoorlie, South West and Great Southern, and Western Zone.</w:t>
            </w:r>
          </w:p>
          <w:p w:rsidR="001E6FB8" w:rsidRPr="00E141F1" w:rsidRDefault="001E6FB8" w:rsidP="001E6FB8">
            <w:pPr>
              <w:keepNext/>
              <w:keepLines/>
              <w:spacing w:after="60" w:line="240" w:lineRule="auto"/>
              <w:rPr>
                <w:rFonts w:cs="Arial"/>
                <w:i/>
                <w:sz w:val="16"/>
                <w:szCs w:val="16"/>
              </w:rPr>
            </w:pPr>
            <w:r w:rsidRPr="00D065B6">
              <w:rPr>
                <w:rFonts w:cs="Arial"/>
                <w:i/>
                <w:sz w:val="16"/>
                <w:szCs w:val="16"/>
              </w:rPr>
              <w:t xml:space="preserve">Source: </w:t>
            </w:r>
            <w:r w:rsidRPr="00E141F1">
              <w:rPr>
                <w:rFonts w:cs="Arial"/>
                <w:i/>
                <w:sz w:val="16"/>
                <w:szCs w:val="16"/>
              </w:rPr>
              <w:t xml:space="preserve">The ACMA. </w:t>
            </w:r>
          </w:p>
        </w:tc>
      </w:tr>
    </w:tbl>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remaining areas switch-over in the second half of 2013—Darwin switched-over on 30 July, </w:t>
      </w:r>
      <w:r>
        <w:rPr>
          <w:rFonts w:cs="Arial"/>
        </w:rPr>
        <w:t xml:space="preserve">with </w:t>
      </w:r>
      <w:r w:rsidRPr="00E141F1">
        <w:rPr>
          <w:rFonts w:cs="Arial"/>
        </w:rPr>
        <w:t xml:space="preserve">Sydney (including Gosford) </w:t>
      </w:r>
      <w:r>
        <w:rPr>
          <w:rFonts w:cs="Arial"/>
        </w:rPr>
        <w:t xml:space="preserve">planned for </w:t>
      </w:r>
      <w:r w:rsidRPr="00E141F1">
        <w:rPr>
          <w:rFonts w:cs="Arial"/>
        </w:rPr>
        <w:t xml:space="preserve">3 December 2013, and Melbourne and Remote Central and Eastern Australia </w:t>
      </w:r>
      <w:r>
        <w:rPr>
          <w:rFonts w:cs="Arial"/>
        </w:rPr>
        <w:t xml:space="preserve">planned for </w:t>
      </w:r>
      <w:r w:rsidRPr="00E141F1">
        <w:rPr>
          <w:rFonts w:cs="Arial"/>
        </w:rPr>
        <w:t xml:space="preserve">10 December 2013.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Aside from these major areas, a number of towns may switch-over on dates earlier than those mentioned above. Details of the affected towns and the exact dates are published on the Digital Switchover Taskforce website, </w:t>
      </w:r>
      <w:hyperlink r:id="rId80" w:history="1">
        <w:r w:rsidR="00066EF0">
          <w:rPr>
            <w:rStyle w:val="Hyperlink"/>
            <w:rFonts w:cs="Arial"/>
          </w:rPr>
          <w:t>www.digitalready.gov.au</w:t>
        </w:r>
      </w:hyperlink>
      <w:r w:rsidRPr="00E141F1">
        <w:rPr>
          <w:rFonts w:cs="Arial"/>
        </w:rPr>
        <w:t>.</w:t>
      </w:r>
    </w:p>
    <w:p w:rsidR="001E6FB8" w:rsidRPr="00E141F1" w:rsidRDefault="001E6FB8" w:rsidP="001E6FB8">
      <w:pPr>
        <w:rPr>
          <w:rFonts w:cs="Arial"/>
        </w:rPr>
      </w:pPr>
    </w:p>
    <w:p w:rsidR="001E6FB8" w:rsidRPr="00E141F1" w:rsidRDefault="001E6FB8" w:rsidP="001E6FB8">
      <w:pPr>
        <w:spacing w:after="240"/>
        <w:rPr>
          <w:rFonts w:cs="Arial"/>
        </w:rPr>
      </w:pPr>
      <w:r w:rsidRPr="00E141F1">
        <w:rPr>
          <w:rFonts w:cs="Arial"/>
        </w:rPr>
        <w:t xml:space="preserve">Under the National Television Conversion Scheme 1999 and the Commercial Television Conversion Scheme 1999, national and commercial broadcasters are required, during a simulcast period, to transmit television programs in </w:t>
      </w:r>
      <w:proofErr w:type="spellStart"/>
      <w:r w:rsidRPr="00E141F1">
        <w:rPr>
          <w:rFonts w:cs="Arial"/>
        </w:rPr>
        <w:t>analog</w:t>
      </w:r>
      <w:proofErr w:type="spellEnd"/>
      <w:r w:rsidRPr="00E141F1">
        <w:rPr>
          <w:rFonts w:cs="Arial"/>
        </w:rPr>
        <w:t xml:space="preserve"> and digital modes.</w:t>
      </w:r>
      <w:r w:rsidRPr="00E141F1">
        <w:rPr>
          <w:rStyle w:val="EndnoteReference"/>
          <w:rFonts w:cs="Arial"/>
        </w:rPr>
        <w:endnoteReference w:id="44"/>
      </w:r>
      <w:r w:rsidRPr="00E141F1">
        <w:rPr>
          <w:rFonts w:cs="Arial"/>
        </w:rPr>
        <w:t xml:space="preserve"> All national and commercial metropolitan digital services required under the conversion schemes have been rolled out, and rollout of converting digital services in regional and remote areas is progressing (</w:t>
      </w:r>
      <w:r w:rsidRPr="00E141F1">
        <w:rPr>
          <w:rFonts w:cs="Arial"/>
          <w:bCs/>
          <w:lang w:val="en-US"/>
        </w:rPr>
        <w:t xml:space="preserve">Table 4.5). </w:t>
      </w:r>
      <w:r w:rsidRPr="00E141F1">
        <w:rPr>
          <w:rFonts w:cs="Arial"/>
        </w:rPr>
        <w:t xml:space="preserve">Completing the switchover will allow all free-to-air commercial and national broadcasters to cease </w:t>
      </w:r>
      <w:proofErr w:type="spellStart"/>
      <w:r w:rsidRPr="00E141F1">
        <w:rPr>
          <w:rFonts w:cs="Arial"/>
        </w:rPr>
        <w:t>analog</w:t>
      </w:r>
      <w:proofErr w:type="spellEnd"/>
      <w:r w:rsidRPr="00E141F1">
        <w:rPr>
          <w:rFonts w:cs="Arial"/>
        </w:rPr>
        <w:t xml:space="preserve"> television broadcasting by 10 December 2013.</w:t>
      </w:r>
    </w:p>
    <w:tbl>
      <w:tblPr>
        <w:tblStyle w:val="TableGrid"/>
        <w:tblW w:w="9214"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03"/>
        <w:gridCol w:w="2629"/>
        <w:gridCol w:w="4082"/>
      </w:tblGrid>
      <w:tr w:rsidR="001E6FB8" w:rsidRPr="00E141F1" w:rsidTr="001E6FB8">
        <w:trPr>
          <w:trHeight w:val="525"/>
        </w:trPr>
        <w:tc>
          <w:tcPr>
            <w:tcW w:w="9214" w:type="dxa"/>
            <w:gridSpan w:val="3"/>
            <w:tcBorders>
              <w:top w:val="single" w:sz="4" w:space="0" w:color="auto"/>
            </w:tcBorders>
            <w:vAlign w:val="center"/>
          </w:tcPr>
          <w:p w:rsidR="001E6FB8" w:rsidRPr="00E141F1" w:rsidRDefault="001E6FB8" w:rsidP="001E6FB8">
            <w:pPr>
              <w:rPr>
                <w:rFonts w:cs="Arial"/>
              </w:rPr>
            </w:pPr>
            <w:r w:rsidRPr="00E141F1">
              <w:rPr>
                <w:rFonts w:cs="Arial"/>
                <w:b/>
                <w:bCs/>
                <w:color w:val="808285"/>
                <w:szCs w:val="20"/>
              </w:rPr>
              <w:t>Table 4.5 Percentage of required digital television services rolled out (1 July 2013)</w:t>
            </w:r>
          </w:p>
        </w:tc>
      </w:tr>
      <w:tr w:rsidR="001E6FB8" w:rsidRPr="00E141F1" w:rsidTr="001E6FB8">
        <w:tc>
          <w:tcPr>
            <w:tcW w:w="2503" w:type="dxa"/>
            <w:shd w:val="clear" w:color="auto" w:fill="00709E"/>
          </w:tcPr>
          <w:p w:rsidR="001E6FB8" w:rsidRPr="00E141F1" w:rsidRDefault="001E6FB8" w:rsidP="001E6FB8">
            <w:pPr>
              <w:rPr>
                <w:rFonts w:cs="Arial"/>
                <w:sz w:val="18"/>
                <w:szCs w:val="18"/>
              </w:rPr>
            </w:pPr>
          </w:p>
        </w:tc>
        <w:tc>
          <w:tcPr>
            <w:tcW w:w="2629" w:type="dxa"/>
            <w:shd w:val="clear" w:color="auto" w:fill="00709E"/>
          </w:tcPr>
          <w:p w:rsidR="001E6FB8" w:rsidRPr="00E141F1" w:rsidRDefault="001E6FB8" w:rsidP="001E6FB8">
            <w:pPr>
              <w:ind w:right="92"/>
              <w:jc w:val="right"/>
              <w:rPr>
                <w:rFonts w:cs="Arial"/>
                <w:b/>
                <w:color w:val="FFFFFF" w:themeColor="background1"/>
                <w:sz w:val="18"/>
                <w:szCs w:val="18"/>
              </w:rPr>
            </w:pPr>
            <w:r w:rsidRPr="00E141F1">
              <w:rPr>
                <w:rFonts w:cs="Arial"/>
                <w:b/>
                <w:color w:val="FFFFFF" w:themeColor="background1"/>
                <w:sz w:val="18"/>
                <w:szCs w:val="18"/>
              </w:rPr>
              <w:t>National (%)</w:t>
            </w:r>
          </w:p>
        </w:tc>
        <w:tc>
          <w:tcPr>
            <w:tcW w:w="4082" w:type="dxa"/>
            <w:shd w:val="clear" w:color="auto" w:fill="00709E"/>
          </w:tcPr>
          <w:p w:rsidR="001E6FB8" w:rsidRPr="00E141F1" w:rsidRDefault="001E6FB8" w:rsidP="001E6FB8">
            <w:pPr>
              <w:ind w:right="92"/>
              <w:jc w:val="right"/>
              <w:rPr>
                <w:rFonts w:cs="Arial"/>
                <w:b/>
                <w:color w:val="FFFFFF" w:themeColor="background1"/>
                <w:sz w:val="18"/>
                <w:szCs w:val="18"/>
              </w:rPr>
            </w:pPr>
            <w:r w:rsidRPr="00E141F1">
              <w:rPr>
                <w:rFonts w:cs="Arial"/>
                <w:b/>
                <w:color w:val="FFFFFF" w:themeColor="background1"/>
                <w:sz w:val="18"/>
                <w:szCs w:val="18"/>
              </w:rPr>
              <w:t>Commercial (%)</w:t>
            </w:r>
          </w:p>
        </w:tc>
      </w:tr>
      <w:tr w:rsidR="001E6FB8" w:rsidRPr="00E141F1" w:rsidTr="001E6FB8">
        <w:tc>
          <w:tcPr>
            <w:tcW w:w="2503" w:type="dxa"/>
            <w:tcBorders>
              <w:bottom w:val="single" w:sz="4" w:space="0" w:color="BFBFBF" w:themeColor="background1" w:themeShade="BF"/>
            </w:tcBorders>
          </w:tcPr>
          <w:p w:rsidR="001E6FB8" w:rsidRPr="00E141F1" w:rsidRDefault="001E6FB8" w:rsidP="001E6FB8">
            <w:pPr>
              <w:rPr>
                <w:rFonts w:cs="Arial"/>
                <w:sz w:val="18"/>
                <w:szCs w:val="18"/>
              </w:rPr>
            </w:pPr>
            <w:r w:rsidRPr="00E141F1">
              <w:rPr>
                <w:rFonts w:cs="Arial"/>
                <w:sz w:val="18"/>
                <w:szCs w:val="18"/>
              </w:rPr>
              <w:t>Metropolitan</w:t>
            </w:r>
          </w:p>
        </w:tc>
        <w:tc>
          <w:tcPr>
            <w:tcW w:w="2629" w:type="dxa"/>
            <w:tcBorders>
              <w:bottom w:val="single" w:sz="4" w:space="0" w:color="BFBFBF" w:themeColor="background1" w:themeShade="BF"/>
            </w:tcBorders>
          </w:tcPr>
          <w:p w:rsidR="001E6FB8" w:rsidRPr="00E141F1" w:rsidRDefault="001E6FB8" w:rsidP="001E6FB8">
            <w:pPr>
              <w:ind w:right="92"/>
              <w:jc w:val="right"/>
              <w:rPr>
                <w:rFonts w:cs="Arial"/>
                <w:sz w:val="18"/>
                <w:szCs w:val="18"/>
              </w:rPr>
            </w:pPr>
            <w:r w:rsidRPr="00E141F1">
              <w:rPr>
                <w:rFonts w:cs="Arial"/>
                <w:sz w:val="18"/>
                <w:szCs w:val="18"/>
              </w:rPr>
              <w:t>100</w:t>
            </w:r>
          </w:p>
        </w:tc>
        <w:tc>
          <w:tcPr>
            <w:tcW w:w="4082" w:type="dxa"/>
            <w:tcBorders>
              <w:bottom w:val="single" w:sz="4" w:space="0" w:color="BFBFBF" w:themeColor="background1" w:themeShade="BF"/>
            </w:tcBorders>
          </w:tcPr>
          <w:p w:rsidR="001E6FB8" w:rsidRPr="00E141F1" w:rsidRDefault="001E6FB8" w:rsidP="001E6FB8">
            <w:pPr>
              <w:ind w:right="92"/>
              <w:jc w:val="right"/>
              <w:rPr>
                <w:rFonts w:cs="Arial"/>
                <w:sz w:val="18"/>
                <w:szCs w:val="18"/>
              </w:rPr>
            </w:pPr>
            <w:r w:rsidRPr="00E141F1">
              <w:rPr>
                <w:rFonts w:cs="Arial"/>
                <w:sz w:val="18"/>
                <w:szCs w:val="18"/>
              </w:rPr>
              <w:t>100</w:t>
            </w:r>
          </w:p>
        </w:tc>
      </w:tr>
      <w:tr w:rsidR="001E6FB8" w:rsidRPr="00E141F1" w:rsidTr="001E6FB8">
        <w:tc>
          <w:tcPr>
            <w:tcW w:w="2503" w:type="dxa"/>
            <w:tcBorders>
              <w:top w:val="single" w:sz="4" w:space="0" w:color="BFBFBF" w:themeColor="background1" w:themeShade="BF"/>
              <w:bottom w:val="single" w:sz="4" w:space="0" w:color="BFBFBF" w:themeColor="background1" w:themeShade="BF"/>
            </w:tcBorders>
          </w:tcPr>
          <w:p w:rsidR="001E6FB8" w:rsidRPr="00E141F1" w:rsidRDefault="001E6FB8" w:rsidP="001E6FB8">
            <w:pPr>
              <w:rPr>
                <w:rFonts w:cs="Arial"/>
                <w:sz w:val="18"/>
                <w:szCs w:val="18"/>
              </w:rPr>
            </w:pPr>
            <w:r w:rsidRPr="00E141F1">
              <w:rPr>
                <w:rFonts w:cs="Arial"/>
                <w:sz w:val="18"/>
                <w:szCs w:val="18"/>
              </w:rPr>
              <w:t>Regional</w:t>
            </w:r>
          </w:p>
        </w:tc>
        <w:tc>
          <w:tcPr>
            <w:tcW w:w="2629" w:type="dxa"/>
            <w:tcBorders>
              <w:top w:val="single" w:sz="4" w:space="0" w:color="BFBFBF" w:themeColor="background1" w:themeShade="BF"/>
              <w:bottom w:val="single" w:sz="4" w:space="0" w:color="BFBFBF" w:themeColor="background1" w:themeShade="BF"/>
            </w:tcBorders>
          </w:tcPr>
          <w:p w:rsidR="001E6FB8" w:rsidRPr="00E141F1" w:rsidRDefault="001E6FB8" w:rsidP="001E6FB8">
            <w:pPr>
              <w:ind w:right="92"/>
              <w:jc w:val="right"/>
              <w:rPr>
                <w:rFonts w:cs="Arial"/>
                <w:sz w:val="18"/>
                <w:szCs w:val="18"/>
              </w:rPr>
            </w:pPr>
            <w:r w:rsidRPr="00E141F1">
              <w:rPr>
                <w:rFonts w:cs="Arial"/>
                <w:sz w:val="18"/>
                <w:szCs w:val="18"/>
              </w:rPr>
              <w:t>100</w:t>
            </w:r>
          </w:p>
        </w:tc>
        <w:tc>
          <w:tcPr>
            <w:tcW w:w="4082" w:type="dxa"/>
            <w:tcBorders>
              <w:top w:val="single" w:sz="4" w:space="0" w:color="BFBFBF" w:themeColor="background1" w:themeShade="BF"/>
              <w:bottom w:val="single" w:sz="4" w:space="0" w:color="BFBFBF" w:themeColor="background1" w:themeShade="BF"/>
            </w:tcBorders>
          </w:tcPr>
          <w:p w:rsidR="001E6FB8" w:rsidRPr="00E141F1" w:rsidRDefault="001E6FB8" w:rsidP="001E6FB8">
            <w:pPr>
              <w:ind w:right="92"/>
              <w:jc w:val="right"/>
              <w:rPr>
                <w:rFonts w:cs="Arial"/>
                <w:sz w:val="18"/>
                <w:szCs w:val="18"/>
              </w:rPr>
            </w:pPr>
            <w:r w:rsidRPr="00E141F1">
              <w:rPr>
                <w:rFonts w:cs="Arial"/>
                <w:sz w:val="18"/>
                <w:szCs w:val="18"/>
              </w:rPr>
              <w:t>99</w:t>
            </w:r>
          </w:p>
        </w:tc>
      </w:tr>
      <w:tr w:rsidR="001E6FB8" w:rsidRPr="00E141F1" w:rsidTr="001E6FB8">
        <w:tc>
          <w:tcPr>
            <w:tcW w:w="2503" w:type="dxa"/>
            <w:tcBorders>
              <w:top w:val="single" w:sz="4" w:space="0" w:color="BFBFBF" w:themeColor="background1" w:themeShade="BF"/>
              <w:bottom w:val="single" w:sz="4" w:space="0" w:color="BFBFBF" w:themeColor="background1" w:themeShade="BF"/>
            </w:tcBorders>
          </w:tcPr>
          <w:p w:rsidR="001E6FB8" w:rsidRPr="00E141F1" w:rsidRDefault="001E6FB8" w:rsidP="001E6FB8">
            <w:pPr>
              <w:rPr>
                <w:rFonts w:cs="Arial"/>
                <w:sz w:val="18"/>
                <w:szCs w:val="18"/>
              </w:rPr>
            </w:pPr>
            <w:r w:rsidRPr="00E141F1">
              <w:rPr>
                <w:rFonts w:cs="Arial"/>
                <w:sz w:val="18"/>
                <w:szCs w:val="18"/>
              </w:rPr>
              <w:t>Remote</w:t>
            </w:r>
          </w:p>
        </w:tc>
        <w:tc>
          <w:tcPr>
            <w:tcW w:w="2629" w:type="dxa"/>
            <w:tcBorders>
              <w:top w:val="single" w:sz="4" w:space="0" w:color="BFBFBF" w:themeColor="background1" w:themeShade="BF"/>
              <w:bottom w:val="single" w:sz="4" w:space="0" w:color="BFBFBF" w:themeColor="background1" w:themeShade="BF"/>
            </w:tcBorders>
          </w:tcPr>
          <w:p w:rsidR="001E6FB8" w:rsidRPr="00E141F1" w:rsidRDefault="001E6FB8" w:rsidP="001E6FB8">
            <w:pPr>
              <w:ind w:right="92"/>
              <w:jc w:val="right"/>
              <w:rPr>
                <w:rFonts w:cs="Arial"/>
                <w:sz w:val="18"/>
                <w:szCs w:val="18"/>
              </w:rPr>
            </w:pPr>
            <w:r w:rsidRPr="00E141F1">
              <w:rPr>
                <w:rFonts w:cs="Arial"/>
                <w:sz w:val="18"/>
                <w:szCs w:val="18"/>
              </w:rPr>
              <w:t>97</w:t>
            </w:r>
          </w:p>
        </w:tc>
        <w:tc>
          <w:tcPr>
            <w:tcW w:w="4082" w:type="dxa"/>
            <w:tcBorders>
              <w:top w:val="single" w:sz="4" w:space="0" w:color="BFBFBF" w:themeColor="background1" w:themeShade="BF"/>
              <w:bottom w:val="single" w:sz="4" w:space="0" w:color="BFBFBF" w:themeColor="background1" w:themeShade="BF"/>
            </w:tcBorders>
          </w:tcPr>
          <w:p w:rsidR="001E6FB8" w:rsidRPr="00E141F1" w:rsidRDefault="001E6FB8" w:rsidP="001E6FB8">
            <w:pPr>
              <w:ind w:right="92"/>
              <w:jc w:val="right"/>
              <w:rPr>
                <w:rFonts w:cs="Arial"/>
                <w:sz w:val="18"/>
                <w:szCs w:val="18"/>
              </w:rPr>
            </w:pPr>
            <w:r w:rsidRPr="00E141F1">
              <w:rPr>
                <w:rFonts w:cs="Arial"/>
                <w:sz w:val="18"/>
                <w:szCs w:val="18"/>
              </w:rPr>
              <w:t>97</w:t>
            </w:r>
          </w:p>
        </w:tc>
      </w:tr>
      <w:tr w:rsidR="001E6FB8" w:rsidRPr="00E141F1" w:rsidTr="001E6FB8">
        <w:tc>
          <w:tcPr>
            <w:tcW w:w="9214" w:type="dxa"/>
            <w:gridSpan w:val="3"/>
            <w:tcBorders>
              <w:bottom w:val="single" w:sz="4" w:space="0" w:color="auto"/>
            </w:tcBorders>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Note: Does not include retransmission services operated by local communities and other non-broadcasters.</w:t>
            </w:r>
          </w:p>
          <w:p w:rsidR="001E6FB8" w:rsidRPr="00E141F1" w:rsidRDefault="001E6FB8" w:rsidP="001E6FB8">
            <w:pPr>
              <w:keepNext/>
              <w:keepLines/>
              <w:spacing w:after="60" w:line="240" w:lineRule="auto"/>
              <w:rPr>
                <w:rFonts w:cs="Arial"/>
              </w:rPr>
            </w:pPr>
            <w:r w:rsidRPr="00E141F1">
              <w:rPr>
                <w:rFonts w:cs="Arial"/>
                <w:i/>
                <w:sz w:val="16"/>
                <w:szCs w:val="16"/>
              </w:rPr>
              <w:t>Source: The ACMA.</w:t>
            </w:r>
          </w:p>
        </w:tc>
      </w:tr>
    </w:tbl>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Broadcasters continue to take advantage of the benefits offered by the transition to digital. Commercial broadcasters made use of additional capacity on their digital multiplexes to add </w:t>
      </w:r>
      <w:proofErr w:type="spellStart"/>
      <w:r w:rsidRPr="00E141F1">
        <w:rPr>
          <w:rFonts w:cs="Arial"/>
        </w:rPr>
        <w:t>datacasting</w:t>
      </w:r>
      <w:proofErr w:type="spellEnd"/>
      <w:r w:rsidRPr="00E141F1">
        <w:rPr>
          <w:rFonts w:cs="Arial"/>
        </w:rPr>
        <w:t xml:space="preserve"> services to their suites of channels.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Community television broadcasters in metropolitan areas (Sydney, Melbourne, and Brisbane) have completed the switchover and are all transmitting only digital-only services.</w:t>
      </w:r>
      <w:r w:rsidRPr="00E141F1">
        <w:rPr>
          <w:rStyle w:val="EndnoteReference"/>
          <w:rFonts w:cs="Arial"/>
        </w:rPr>
        <w:endnoteReference w:id="45"/>
      </w:r>
    </w:p>
    <w:p w:rsidR="001E6FB8" w:rsidRPr="00E141F1" w:rsidRDefault="001E6FB8" w:rsidP="001E6FB8">
      <w:pPr>
        <w:rPr>
          <w:rFonts w:cs="Arial"/>
        </w:rPr>
      </w:pPr>
    </w:p>
    <w:p w:rsidR="001E6FB8" w:rsidRPr="00E141F1" w:rsidRDefault="001E6FB8" w:rsidP="001E6FB8">
      <w:pPr>
        <w:pStyle w:val="Heading3"/>
      </w:pPr>
      <w:bookmarkStart w:id="565" w:name="_Toc371589110"/>
      <w:bookmarkStart w:id="566" w:name="_Toc373149172"/>
      <w:r w:rsidRPr="00E141F1">
        <w:t>Digital television consumer research</w:t>
      </w:r>
      <w:bookmarkEnd w:id="565"/>
      <w:bookmarkEnd w:id="566"/>
    </w:p>
    <w:p w:rsidR="001E6FB8" w:rsidRPr="00E141F1" w:rsidRDefault="001E6FB8" w:rsidP="001E6FB8">
      <w:pPr>
        <w:rPr>
          <w:rFonts w:cs="Arial"/>
          <w:highlight w:val="yellow"/>
          <w:vertAlign w:val="superscript"/>
        </w:rPr>
      </w:pPr>
      <w:r w:rsidRPr="00E141F1">
        <w:rPr>
          <w:rFonts w:cs="Arial"/>
        </w:rPr>
        <w:t>At June 2013, the percentage of Australian households that have converted to digital television increased to 98 per cent, up 16 percentage points since June 2012.</w:t>
      </w:r>
      <w:r w:rsidRPr="00E141F1">
        <w:rPr>
          <w:rStyle w:val="EndnoteReference"/>
          <w:rFonts w:cs="Arial"/>
        </w:rPr>
        <w:endnoteReference w:id="46"/>
      </w:r>
    </w:p>
    <w:p w:rsidR="001E6FB8" w:rsidRPr="00E141F1" w:rsidRDefault="001E6FB8" w:rsidP="001E6FB8">
      <w:pPr>
        <w:rPr>
          <w:rFonts w:cs="Arial"/>
          <w:highlight w:val="yellow"/>
        </w:rPr>
      </w:pPr>
    </w:p>
    <w:p w:rsidR="001E6FB8" w:rsidRPr="00E141F1" w:rsidRDefault="001E6FB8" w:rsidP="001E6FB8">
      <w:pPr>
        <w:pStyle w:val="Heading3"/>
      </w:pPr>
      <w:bookmarkStart w:id="567" w:name="_Toc371589111"/>
      <w:bookmarkStart w:id="568" w:name="_Toc373149173"/>
      <w:r w:rsidRPr="00E141F1">
        <w:t>High definition broadcasting</w:t>
      </w:r>
      <w:bookmarkEnd w:id="567"/>
      <w:bookmarkEnd w:id="568"/>
    </w:p>
    <w:p w:rsidR="001E6FB8" w:rsidRPr="00E141F1" w:rsidRDefault="001E6FB8" w:rsidP="001E6FB8">
      <w:pPr>
        <w:rPr>
          <w:rFonts w:cs="Arial"/>
        </w:rPr>
      </w:pPr>
      <w:r w:rsidRPr="00E141F1">
        <w:rPr>
          <w:rFonts w:cs="Arial"/>
        </w:rPr>
        <w:t>Under Part 4 of Schedule 4 to the BSA, commercial television broadcasting licensees and national broadcasters must meet HDTV quota standards until the end of the simulcast period (</w:t>
      </w:r>
      <w:proofErr w:type="spellStart"/>
      <w:r w:rsidRPr="00E141F1">
        <w:rPr>
          <w:rFonts w:cs="Arial"/>
        </w:rPr>
        <w:t>analog</w:t>
      </w:r>
      <w:proofErr w:type="spellEnd"/>
      <w:r w:rsidRPr="00E141F1">
        <w:rPr>
          <w:rFonts w:cs="Arial"/>
        </w:rPr>
        <w:t xml:space="preserve"> switch-off). Each commercial or national television broadcasting service in a mainland metropolitan area is required to transmit a quota of 1,040 hours of HDTV programming per calendar year. The HDTV obligations also apply to a number of broadcasters in regional areas.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The ABC and SBS are permitted to ‘up-convert’ their </w:t>
      </w:r>
      <w:proofErr w:type="spellStart"/>
      <w:r w:rsidRPr="00E141F1">
        <w:rPr>
          <w:rFonts w:cs="Arial"/>
        </w:rPr>
        <w:t>analog</w:t>
      </w:r>
      <w:proofErr w:type="spellEnd"/>
      <w:r w:rsidRPr="00E141F1">
        <w:rPr>
          <w:rFonts w:cs="Arial"/>
        </w:rPr>
        <w:t xml:space="preserve"> or standard definition television (SDTV) programs to HDTV.</w:t>
      </w:r>
    </w:p>
    <w:p w:rsidR="001E6FB8" w:rsidRPr="00E141F1" w:rsidRDefault="001E6FB8" w:rsidP="001E6FB8">
      <w:pPr>
        <w:rPr>
          <w:rFonts w:cs="Arial"/>
        </w:rPr>
      </w:pPr>
    </w:p>
    <w:p w:rsidR="001E6FB8" w:rsidRPr="00E141F1" w:rsidRDefault="001E6FB8" w:rsidP="001E6FB8">
      <w:pPr>
        <w:rPr>
          <w:rFonts w:cs="Arial"/>
        </w:rPr>
      </w:pPr>
      <w:r w:rsidRPr="00E141F1">
        <w:rPr>
          <w:rFonts w:cs="Arial"/>
        </w:rPr>
        <w:t>Under the Broadcasting Services (Digital Television Standards) Regulations 2000, broadcasters required to meet the HDTV quota must report compliance information to the ACMA twice a year—interim reports for the first six months of the calendar year, followed by consolidated reports for the full 12 months. Records must be kept for 18 months after the transmission is first reported to the ACMA.</w:t>
      </w:r>
    </w:p>
    <w:p w:rsidR="001E6FB8" w:rsidRPr="00E141F1" w:rsidRDefault="001E6FB8" w:rsidP="001E6FB8">
      <w:pPr>
        <w:rPr>
          <w:rFonts w:cs="Arial"/>
        </w:rPr>
      </w:pPr>
    </w:p>
    <w:p w:rsidR="001E6FB8" w:rsidRPr="00E141F1" w:rsidRDefault="001E6FB8" w:rsidP="001E6FB8">
      <w:pPr>
        <w:rPr>
          <w:rFonts w:cs="Arial"/>
        </w:rPr>
      </w:pPr>
      <w:r w:rsidRPr="00E141F1">
        <w:rPr>
          <w:rFonts w:cs="Arial"/>
        </w:rPr>
        <w:t>In the 2012 calendar year, commercial and national television broadcasters required to transmit the HDTV quota complied. The compliance results of national and commercial television broadcasters in the mainland metropolitan areas are presented in Table 4.6.</w:t>
      </w:r>
      <w:r>
        <w:rPr>
          <w:rFonts w:cs="Arial"/>
        </w:rPr>
        <w:t xml:space="preserve"> </w:t>
      </w:r>
    </w:p>
    <w:p w:rsidR="001E6FB8" w:rsidRPr="00E141F1" w:rsidRDefault="001E6FB8" w:rsidP="001E6FB8">
      <w:pPr>
        <w:rPr>
          <w:rFonts w:cs="Arial"/>
        </w:rPr>
      </w:pPr>
    </w:p>
    <w:tbl>
      <w:tblPr>
        <w:tblStyle w:val="TableGrid"/>
        <w:tblW w:w="9214" w:type="dxa"/>
        <w:tblInd w:w="108" w:type="dxa"/>
        <w:tblLook w:val="04A0"/>
      </w:tblPr>
      <w:tblGrid>
        <w:gridCol w:w="4111"/>
        <w:gridCol w:w="5103"/>
      </w:tblGrid>
      <w:tr w:rsidR="001E6FB8" w:rsidRPr="00E141F1" w:rsidTr="001E6FB8">
        <w:trPr>
          <w:trHeight w:val="495"/>
        </w:trPr>
        <w:tc>
          <w:tcPr>
            <w:tcW w:w="9214" w:type="dxa"/>
            <w:gridSpan w:val="2"/>
            <w:tcBorders>
              <w:top w:val="single" w:sz="4" w:space="0" w:color="auto"/>
              <w:left w:val="nil"/>
              <w:bottom w:val="nil"/>
              <w:right w:val="nil"/>
            </w:tcBorders>
            <w:vAlign w:val="center"/>
          </w:tcPr>
          <w:p w:rsidR="001E6FB8" w:rsidRPr="00E141F1" w:rsidRDefault="001E6FB8" w:rsidP="001E6FB8">
            <w:pPr>
              <w:rPr>
                <w:rFonts w:cs="Arial"/>
              </w:rPr>
            </w:pPr>
            <w:r w:rsidRPr="00E141F1">
              <w:rPr>
                <w:rFonts w:cs="Arial"/>
                <w:b/>
                <w:bCs/>
                <w:color w:val="808285"/>
                <w:szCs w:val="20"/>
              </w:rPr>
              <w:t>Table 4.6 High definition television quota compliance, 2012 calendar year</w:t>
            </w:r>
          </w:p>
        </w:tc>
      </w:tr>
      <w:tr w:rsidR="001E6FB8" w:rsidRPr="00E141F1" w:rsidTr="001E6FB8">
        <w:tc>
          <w:tcPr>
            <w:tcW w:w="4111" w:type="dxa"/>
            <w:tcBorders>
              <w:top w:val="nil"/>
              <w:left w:val="nil"/>
              <w:bottom w:val="nil"/>
              <w:right w:val="nil"/>
            </w:tcBorders>
            <w:shd w:val="clear" w:color="auto" w:fill="00709E"/>
            <w:vAlign w:val="center"/>
          </w:tcPr>
          <w:p w:rsidR="001E6FB8" w:rsidRPr="00E141F1" w:rsidRDefault="001E6FB8" w:rsidP="001E6FB8">
            <w:pPr>
              <w:rPr>
                <w:rFonts w:cs="Arial"/>
                <w:b/>
                <w:color w:val="FFFFFF" w:themeColor="background1"/>
                <w:sz w:val="18"/>
                <w:szCs w:val="18"/>
              </w:rPr>
            </w:pPr>
            <w:r w:rsidRPr="00E141F1">
              <w:rPr>
                <w:rFonts w:cs="Arial"/>
                <w:b/>
                <w:color w:val="FFFFFF" w:themeColor="background1"/>
                <w:sz w:val="18"/>
                <w:szCs w:val="18"/>
              </w:rPr>
              <w:t>Broadcaster</w:t>
            </w:r>
          </w:p>
        </w:tc>
        <w:tc>
          <w:tcPr>
            <w:tcW w:w="5103" w:type="dxa"/>
            <w:tcBorders>
              <w:top w:val="nil"/>
              <w:left w:val="nil"/>
              <w:bottom w:val="nil"/>
              <w:right w:val="nil"/>
            </w:tcBorders>
            <w:shd w:val="clear" w:color="auto" w:fill="00709E"/>
            <w:vAlign w:val="center"/>
          </w:tcPr>
          <w:p w:rsidR="001E6FB8" w:rsidRPr="00E141F1" w:rsidRDefault="001E6FB8" w:rsidP="001E6FB8">
            <w:pPr>
              <w:ind w:right="74"/>
              <w:jc w:val="right"/>
              <w:rPr>
                <w:rFonts w:cs="Arial"/>
                <w:b/>
                <w:color w:val="FFFFFF" w:themeColor="background1"/>
                <w:sz w:val="18"/>
                <w:szCs w:val="18"/>
              </w:rPr>
            </w:pPr>
            <w:r w:rsidRPr="00E141F1">
              <w:rPr>
                <w:rFonts w:cs="Arial"/>
                <w:b/>
                <w:color w:val="FFFFFF" w:themeColor="background1"/>
                <w:sz w:val="18"/>
                <w:szCs w:val="18"/>
              </w:rPr>
              <w:t>HDTV hours (range)</w:t>
            </w:r>
          </w:p>
        </w:tc>
      </w:tr>
      <w:tr w:rsidR="001E6FB8" w:rsidRPr="00E141F1" w:rsidTr="001E6FB8">
        <w:tc>
          <w:tcPr>
            <w:tcW w:w="4111" w:type="dxa"/>
            <w:tcBorders>
              <w:top w:val="nil"/>
              <w:left w:val="nil"/>
              <w:bottom w:val="single" w:sz="4" w:space="0" w:color="BFBFBF" w:themeColor="background1" w:themeShade="BF"/>
              <w:right w:val="nil"/>
            </w:tcBorders>
            <w:vAlign w:val="center"/>
          </w:tcPr>
          <w:p w:rsidR="001E6FB8" w:rsidRPr="00E141F1" w:rsidRDefault="001E6FB8" w:rsidP="001E6FB8">
            <w:pPr>
              <w:rPr>
                <w:rFonts w:cs="Arial"/>
                <w:sz w:val="18"/>
                <w:szCs w:val="18"/>
              </w:rPr>
            </w:pPr>
            <w:r w:rsidRPr="00E141F1">
              <w:rPr>
                <w:rFonts w:cs="Arial"/>
                <w:sz w:val="18"/>
                <w:szCs w:val="18"/>
              </w:rPr>
              <w:t>ABC</w:t>
            </w:r>
          </w:p>
        </w:tc>
        <w:tc>
          <w:tcPr>
            <w:tcW w:w="5103" w:type="dxa"/>
            <w:tcBorders>
              <w:top w:val="nil"/>
              <w:left w:val="nil"/>
              <w:bottom w:val="single" w:sz="4" w:space="0" w:color="BFBFBF" w:themeColor="background1" w:themeShade="BF"/>
              <w:right w:val="nil"/>
            </w:tcBorders>
            <w:vAlign w:val="center"/>
          </w:tcPr>
          <w:p w:rsidR="001E6FB8" w:rsidRPr="00E141F1" w:rsidRDefault="001E6FB8" w:rsidP="001E6FB8">
            <w:pPr>
              <w:ind w:right="74"/>
              <w:jc w:val="right"/>
              <w:rPr>
                <w:rFonts w:cs="Arial"/>
                <w:sz w:val="18"/>
                <w:szCs w:val="18"/>
              </w:rPr>
            </w:pPr>
            <w:r w:rsidRPr="00E141F1">
              <w:rPr>
                <w:rFonts w:cs="Arial"/>
                <w:sz w:val="18"/>
                <w:szCs w:val="18"/>
              </w:rPr>
              <w:t>8,458</w:t>
            </w:r>
          </w:p>
        </w:tc>
      </w:tr>
      <w:tr w:rsidR="001E6FB8" w:rsidRPr="00E141F1" w:rsidTr="001E6FB8">
        <w:tc>
          <w:tcPr>
            <w:tcW w:w="4111"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rPr>
                <w:rFonts w:cs="Arial"/>
                <w:sz w:val="18"/>
                <w:szCs w:val="18"/>
              </w:rPr>
            </w:pPr>
            <w:r w:rsidRPr="00E141F1">
              <w:rPr>
                <w:rFonts w:cs="Arial"/>
                <w:sz w:val="18"/>
                <w:szCs w:val="18"/>
              </w:rPr>
              <w:t>SBS</w:t>
            </w:r>
          </w:p>
        </w:tc>
        <w:tc>
          <w:tcPr>
            <w:tcW w:w="5103"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74"/>
              <w:jc w:val="right"/>
              <w:rPr>
                <w:rFonts w:cs="Arial"/>
                <w:sz w:val="18"/>
                <w:szCs w:val="18"/>
              </w:rPr>
            </w:pPr>
            <w:r w:rsidRPr="00E141F1">
              <w:rPr>
                <w:rFonts w:cs="Arial"/>
                <w:sz w:val="18"/>
                <w:szCs w:val="18"/>
              </w:rPr>
              <w:t>8,748</w:t>
            </w:r>
          </w:p>
        </w:tc>
      </w:tr>
      <w:tr w:rsidR="001E6FB8" w:rsidRPr="00E141F1" w:rsidTr="001E6FB8">
        <w:tc>
          <w:tcPr>
            <w:tcW w:w="4111"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rPr>
                <w:rFonts w:cs="Arial"/>
                <w:sz w:val="18"/>
                <w:szCs w:val="18"/>
              </w:rPr>
            </w:pPr>
            <w:r w:rsidRPr="00E141F1">
              <w:rPr>
                <w:rFonts w:cs="Arial"/>
                <w:sz w:val="18"/>
                <w:szCs w:val="18"/>
              </w:rPr>
              <w:t>Seven Network</w:t>
            </w:r>
          </w:p>
        </w:tc>
        <w:tc>
          <w:tcPr>
            <w:tcW w:w="5103"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74"/>
              <w:jc w:val="right"/>
              <w:rPr>
                <w:rFonts w:cs="Arial"/>
                <w:sz w:val="18"/>
                <w:szCs w:val="18"/>
              </w:rPr>
            </w:pPr>
            <w:r w:rsidRPr="00E141F1">
              <w:rPr>
                <w:rFonts w:cs="Arial"/>
                <w:sz w:val="18"/>
                <w:szCs w:val="18"/>
              </w:rPr>
              <w:t>1,272–1,430</w:t>
            </w:r>
          </w:p>
        </w:tc>
      </w:tr>
      <w:tr w:rsidR="001E6FB8" w:rsidRPr="00E141F1" w:rsidTr="001E6FB8">
        <w:tc>
          <w:tcPr>
            <w:tcW w:w="4111" w:type="dxa"/>
            <w:tcBorders>
              <w:top w:val="nil"/>
              <w:left w:val="nil"/>
              <w:bottom w:val="single" w:sz="4" w:space="0" w:color="BFBFBF" w:themeColor="background1" w:themeShade="BF"/>
              <w:right w:val="nil"/>
            </w:tcBorders>
            <w:vAlign w:val="center"/>
          </w:tcPr>
          <w:p w:rsidR="001E6FB8" w:rsidRPr="00E141F1" w:rsidRDefault="001E6FB8" w:rsidP="001E6FB8">
            <w:pPr>
              <w:rPr>
                <w:rFonts w:cs="Arial"/>
                <w:sz w:val="18"/>
                <w:szCs w:val="18"/>
              </w:rPr>
            </w:pPr>
            <w:r w:rsidRPr="00E141F1">
              <w:rPr>
                <w:rFonts w:cs="Arial"/>
                <w:sz w:val="18"/>
                <w:szCs w:val="18"/>
              </w:rPr>
              <w:t>Nine Network</w:t>
            </w:r>
          </w:p>
        </w:tc>
        <w:tc>
          <w:tcPr>
            <w:tcW w:w="5103" w:type="dxa"/>
            <w:tcBorders>
              <w:top w:val="nil"/>
              <w:left w:val="nil"/>
              <w:bottom w:val="single" w:sz="4" w:space="0" w:color="BFBFBF" w:themeColor="background1" w:themeShade="BF"/>
              <w:right w:val="nil"/>
            </w:tcBorders>
            <w:vAlign w:val="center"/>
          </w:tcPr>
          <w:p w:rsidR="001E6FB8" w:rsidRPr="00E141F1" w:rsidRDefault="001E6FB8" w:rsidP="001E6FB8">
            <w:pPr>
              <w:ind w:right="74"/>
              <w:jc w:val="right"/>
              <w:rPr>
                <w:rFonts w:cs="Arial"/>
                <w:sz w:val="18"/>
                <w:szCs w:val="18"/>
              </w:rPr>
            </w:pPr>
            <w:r w:rsidRPr="00E141F1">
              <w:rPr>
                <w:rFonts w:cs="Arial"/>
                <w:sz w:val="18"/>
                <w:szCs w:val="18"/>
              </w:rPr>
              <w:t>3,504</w:t>
            </w:r>
          </w:p>
        </w:tc>
      </w:tr>
      <w:tr w:rsidR="001E6FB8" w:rsidRPr="00E141F1" w:rsidTr="001E6FB8">
        <w:tc>
          <w:tcPr>
            <w:tcW w:w="4111"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rPr>
                <w:rFonts w:cs="Arial"/>
                <w:sz w:val="18"/>
                <w:szCs w:val="18"/>
              </w:rPr>
            </w:pPr>
            <w:r w:rsidRPr="00E141F1">
              <w:rPr>
                <w:rFonts w:cs="Arial"/>
                <w:sz w:val="18"/>
                <w:szCs w:val="18"/>
              </w:rPr>
              <w:t>Network Ten</w:t>
            </w:r>
          </w:p>
        </w:tc>
        <w:tc>
          <w:tcPr>
            <w:tcW w:w="5103" w:type="dxa"/>
            <w:tcBorders>
              <w:top w:val="single" w:sz="4" w:space="0" w:color="BFBFBF" w:themeColor="background1" w:themeShade="BF"/>
              <w:left w:val="nil"/>
              <w:bottom w:val="single" w:sz="4" w:space="0" w:color="BFBFBF" w:themeColor="background1" w:themeShade="BF"/>
              <w:right w:val="nil"/>
            </w:tcBorders>
            <w:vAlign w:val="center"/>
          </w:tcPr>
          <w:p w:rsidR="001E6FB8" w:rsidRPr="00E141F1" w:rsidRDefault="001E6FB8" w:rsidP="001E6FB8">
            <w:pPr>
              <w:ind w:right="74"/>
              <w:jc w:val="right"/>
              <w:rPr>
                <w:rFonts w:cs="Arial"/>
                <w:sz w:val="18"/>
                <w:szCs w:val="18"/>
              </w:rPr>
            </w:pPr>
            <w:r w:rsidRPr="00E141F1">
              <w:rPr>
                <w:rFonts w:cs="Arial"/>
                <w:sz w:val="18"/>
                <w:szCs w:val="18"/>
              </w:rPr>
              <w:t>3</w:t>
            </w:r>
            <w:r>
              <w:rPr>
                <w:rFonts w:cs="Arial"/>
                <w:sz w:val="18"/>
                <w:szCs w:val="18"/>
              </w:rPr>
              <w:t>,</w:t>
            </w:r>
            <w:r w:rsidRPr="00E141F1">
              <w:rPr>
                <w:rFonts w:cs="Arial"/>
                <w:sz w:val="18"/>
                <w:szCs w:val="18"/>
              </w:rPr>
              <w:t>875–3</w:t>
            </w:r>
            <w:r>
              <w:rPr>
                <w:rFonts w:cs="Arial"/>
                <w:sz w:val="18"/>
                <w:szCs w:val="18"/>
              </w:rPr>
              <w:t>,</w:t>
            </w:r>
            <w:r w:rsidRPr="00E141F1">
              <w:rPr>
                <w:rFonts w:cs="Arial"/>
                <w:sz w:val="18"/>
                <w:szCs w:val="18"/>
              </w:rPr>
              <w:t>919</w:t>
            </w:r>
          </w:p>
        </w:tc>
      </w:tr>
      <w:tr w:rsidR="001E6FB8" w:rsidRPr="00E141F1" w:rsidTr="001E6FB8">
        <w:tc>
          <w:tcPr>
            <w:tcW w:w="9214" w:type="dxa"/>
            <w:gridSpan w:val="2"/>
            <w:tcBorders>
              <w:top w:val="single" w:sz="4" w:space="0" w:color="BFBFBF" w:themeColor="background1" w:themeShade="BF"/>
              <w:left w:val="nil"/>
              <w:bottom w:val="single" w:sz="4" w:space="0" w:color="auto"/>
              <w:right w:val="nil"/>
            </w:tcBorders>
          </w:tcPr>
          <w:p w:rsidR="001E6FB8" w:rsidRPr="00E141F1" w:rsidRDefault="001E6FB8" w:rsidP="001E6FB8">
            <w:pPr>
              <w:spacing w:before="120" w:after="60"/>
              <w:rPr>
                <w:rFonts w:cs="Arial"/>
                <w:sz w:val="16"/>
                <w:szCs w:val="16"/>
              </w:rPr>
            </w:pPr>
            <w:r w:rsidRPr="00E141F1">
              <w:rPr>
                <w:rFonts w:cs="Arial"/>
                <w:i/>
                <w:sz w:val="16"/>
              </w:rPr>
              <w:t>Source: The ACMA.</w:t>
            </w:r>
          </w:p>
        </w:tc>
      </w:tr>
    </w:tbl>
    <w:p w:rsidR="001E6FB8" w:rsidRPr="00E141F1" w:rsidRDefault="001E6FB8" w:rsidP="001E6FB8">
      <w:pPr>
        <w:rPr>
          <w:rFonts w:cs="Arial"/>
        </w:rPr>
      </w:pPr>
    </w:p>
    <w:p w:rsidR="001E6FB8" w:rsidRPr="00E141F1" w:rsidRDefault="001E6FB8" w:rsidP="001E6FB8">
      <w:pPr>
        <w:pStyle w:val="Heading3"/>
      </w:pPr>
      <w:bookmarkStart w:id="569" w:name="_Toc371589112"/>
      <w:bookmarkStart w:id="570" w:name="_Toc373149174"/>
      <w:r w:rsidRPr="00E141F1">
        <w:t>Viewer Access Satellite Television service</w:t>
      </w:r>
      <w:bookmarkEnd w:id="569"/>
      <w:bookmarkEnd w:id="570"/>
    </w:p>
    <w:p w:rsidR="001E6FB8" w:rsidRPr="00E141F1" w:rsidRDefault="001E6FB8" w:rsidP="001E6FB8">
      <w:pPr>
        <w:rPr>
          <w:rFonts w:cs="Arial"/>
        </w:rPr>
      </w:pPr>
      <w:r w:rsidRPr="00E141F1">
        <w:rPr>
          <w:rFonts w:cs="Arial"/>
        </w:rPr>
        <w:t xml:space="preserve">The VAST service is a government initiative to give people in remote areas and terrestrial digital television ‘black spots’ access to a metropolitan equivalent suite of digital television services. The eligibility for access to commercial services on VAST is provided for in conditional access schemes developed by industry and registered by the ACMA under enabling legislation. Amendments to this legislation by the </w:t>
      </w:r>
      <w:r w:rsidRPr="00E141F1">
        <w:rPr>
          <w:rFonts w:cs="Arial"/>
          <w:i/>
          <w:iCs/>
        </w:rPr>
        <w:t xml:space="preserve">Broadcasting Services Amendment (Digital Television) Act 2012 </w:t>
      </w:r>
      <w:r w:rsidRPr="00E141F1">
        <w:rPr>
          <w:rFonts w:cs="Arial"/>
        </w:rPr>
        <w:t xml:space="preserve">added new requirements to which the conditional access schemes must be directed. </w:t>
      </w:r>
    </w:p>
    <w:p w:rsidR="001E6FB8" w:rsidRPr="00E141F1" w:rsidRDefault="001E6FB8" w:rsidP="001E6FB8">
      <w:pPr>
        <w:rPr>
          <w:rFonts w:cs="Arial"/>
        </w:rPr>
      </w:pPr>
    </w:p>
    <w:p w:rsidR="001E6FB8" w:rsidRPr="00E141F1" w:rsidRDefault="001E6FB8" w:rsidP="001E6FB8">
      <w:pPr>
        <w:spacing w:after="240"/>
        <w:rPr>
          <w:rFonts w:cs="Arial"/>
        </w:rPr>
      </w:pPr>
      <w:r w:rsidRPr="00E141F1">
        <w:rPr>
          <w:rFonts w:cs="Arial"/>
        </w:rPr>
        <w:t>This included a requirement for the schemes to allow for the scheme administrator to determine ‘open access areas’—those areas where it is reasonable to expect that, at the end of the simulcast period, viewers will be unable to receive adequate reception of all applicable digital commercial terrestrial broadcasting services. In July 2012, the ACMA called on the industry to submit revised conditional access schemes that complied with the new legislated objectives. The ACMA registered the revised conditional access schemes in October 2012.</w:t>
      </w:r>
    </w:p>
    <w:p w:rsidR="001E6FB8" w:rsidRPr="00E141F1" w:rsidRDefault="001E6FB8" w:rsidP="001E6FB8">
      <w:pPr>
        <w:pStyle w:val="Heading3"/>
      </w:pPr>
      <w:bookmarkStart w:id="571" w:name="_Toc371589113"/>
      <w:bookmarkStart w:id="572" w:name="_Toc373149175"/>
      <w:r w:rsidRPr="00E141F1">
        <w:t>Complaints under the conditional access scheme for satellite access to digital television</w:t>
      </w:r>
      <w:bookmarkEnd w:id="571"/>
      <w:bookmarkEnd w:id="572"/>
    </w:p>
    <w:p w:rsidR="001E6FB8" w:rsidRPr="00E141F1" w:rsidRDefault="001E6FB8" w:rsidP="001E6FB8">
      <w:pPr>
        <w:rPr>
          <w:rFonts w:cs="Arial"/>
        </w:rPr>
      </w:pPr>
      <w:r w:rsidRPr="00E141F1">
        <w:rPr>
          <w:rFonts w:cs="Arial"/>
        </w:rPr>
        <w:t xml:space="preserve">Viewers who were refused access to VAST services by the scheme administrator can, under certain conditions, complain to the ACMA. The ACMA has the power to direct the scheme administrator to enable VAST access for viewers who cannot access terrestrial digital television services.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ACMA received 299 complaints between 1 July 2012 and 30 June 2013. In 2012–13, the ACMA finalised the investigation of 257 complaints and issued 257 directions to the scheme administrator to grant VAST access to the complainants. Of the remaining 42 complaints, 28 were withdrawn as the affected viewers gained access to either VAST or terrestrial television services before the investigation was finalised. At the end of the reporting period, 14 complaints were still under investigation.</w:t>
      </w:r>
    </w:p>
    <w:p w:rsidR="001E6FB8" w:rsidRPr="00E141F1" w:rsidRDefault="001E6FB8" w:rsidP="001E6FB8"/>
    <w:p w:rsidR="001E6FB8" w:rsidRPr="00E141F1" w:rsidRDefault="001E6FB8" w:rsidP="001E6FB8">
      <w:pPr>
        <w:pStyle w:val="Heading3"/>
      </w:pPr>
      <w:bookmarkStart w:id="573" w:name="_Toc371589114"/>
      <w:bookmarkStart w:id="574" w:name="_Toc373149176"/>
      <w:r w:rsidRPr="00E141F1">
        <w:t>Digital radio</w:t>
      </w:r>
      <w:bookmarkEnd w:id="573"/>
      <w:bookmarkEnd w:id="574"/>
    </w:p>
    <w:p w:rsidR="001E6FB8" w:rsidRPr="00E141F1" w:rsidRDefault="001E6FB8" w:rsidP="001E6FB8">
      <w:pPr>
        <w:rPr>
          <w:rFonts w:cs="Arial"/>
        </w:rPr>
      </w:pPr>
      <w:r w:rsidRPr="00E141F1">
        <w:rPr>
          <w:rFonts w:cs="Arial"/>
        </w:rPr>
        <w:t>As at June 2013, there were over 1.6 million people listening to digital radio each week in Sydney, Melbourne, Brisbane, Perth and Adelaide. This compared with nearly 1.3</w:t>
      </w:r>
      <w:r>
        <w:t> </w:t>
      </w:r>
      <w:r w:rsidRPr="00E141F1">
        <w:rPr>
          <w:rFonts w:cs="Arial"/>
        </w:rPr>
        <w:t>million at June 2012 and 940,000 at June 2010. The number of digital radios sold has also increased to 1.3 million at June 2013 from 908,311 at June 2012.</w:t>
      </w:r>
      <w:r w:rsidRPr="00E141F1">
        <w:rPr>
          <w:rStyle w:val="EndnoteReference"/>
          <w:rFonts w:cs="Arial"/>
        </w:rPr>
        <w:endnoteReference w:id="47"/>
      </w:r>
      <w:r w:rsidRPr="00E141F1" w:rsidDel="00960D55">
        <w:rPr>
          <w:rStyle w:val="EndnoteReference"/>
          <w:rFonts w:cs="Arial"/>
        </w:rPr>
        <w:t xml:space="preserve"> </w:t>
      </w:r>
    </w:p>
    <w:p w:rsidR="001E6FB8" w:rsidRPr="00E141F1" w:rsidRDefault="001E6FB8" w:rsidP="001E6FB8">
      <w:pPr>
        <w:rPr>
          <w:rFonts w:cs="Arial"/>
        </w:rPr>
      </w:pPr>
    </w:p>
    <w:p w:rsidR="001E6FB8" w:rsidRPr="00E141F1" w:rsidRDefault="001E6FB8" w:rsidP="001E6FB8">
      <w:pPr>
        <w:rPr>
          <w:rFonts w:eastAsiaTheme="minorHAnsi" w:cs="Arial"/>
          <w:lang w:eastAsia="en-US"/>
        </w:rPr>
      </w:pPr>
      <w:r w:rsidRPr="00E141F1">
        <w:rPr>
          <w:rFonts w:cs="Arial"/>
        </w:rPr>
        <w:t>Digital radio is currently not available permanently outside the five metropolitan areas.</w:t>
      </w:r>
      <w:r w:rsidRPr="00E141F1">
        <w:rPr>
          <w:rFonts w:eastAsiaTheme="minorHAnsi" w:cs="Arial"/>
          <w:lang w:eastAsia="en-US"/>
        </w:rPr>
        <w:t xml:space="preserve"> Testing of different technologies in regional areas is underway, as commercial radio operators work with the ACMA to develop regional trials. In response to applications from Commercial Radio Australia, the ACMA has authorised trials of DAB+ in two regional licence areas where sufficient spectrum is available—Canberra and Darwin. The Canberra trial commenced on 19 July 2010 and the Darwin trial on 13 August 2010. Both trials were initially licensed for 12 months but have been extended until 31 August 2014.</w:t>
      </w:r>
    </w:p>
    <w:p w:rsidR="001E6FB8" w:rsidRPr="00E141F1" w:rsidRDefault="001E6FB8" w:rsidP="001E6FB8">
      <w:pPr>
        <w:rPr>
          <w:rFonts w:cs="Arial"/>
          <w:highlight w:val="yellow"/>
        </w:rPr>
      </w:pPr>
    </w:p>
    <w:p w:rsidR="001E6FB8" w:rsidRPr="00E141F1" w:rsidRDefault="001E6FB8" w:rsidP="001E6FB8">
      <w:pPr>
        <w:pStyle w:val="Heading2"/>
      </w:pPr>
      <w:bookmarkStart w:id="575" w:name="_Toc371589115"/>
      <w:bookmarkStart w:id="576" w:name="_Toc373149177"/>
      <w:r w:rsidRPr="00E141F1">
        <w:t>Broadcasting complaints</w:t>
      </w:r>
      <w:bookmarkEnd w:id="575"/>
      <w:bookmarkEnd w:id="576"/>
    </w:p>
    <w:p w:rsidR="001E6FB8" w:rsidRPr="00E141F1" w:rsidRDefault="001E6FB8" w:rsidP="001E6FB8">
      <w:pPr>
        <w:pStyle w:val="Heading3"/>
      </w:pPr>
      <w:bookmarkStart w:id="577" w:name="_Toc341428440"/>
      <w:bookmarkStart w:id="578" w:name="_Toc371589116"/>
      <w:bookmarkStart w:id="579" w:name="_Toc373149178"/>
      <w:r w:rsidRPr="00E141F1">
        <w:t>Broadcasting complaints and investigations</w:t>
      </w:r>
      <w:bookmarkEnd w:id="577"/>
      <w:bookmarkEnd w:id="578"/>
      <w:bookmarkEnd w:id="579"/>
    </w:p>
    <w:p w:rsidR="001E6FB8" w:rsidRPr="00E141F1" w:rsidRDefault="001E6FB8" w:rsidP="001E6FB8">
      <w:pPr>
        <w:spacing w:after="80"/>
        <w:rPr>
          <w:rFonts w:cs="Arial"/>
        </w:rPr>
      </w:pPr>
      <w:r w:rsidRPr="00E141F1">
        <w:rPr>
          <w:rFonts w:cs="Arial"/>
        </w:rPr>
        <w:t xml:space="preserve">The BSA establishes a co-regulatory scheme that sets out roles for industry groups and national broadcasters across the commercial, community, narrowcast and subscription broadcasting sectors to develop codes of practice applicable to that section of the industry.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The ACMA registers broadcasting industry codes under section 123 of the BSA, but does not register codes for national broadcasters. Under the BSA, national broadcasters notify their codes to the ACMA.</w:t>
      </w:r>
    </w:p>
    <w:p w:rsidR="001E6FB8" w:rsidRPr="00E141F1" w:rsidRDefault="001E6FB8" w:rsidP="001E6FB8">
      <w:pPr>
        <w:rPr>
          <w:rFonts w:cs="Arial"/>
        </w:rPr>
      </w:pPr>
    </w:p>
    <w:p w:rsidR="001E6FB8" w:rsidRPr="00E141F1" w:rsidRDefault="001E6FB8" w:rsidP="001E6FB8">
      <w:pPr>
        <w:rPr>
          <w:rFonts w:cs="Arial"/>
        </w:rPr>
      </w:pPr>
      <w:r w:rsidRPr="00E141F1">
        <w:rPr>
          <w:rFonts w:cs="Arial"/>
        </w:rPr>
        <w:t>Complaints about alleged breaches of the codes are handled in the first instance by the broadcaster.</w:t>
      </w:r>
      <w:r>
        <w:rPr>
          <w:rFonts w:cs="Arial"/>
        </w:rPr>
        <w:t xml:space="preserve"> </w:t>
      </w:r>
      <w:r w:rsidRPr="00E141F1">
        <w:rPr>
          <w:rFonts w:cs="Arial"/>
        </w:rPr>
        <w:t>If not resolved, the complainant can then refer the complaint to the ACMA.</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Complaints about alleged breaches of the BSA, licence conditions or program standards may be made directly to the ACMA. </w:t>
      </w:r>
    </w:p>
    <w:p w:rsidR="001E6FB8" w:rsidRPr="00E141F1" w:rsidRDefault="001E6FB8" w:rsidP="001E6FB8">
      <w:pPr>
        <w:rPr>
          <w:rFonts w:cs="Arial"/>
        </w:rPr>
      </w:pPr>
    </w:p>
    <w:p w:rsidR="001E6FB8" w:rsidRDefault="001E6FB8" w:rsidP="001E6FB8">
      <w:pPr>
        <w:spacing w:line="240" w:lineRule="auto"/>
        <w:rPr>
          <w:rFonts w:cs="Arial"/>
          <w:b/>
          <w:bCs/>
          <w:szCs w:val="26"/>
        </w:rPr>
      </w:pPr>
      <w:bookmarkStart w:id="580" w:name="_Toc341428441"/>
      <w:bookmarkStart w:id="581" w:name="_Toc287540300"/>
      <w:bookmarkStart w:id="582" w:name="_Toc308517305"/>
      <w:bookmarkStart w:id="583" w:name="_Toc308523745"/>
      <w:bookmarkStart w:id="584" w:name="_Toc312157261"/>
      <w:r>
        <w:br w:type="page"/>
      </w:r>
    </w:p>
    <w:p w:rsidR="001E6FB8" w:rsidRPr="00E141F1" w:rsidRDefault="001E6FB8" w:rsidP="001E6FB8">
      <w:pPr>
        <w:pStyle w:val="Heading3"/>
      </w:pPr>
      <w:bookmarkStart w:id="585" w:name="_Toc371589117"/>
      <w:bookmarkStart w:id="586" w:name="_Toc373149179"/>
      <w:r w:rsidRPr="00E141F1">
        <w:t>Broadcasting complaints and investigations, 2008–1</w:t>
      </w:r>
      <w:bookmarkEnd w:id="580"/>
      <w:r w:rsidRPr="00E141F1">
        <w:t>3</w:t>
      </w:r>
      <w:bookmarkEnd w:id="585"/>
      <w:bookmarkEnd w:id="586"/>
      <w:r w:rsidRPr="00E141F1">
        <w:t xml:space="preserve"> </w:t>
      </w:r>
      <w:bookmarkEnd w:id="581"/>
      <w:bookmarkEnd w:id="582"/>
      <w:bookmarkEnd w:id="583"/>
      <w:bookmarkEnd w:id="584"/>
    </w:p>
    <w:p w:rsidR="001E6FB8" w:rsidRPr="00E141F1" w:rsidRDefault="001E6FB8" w:rsidP="001E6FB8">
      <w:pPr>
        <w:keepNext/>
        <w:rPr>
          <w:rFonts w:cs="Arial"/>
        </w:rPr>
      </w:pPr>
      <w:r w:rsidRPr="00E141F1">
        <w:rPr>
          <w:rFonts w:cs="Arial"/>
        </w:rPr>
        <w:t>The ACMA tracks the number and details of complaints it receives about possible breaches of the BSA, standards, licence conditions and code provisions. Not all complaints are investigated, either because the complainant chooses not to pursue the matter further or because the complaints are outside the ACMA’s jurisdiction.</w:t>
      </w:r>
    </w:p>
    <w:p w:rsidR="001E6FB8" w:rsidRPr="00E141F1" w:rsidRDefault="001E6FB8" w:rsidP="001E6FB8">
      <w:pPr>
        <w:rPr>
          <w:rFonts w:cs="Arial"/>
        </w:rPr>
      </w:pPr>
    </w:p>
    <w:p w:rsidR="001E6FB8" w:rsidRPr="00E141F1" w:rsidRDefault="001E6FB8" w:rsidP="001E6FB8">
      <w:pPr>
        <w:spacing w:line="240" w:lineRule="auto"/>
        <w:rPr>
          <w:rFonts w:cs="Arial"/>
        </w:rPr>
      </w:pPr>
      <w:r w:rsidRPr="00E141F1">
        <w:rPr>
          <w:rFonts w:cs="Arial"/>
        </w:rPr>
        <w:t>There were 2,178 written complaints and enquiries made to the ACMA about broadcasting matters during 2012–13. The number of investigations completed in 2012–13 was 212.</w:t>
      </w:r>
      <w:r w:rsidRPr="00E141F1">
        <w:rPr>
          <w:rStyle w:val="EndnoteReference"/>
          <w:rFonts w:cs="Arial"/>
        </w:rPr>
        <w:endnoteReference w:id="48"/>
      </w:r>
      <w:r w:rsidRPr="00E141F1">
        <w:rPr>
          <w:rFonts w:cs="Arial"/>
        </w:rPr>
        <w:t xml:space="preserve"> There were </w:t>
      </w:r>
      <w:r>
        <w:rPr>
          <w:rFonts w:cs="Arial"/>
        </w:rPr>
        <w:t>10</w:t>
      </w:r>
      <w:r w:rsidRPr="00E141F1">
        <w:rPr>
          <w:rFonts w:cs="Arial"/>
        </w:rPr>
        <w:t xml:space="preserve"> investigations concluded without any finding where, for example, the complaint was withdrawn. The majority of investigations resulting in a breach finding or a non-breach finding occurred in the commercial television sector (Figure 4.3).</w:t>
      </w:r>
    </w:p>
    <w:p w:rsidR="001E6FB8" w:rsidRPr="00E141F1" w:rsidRDefault="001E6FB8" w:rsidP="001E6FB8">
      <w:pPr>
        <w:rPr>
          <w:rFonts w:cs="Arial"/>
        </w:rPr>
      </w:pPr>
    </w:p>
    <w:tbl>
      <w:tblPr>
        <w:tblStyle w:val="TableGrid"/>
        <w:tblW w:w="9214"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4"/>
        <w:gridCol w:w="1140"/>
        <w:gridCol w:w="1140"/>
        <w:gridCol w:w="1140"/>
        <w:gridCol w:w="1140"/>
        <w:gridCol w:w="1140"/>
      </w:tblGrid>
      <w:tr w:rsidR="001E6FB8" w:rsidRPr="00E141F1" w:rsidTr="001E6FB8">
        <w:trPr>
          <w:trHeight w:val="518"/>
        </w:trPr>
        <w:tc>
          <w:tcPr>
            <w:tcW w:w="9214" w:type="dxa"/>
            <w:gridSpan w:val="6"/>
            <w:tcBorders>
              <w:top w:val="single" w:sz="4" w:space="0" w:color="auto"/>
            </w:tcBorders>
            <w:vAlign w:val="center"/>
          </w:tcPr>
          <w:p w:rsidR="001E6FB8" w:rsidRPr="00E141F1" w:rsidRDefault="001E6FB8" w:rsidP="001E6FB8">
            <w:pPr>
              <w:pStyle w:val="Caption"/>
              <w:rPr>
                <w:rFonts w:cs="Arial"/>
              </w:rPr>
            </w:pPr>
            <w:r w:rsidRPr="00E141F1">
              <w:rPr>
                <w:rFonts w:cs="Arial"/>
              </w:rPr>
              <w:t>Table 4.7 ACMA broadcasting complaints and investigations by financial year</w:t>
            </w:r>
          </w:p>
        </w:tc>
      </w:tr>
      <w:tr w:rsidR="001E6FB8" w:rsidRPr="00E141F1" w:rsidTr="001E6FB8">
        <w:trPr>
          <w:trHeight w:val="325"/>
        </w:trPr>
        <w:tc>
          <w:tcPr>
            <w:tcW w:w="3514" w:type="dxa"/>
            <w:shd w:val="clear" w:color="auto" w:fill="00709E"/>
          </w:tcPr>
          <w:p w:rsidR="001E6FB8" w:rsidRPr="00E141F1" w:rsidRDefault="001E6FB8" w:rsidP="001E6FB8">
            <w:pPr>
              <w:rPr>
                <w:rFonts w:cs="Arial"/>
                <w:sz w:val="18"/>
                <w:szCs w:val="18"/>
              </w:rPr>
            </w:pPr>
          </w:p>
        </w:tc>
        <w:tc>
          <w:tcPr>
            <w:tcW w:w="1140" w:type="dxa"/>
            <w:shd w:val="clear" w:color="auto" w:fill="00709E"/>
            <w:vAlign w:val="center"/>
          </w:tcPr>
          <w:p w:rsidR="001E6FB8" w:rsidRPr="00E141F1" w:rsidRDefault="001E6FB8" w:rsidP="001E6FB8">
            <w:pPr>
              <w:pStyle w:val="TableHeading"/>
              <w:ind w:right="45"/>
              <w:jc w:val="right"/>
              <w:rPr>
                <w:rFonts w:cs="Arial"/>
                <w:color w:val="FFFFFF" w:themeColor="background1"/>
                <w:sz w:val="18"/>
                <w:szCs w:val="18"/>
              </w:rPr>
            </w:pPr>
            <w:r w:rsidRPr="00E141F1">
              <w:rPr>
                <w:rFonts w:cs="Arial"/>
                <w:color w:val="FFFFFF" w:themeColor="background1"/>
                <w:sz w:val="18"/>
                <w:szCs w:val="18"/>
              </w:rPr>
              <w:t>2008–09</w:t>
            </w:r>
          </w:p>
        </w:tc>
        <w:tc>
          <w:tcPr>
            <w:tcW w:w="1140" w:type="dxa"/>
            <w:shd w:val="clear" w:color="auto" w:fill="00709E"/>
            <w:vAlign w:val="center"/>
          </w:tcPr>
          <w:p w:rsidR="001E6FB8" w:rsidRPr="00E141F1" w:rsidRDefault="001E6FB8" w:rsidP="001E6FB8">
            <w:pPr>
              <w:pStyle w:val="TableHeading"/>
              <w:ind w:right="45"/>
              <w:jc w:val="right"/>
              <w:rPr>
                <w:rFonts w:cs="Arial"/>
                <w:color w:val="FFFFFF" w:themeColor="background1"/>
                <w:sz w:val="18"/>
                <w:szCs w:val="18"/>
              </w:rPr>
            </w:pPr>
            <w:r w:rsidRPr="00E141F1">
              <w:rPr>
                <w:rFonts w:cs="Arial"/>
                <w:color w:val="FFFFFF" w:themeColor="background1"/>
                <w:sz w:val="18"/>
                <w:szCs w:val="18"/>
              </w:rPr>
              <w:t>2009–10</w:t>
            </w:r>
          </w:p>
        </w:tc>
        <w:tc>
          <w:tcPr>
            <w:tcW w:w="1140" w:type="dxa"/>
            <w:shd w:val="clear" w:color="auto" w:fill="00709E"/>
            <w:vAlign w:val="center"/>
          </w:tcPr>
          <w:p w:rsidR="001E6FB8" w:rsidRPr="00E141F1" w:rsidRDefault="001E6FB8" w:rsidP="001E6FB8">
            <w:pPr>
              <w:pStyle w:val="TableHeading"/>
              <w:ind w:right="45"/>
              <w:jc w:val="right"/>
              <w:rPr>
                <w:rFonts w:cs="Arial"/>
                <w:color w:val="FFFFFF" w:themeColor="background1"/>
                <w:sz w:val="18"/>
                <w:szCs w:val="18"/>
              </w:rPr>
            </w:pPr>
            <w:r w:rsidRPr="00E141F1">
              <w:rPr>
                <w:rFonts w:cs="Arial"/>
                <w:color w:val="FFFFFF" w:themeColor="background1"/>
                <w:sz w:val="18"/>
                <w:szCs w:val="18"/>
              </w:rPr>
              <w:t>2010–11</w:t>
            </w:r>
          </w:p>
        </w:tc>
        <w:tc>
          <w:tcPr>
            <w:tcW w:w="1140" w:type="dxa"/>
            <w:shd w:val="clear" w:color="auto" w:fill="00709E"/>
            <w:vAlign w:val="center"/>
          </w:tcPr>
          <w:p w:rsidR="001E6FB8" w:rsidRPr="00E141F1" w:rsidRDefault="001E6FB8" w:rsidP="001E6FB8">
            <w:pPr>
              <w:pStyle w:val="TableHeading"/>
              <w:tabs>
                <w:tab w:val="right" w:pos="841"/>
              </w:tabs>
              <w:ind w:right="45"/>
              <w:jc w:val="right"/>
              <w:rPr>
                <w:rFonts w:cs="Arial"/>
                <w:color w:val="FFFFFF" w:themeColor="background1"/>
                <w:sz w:val="18"/>
                <w:szCs w:val="18"/>
              </w:rPr>
            </w:pPr>
            <w:r w:rsidRPr="00E141F1">
              <w:rPr>
                <w:rFonts w:cs="Arial"/>
                <w:color w:val="FFFFFF" w:themeColor="background1"/>
                <w:sz w:val="18"/>
                <w:szCs w:val="18"/>
              </w:rPr>
              <w:tab/>
              <w:t>2011–12</w:t>
            </w:r>
          </w:p>
        </w:tc>
        <w:tc>
          <w:tcPr>
            <w:tcW w:w="1140" w:type="dxa"/>
            <w:shd w:val="clear" w:color="auto" w:fill="00709E"/>
            <w:vAlign w:val="center"/>
          </w:tcPr>
          <w:p w:rsidR="001E6FB8" w:rsidRPr="00E141F1" w:rsidRDefault="001E6FB8" w:rsidP="001E6FB8">
            <w:pPr>
              <w:pStyle w:val="TableHeading"/>
              <w:tabs>
                <w:tab w:val="right" w:pos="841"/>
              </w:tabs>
              <w:ind w:right="45"/>
              <w:jc w:val="right"/>
              <w:rPr>
                <w:rFonts w:cs="Arial"/>
                <w:color w:val="FFFFFF" w:themeColor="background1"/>
                <w:sz w:val="18"/>
                <w:szCs w:val="18"/>
              </w:rPr>
            </w:pPr>
            <w:r w:rsidRPr="00E141F1">
              <w:rPr>
                <w:rFonts w:cs="Arial"/>
                <w:color w:val="FFFFFF" w:themeColor="background1"/>
                <w:sz w:val="18"/>
                <w:szCs w:val="18"/>
              </w:rPr>
              <w:t>2012–13</w:t>
            </w:r>
          </w:p>
        </w:tc>
      </w:tr>
      <w:tr w:rsidR="001E6FB8" w:rsidRPr="00E141F1" w:rsidTr="001E6FB8">
        <w:trPr>
          <w:trHeight w:val="370"/>
        </w:trPr>
        <w:tc>
          <w:tcPr>
            <w:tcW w:w="3514" w:type="dxa"/>
            <w:tcBorders>
              <w:bottom w:val="single" w:sz="4" w:space="0" w:color="BFBFBF" w:themeColor="background1" w:themeShade="BF"/>
            </w:tcBorders>
            <w:vAlign w:val="center"/>
          </w:tcPr>
          <w:p w:rsidR="001E6FB8" w:rsidRPr="00E141F1" w:rsidRDefault="001E6FB8" w:rsidP="001E6FB8">
            <w:pPr>
              <w:rPr>
                <w:rFonts w:cs="Arial"/>
                <w:sz w:val="18"/>
                <w:szCs w:val="18"/>
              </w:rPr>
            </w:pPr>
            <w:r w:rsidRPr="00E141F1">
              <w:rPr>
                <w:rFonts w:cs="Arial"/>
                <w:sz w:val="18"/>
                <w:szCs w:val="18"/>
              </w:rPr>
              <w:t>Written complaints and enquiries received</w:t>
            </w:r>
          </w:p>
        </w:tc>
        <w:tc>
          <w:tcPr>
            <w:tcW w:w="1140" w:type="dxa"/>
            <w:tcBorders>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1,464</w:t>
            </w:r>
          </w:p>
        </w:tc>
        <w:tc>
          <w:tcPr>
            <w:tcW w:w="1140" w:type="dxa"/>
            <w:tcBorders>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1,676</w:t>
            </w:r>
          </w:p>
        </w:tc>
        <w:tc>
          <w:tcPr>
            <w:tcW w:w="1140" w:type="dxa"/>
            <w:tcBorders>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1,512</w:t>
            </w:r>
          </w:p>
        </w:tc>
        <w:tc>
          <w:tcPr>
            <w:tcW w:w="1140" w:type="dxa"/>
            <w:tcBorders>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2,273</w:t>
            </w:r>
          </w:p>
        </w:tc>
        <w:tc>
          <w:tcPr>
            <w:tcW w:w="1140" w:type="dxa"/>
            <w:tcBorders>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2,178</w:t>
            </w:r>
            <w:r w:rsidRPr="00E141F1">
              <w:rPr>
                <w:rStyle w:val="EndnoteReference"/>
                <w:rFonts w:cs="Arial"/>
                <w:sz w:val="18"/>
                <w:szCs w:val="18"/>
              </w:rPr>
              <w:endnoteReference w:id="49"/>
            </w:r>
          </w:p>
        </w:tc>
      </w:tr>
      <w:tr w:rsidR="001E6FB8" w:rsidRPr="00E141F1" w:rsidTr="001E6FB8">
        <w:trPr>
          <w:trHeight w:val="408"/>
        </w:trPr>
        <w:tc>
          <w:tcPr>
            <w:tcW w:w="3514"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rPr>
                <w:rFonts w:cs="Arial"/>
                <w:sz w:val="18"/>
                <w:szCs w:val="18"/>
              </w:rPr>
            </w:pPr>
            <w:r w:rsidRPr="00E141F1">
              <w:rPr>
                <w:rFonts w:cs="Arial"/>
                <w:sz w:val="18"/>
                <w:szCs w:val="18"/>
              </w:rPr>
              <w:t>Investigations completed</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194</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189</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197</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231</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212</w:t>
            </w:r>
          </w:p>
        </w:tc>
      </w:tr>
      <w:tr w:rsidR="001E6FB8" w:rsidRPr="00E141F1" w:rsidTr="001E6FB8">
        <w:trPr>
          <w:trHeight w:val="414"/>
        </w:trPr>
        <w:tc>
          <w:tcPr>
            <w:tcW w:w="3514"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rPr>
                <w:rFonts w:cs="Arial"/>
                <w:sz w:val="18"/>
                <w:szCs w:val="18"/>
              </w:rPr>
            </w:pPr>
            <w:r w:rsidRPr="00E141F1">
              <w:rPr>
                <w:rFonts w:cs="Arial"/>
                <w:sz w:val="18"/>
                <w:szCs w:val="18"/>
              </w:rPr>
              <w:t xml:space="preserve">Investigations resulting in a </w:t>
            </w:r>
            <w:r>
              <w:rPr>
                <w:rFonts w:cs="Arial"/>
                <w:sz w:val="18"/>
                <w:szCs w:val="18"/>
              </w:rPr>
              <w:br/>
            </w:r>
            <w:r w:rsidRPr="00E141F1">
              <w:rPr>
                <w:rFonts w:cs="Arial"/>
                <w:sz w:val="18"/>
                <w:szCs w:val="18"/>
              </w:rPr>
              <w:t>breach finding*</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80</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74</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72</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71</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67</w:t>
            </w:r>
          </w:p>
        </w:tc>
      </w:tr>
      <w:tr w:rsidR="001E6FB8" w:rsidRPr="00E141F1" w:rsidTr="001E6FB8">
        <w:trPr>
          <w:trHeight w:val="406"/>
        </w:trPr>
        <w:tc>
          <w:tcPr>
            <w:tcW w:w="3514"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rPr>
                <w:rFonts w:cs="Arial"/>
                <w:sz w:val="18"/>
                <w:szCs w:val="18"/>
              </w:rPr>
            </w:pPr>
            <w:r w:rsidRPr="00E141F1">
              <w:rPr>
                <w:rFonts w:cs="Arial"/>
                <w:sz w:val="18"/>
                <w:szCs w:val="18"/>
              </w:rPr>
              <w:t xml:space="preserve">Investigations resulting in a </w:t>
            </w:r>
            <w:r>
              <w:rPr>
                <w:rFonts w:cs="Arial"/>
                <w:sz w:val="18"/>
                <w:szCs w:val="18"/>
              </w:rPr>
              <w:br/>
            </w:r>
            <w:r w:rsidRPr="00E141F1">
              <w:rPr>
                <w:rFonts w:cs="Arial"/>
                <w:sz w:val="18"/>
                <w:szCs w:val="18"/>
              </w:rPr>
              <w:t>non-breach finding*</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109</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111</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115</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155</w:t>
            </w:r>
          </w:p>
        </w:tc>
        <w:tc>
          <w:tcPr>
            <w:tcW w:w="1140" w:type="dxa"/>
            <w:tcBorders>
              <w:top w:val="single" w:sz="4" w:space="0" w:color="BFBFBF" w:themeColor="background1" w:themeShade="BF"/>
              <w:bottom w:val="single" w:sz="4" w:space="0" w:color="BFBFBF" w:themeColor="background1" w:themeShade="BF"/>
            </w:tcBorders>
            <w:vAlign w:val="center"/>
          </w:tcPr>
          <w:p w:rsidR="001E6FB8" w:rsidRPr="00E141F1" w:rsidRDefault="001E6FB8" w:rsidP="001E6FB8">
            <w:pPr>
              <w:ind w:right="45"/>
              <w:jc w:val="right"/>
              <w:rPr>
                <w:rFonts w:cs="Arial"/>
                <w:sz w:val="18"/>
                <w:szCs w:val="18"/>
              </w:rPr>
            </w:pPr>
            <w:r w:rsidRPr="00E141F1">
              <w:rPr>
                <w:rFonts w:cs="Arial"/>
                <w:sz w:val="18"/>
                <w:szCs w:val="18"/>
              </w:rPr>
              <w:t>135</w:t>
            </w:r>
          </w:p>
        </w:tc>
      </w:tr>
      <w:tr w:rsidR="001E6FB8" w:rsidRPr="00E141F1" w:rsidTr="001E6FB8">
        <w:trPr>
          <w:trHeight w:val="726"/>
        </w:trPr>
        <w:tc>
          <w:tcPr>
            <w:tcW w:w="9214" w:type="dxa"/>
            <w:gridSpan w:val="6"/>
            <w:tcBorders>
              <w:bottom w:val="single" w:sz="4" w:space="0" w:color="auto"/>
            </w:tcBorders>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w:t>
            </w:r>
            <w:r w:rsidRPr="00D065B6">
              <w:rPr>
                <w:rFonts w:cs="Arial"/>
                <w:i/>
                <w:sz w:val="16"/>
                <w:szCs w:val="16"/>
              </w:rPr>
              <w:t xml:space="preserve">Investigations against a code of practice, licence condition, standard and/or provision of the </w:t>
            </w:r>
            <w:r w:rsidRPr="00B520F3">
              <w:rPr>
                <w:rFonts w:cs="Arial"/>
                <w:sz w:val="16"/>
                <w:szCs w:val="16"/>
              </w:rPr>
              <w:t>Broadcasting Services Act 1992</w:t>
            </w:r>
            <w:r w:rsidRPr="00D065B6">
              <w:rPr>
                <w:rFonts w:cs="Arial"/>
                <w:i/>
                <w:sz w:val="16"/>
                <w:szCs w:val="16"/>
              </w:rPr>
              <w:t>.</w:t>
            </w:r>
          </w:p>
          <w:p w:rsidR="001E6FB8" w:rsidRPr="00E141F1" w:rsidRDefault="001E6FB8" w:rsidP="001E6FB8">
            <w:pPr>
              <w:keepNext/>
              <w:keepLines/>
              <w:spacing w:line="240" w:lineRule="auto"/>
              <w:rPr>
                <w:rFonts w:cs="Arial"/>
                <w:i/>
                <w:sz w:val="16"/>
                <w:szCs w:val="16"/>
              </w:rPr>
            </w:pPr>
            <w:r w:rsidRPr="00E141F1">
              <w:rPr>
                <w:rFonts w:cs="Arial"/>
                <w:i/>
                <w:sz w:val="16"/>
                <w:szCs w:val="16"/>
              </w:rPr>
              <w:t>Note: Sum of categories does not equal total number of investigations completed due to exclusion of completed investigations with no finding; for example, where the complaint is withdrawn.</w:t>
            </w:r>
          </w:p>
          <w:p w:rsidR="001E6FB8" w:rsidRPr="00E141F1" w:rsidRDefault="001E6FB8" w:rsidP="001E6FB8">
            <w:pPr>
              <w:keepNext/>
              <w:keepLines/>
              <w:spacing w:after="60" w:line="240" w:lineRule="auto"/>
              <w:rPr>
                <w:rFonts w:cs="Arial"/>
              </w:rPr>
            </w:pPr>
            <w:r w:rsidRPr="00E141F1">
              <w:rPr>
                <w:rFonts w:cs="Arial"/>
                <w:i/>
                <w:sz w:val="16"/>
                <w:szCs w:val="16"/>
              </w:rPr>
              <w:t>Source: Broadcasting complaints to the ACMA.</w:t>
            </w:r>
          </w:p>
        </w:tc>
      </w:tr>
    </w:tbl>
    <w:p w:rsidR="001E6FB8" w:rsidRPr="00E141F1" w:rsidRDefault="001E6FB8" w:rsidP="001E6FB8">
      <w:pPr>
        <w:rPr>
          <w:rFonts w:cs="Arial"/>
        </w:rPr>
      </w:pPr>
    </w:p>
    <w:p w:rsidR="001E6FB8" w:rsidRPr="00E141F1" w:rsidRDefault="001E6FB8" w:rsidP="001E6FB8">
      <w:pPr>
        <w:rPr>
          <w:rFonts w:cs="Arial"/>
        </w:rPr>
      </w:pPr>
    </w:p>
    <w:tbl>
      <w:tblPr>
        <w:tblStyle w:val="TableGrid"/>
        <w:tblW w:w="9214"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14"/>
      </w:tblGrid>
      <w:tr w:rsidR="001E6FB8" w:rsidRPr="00E141F1" w:rsidTr="001E6FB8">
        <w:trPr>
          <w:trHeight w:val="493"/>
        </w:trPr>
        <w:tc>
          <w:tcPr>
            <w:tcW w:w="9214" w:type="dxa"/>
            <w:tcBorders>
              <w:top w:val="single" w:sz="2" w:space="0" w:color="auto"/>
            </w:tcBorders>
            <w:vAlign w:val="center"/>
          </w:tcPr>
          <w:p w:rsidR="001E6FB8" w:rsidRPr="00E141F1" w:rsidRDefault="001E6FB8" w:rsidP="001E6FB8">
            <w:pPr>
              <w:pStyle w:val="Caption"/>
              <w:keepNext/>
              <w:keepLines/>
              <w:rPr>
                <w:rFonts w:cs="Arial"/>
              </w:rPr>
            </w:pPr>
            <w:r w:rsidRPr="00E141F1">
              <w:rPr>
                <w:rFonts w:cs="Arial"/>
              </w:rPr>
              <w:t>Figure 4.3 ACMA broadcasting investigations for 2012–13 by sector</w:t>
            </w:r>
          </w:p>
        </w:tc>
      </w:tr>
      <w:tr w:rsidR="001E6FB8" w:rsidRPr="00E141F1" w:rsidTr="001E6FB8">
        <w:tc>
          <w:tcPr>
            <w:tcW w:w="9214" w:type="dxa"/>
          </w:tcPr>
          <w:p w:rsidR="001E6FB8" w:rsidRPr="00E141F1" w:rsidRDefault="001E6FB8" w:rsidP="001E6FB8">
            <w:pPr>
              <w:keepNext/>
              <w:keepLines/>
              <w:spacing w:line="240" w:lineRule="auto"/>
              <w:rPr>
                <w:rFonts w:cs="Arial"/>
              </w:rPr>
            </w:pPr>
            <w:r>
              <w:rPr>
                <w:rFonts w:cs="Arial"/>
                <w:noProof/>
              </w:rPr>
              <w:drawing>
                <wp:inline distT="0" distB="0" distL="0" distR="0">
                  <wp:extent cx="5686425" cy="2924175"/>
                  <wp:effectExtent l="0" t="0" r="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r w:rsidR="001E6FB8" w:rsidRPr="00E141F1" w:rsidTr="001E6FB8">
        <w:tc>
          <w:tcPr>
            <w:tcW w:w="9214" w:type="dxa"/>
            <w:tcBorders>
              <w:bottom w:val="single" w:sz="2" w:space="0" w:color="auto"/>
            </w:tcBorders>
          </w:tcPr>
          <w:p w:rsidR="001E6FB8" w:rsidRPr="00E141F1" w:rsidRDefault="001E6FB8" w:rsidP="001E6FB8">
            <w:pPr>
              <w:keepNext/>
              <w:keepLines/>
              <w:spacing w:before="60" w:line="240" w:lineRule="auto"/>
              <w:rPr>
                <w:rFonts w:cs="Arial"/>
                <w:i/>
                <w:sz w:val="16"/>
                <w:szCs w:val="16"/>
              </w:rPr>
            </w:pPr>
            <w:r w:rsidRPr="00E141F1">
              <w:rPr>
                <w:rFonts w:cs="Arial"/>
                <w:i/>
                <w:sz w:val="16"/>
                <w:szCs w:val="16"/>
              </w:rPr>
              <w:t>Note: Sum of categories does not equal total number of investigations completed due to exclusion of completed investigations with no finding; for example, where the complaint is withdrawn.</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Source: Broadcasting complaints to the ACMA.</w:t>
            </w:r>
          </w:p>
        </w:tc>
      </w:tr>
    </w:tbl>
    <w:p w:rsidR="001E6FB8" w:rsidRPr="00E141F1" w:rsidRDefault="001E6FB8" w:rsidP="001E6FB8">
      <w:pPr>
        <w:spacing w:line="240" w:lineRule="auto"/>
        <w:rPr>
          <w:rFonts w:cs="Arial"/>
        </w:rPr>
      </w:pPr>
    </w:p>
    <w:p w:rsidR="001E6FB8" w:rsidRPr="00E141F1" w:rsidRDefault="001E6FB8" w:rsidP="001E6FB8">
      <w:pPr>
        <w:pStyle w:val="Heading2"/>
      </w:pPr>
      <w:bookmarkStart w:id="587" w:name="_Toc371589118"/>
      <w:bookmarkStart w:id="588" w:name="_Toc373149180"/>
      <w:r w:rsidRPr="00E141F1">
        <w:t>Investigating complaints about online content</w:t>
      </w:r>
      <w:bookmarkEnd w:id="587"/>
      <w:bookmarkEnd w:id="588"/>
    </w:p>
    <w:p w:rsidR="001E6FB8" w:rsidRPr="00E141F1" w:rsidRDefault="001E6FB8" w:rsidP="001E6FB8">
      <w:pPr>
        <w:rPr>
          <w:rFonts w:cs="Arial"/>
        </w:rPr>
      </w:pPr>
      <w:r w:rsidRPr="00E141F1">
        <w:rPr>
          <w:rFonts w:cs="Arial"/>
        </w:rPr>
        <w:t>The online content co-regulato</w:t>
      </w:r>
      <w:r>
        <w:rPr>
          <w:rFonts w:cs="Arial"/>
        </w:rPr>
        <w:t>ry scheme is established under s</w:t>
      </w:r>
      <w:r w:rsidRPr="00E141F1">
        <w:rPr>
          <w:rFonts w:cs="Arial"/>
        </w:rPr>
        <w:t xml:space="preserve">chedules 5 and 7 to the BSA and dovetails with industry codes of practice. Under the scheme, the ACMA must investigate all valid complaints about online content where the complainant considers that the content may be prohibited.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Prohibited online content is defined by reference to the National Classification Scheme established under the </w:t>
      </w:r>
      <w:r w:rsidRPr="00E141F1">
        <w:rPr>
          <w:rFonts w:cs="Arial"/>
          <w:i/>
        </w:rPr>
        <w:t>Classification (Publications, Films and Computer Games) Act 1995</w:t>
      </w:r>
      <w:r w:rsidRPr="00E141F1">
        <w:rPr>
          <w:rFonts w:cs="Arial"/>
        </w:rPr>
        <w:t>. Content that is classified RC (Refused Classification) and X 18+ is prohibited and, in certain circumstances, content that is classified R 18+ and MA 15+ is also prohibited. Content that has not been formally classified by the National Classification Board, but has been determined by the ACMA as likely to be prohibited, is termed ‘potential prohibited’ content under the BSA.</w:t>
      </w:r>
      <w:r w:rsidRPr="00E141F1">
        <w:rPr>
          <w:rStyle w:val="EndnoteReference"/>
          <w:rFonts w:cs="Arial"/>
        </w:rPr>
        <w:endnoteReference w:id="50"/>
      </w:r>
    </w:p>
    <w:p w:rsidR="001E6FB8" w:rsidRPr="00E141F1" w:rsidRDefault="001E6FB8" w:rsidP="001E6FB8">
      <w:pPr>
        <w:rPr>
          <w:rFonts w:cs="Arial"/>
        </w:rPr>
      </w:pPr>
    </w:p>
    <w:p w:rsidR="001E6FB8" w:rsidRDefault="001E6FB8" w:rsidP="001E6FB8">
      <w:r w:rsidRPr="00E141F1">
        <w:t>During 2012–13, the ACMA received 4,633 complaints (compared to 5,026 during 2011–12) and finalised investigations into 3,793 items of content as at 30 June 2013. Of these, 1,853 individual items were assessed as prohibited or potential prohibited online content (Table 4.8).</w:t>
      </w:r>
    </w:p>
    <w:p w:rsidR="001E6FB8" w:rsidRDefault="001E6FB8" w:rsidP="001E6FB8"/>
    <w:p w:rsidR="001E6FB8" w:rsidRPr="00E141F1" w:rsidRDefault="001E6FB8" w:rsidP="001E6FB8">
      <w:pPr>
        <w:rPr>
          <w:rFonts w:cs="Arial"/>
        </w:rPr>
      </w:pPr>
      <w:r w:rsidRPr="00E141F1">
        <w:rPr>
          <w:rFonts w:cs="Arial"/>
        </w:rPr>
        <w:t xml:space="preserve">If prohibited content is hosted in or provided from Australia, the ACMA must direct the content service provider to remove or prevent access to it (depending on its nature). If prohibited or potential prohibited content is hosted overseas, the ACMA notifies the suppliers of optional end-user Internet Industry Association (IIA) accredited filters. These filters have been tested and accredited by the IIA, as part of the Family Friendly Filter scheme, in accordance with the Internet and Mobile Content Code. Approximately 70 per cent of online content items actioned were classified or likely to be classified as RC (Figure 4.4). </w:t>
      </w:r>
    </w:p>
    <w:p w:rsidR="001E6FB8" w:rsidRPr="00E141F1" w:rsidRDefault="001E6FB8" w:rsidP="001E6FB8">
      <w:pPr>
        <w:spacing w:after="80"/>
        <w:rPr>
          <w:rFonts w:cs="Arial"/>
        </w:rPr>
      </w:pPr>
    </w:p>
    <w:tbl>
      <w:tblPr>
        <w:tblW w:w="9645" w:type="dxa"/>
        <w:tblLayout w:type="fixed"/>
        <w:tblCellMar>
          <w:left w:w="0" w:type="dxa"/>
          <w:right w:w="0" w:type="dxa"/>
        </w:tblCellMar>
        <w:tblLook w:val="01E0"/>
      </w:tblPr>
      <w:tblGrid>
        <w:gridCol w:w="9645"/>
      </w:tblGrid>
      <w:tr w:rsidR="001E6FB8" w:rsidRPr="00E141F1" w:rsidTr="001E6FB8">
        <w:trPr>
          <w:trHeight w:val="702"/>
        </w:trPr>
        <w:tc>
          <w:tcPr>
            <w:tcW w:w="9645"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Figure 4.4 Prohibited and potential prohibited content items actioned by actual or likely classification, 1 July 2012 to 30 June 2013</w:t>
            </w:r>
          </w:p>
        </w:tc>
      </w:tr>
      <w:tr w:rsidR="001E6FB8" w:rsidRPr="00E141F1" w:rsidTr="001E6FB8">
        <w:trPr>
          <w:trHeight w:val="3086"/>
        </w:trPr>
        <w:tc>
          <w:tcPr>
            <w:tcW w:w="9645" w:type="dxa"/>
            <w:shd w:val="clear" w:color="auto" w:fill="auto"/>
            <w:tcMar>
              <w:left w:w="28" w:type="dxa"/>
            </w:tcMar>
          </w:tcPr>
          <w:p w:rsidR="001E6FB8" w:rsidRPr="00E141F1" w:rsidRDefault="001E6FB8" w:rsidP="001E6FB8">
            <w:pPr>
              <w:keepNext/>
              <w:rPr>
                <w:rFonts w:cs="Arial"/>
              </w:rPr>
            </w:pPr>
            <w:r w:rsidRPr="00102658">
              <w:rPr>
                <w:rFonts w:cs="Arial"/>
                <w:noProof/>
              </w:rPr>
              <w:drawing>
                <wp:inline distT="0" distB="0" distL="0" distR="0">
                  <wp:extent cx="5655365" cy="2773017"/>
                  <wp:effectExtent l="0" t="0" r="0" b="0"/>
                  <wp:docPr id="28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widowControl w:val="0"/>
              <w:spacing w:before="120" w:line="240" w:lineRule="auto"/>
              <w:outlineLvl w:val="0"/>
              <w:rPr>
                <w:rFonts w:cs="Arial"/>
                <w:i/>
                <w:sz w:val="16"/>
                <w:szCs w:val="16"/>
              </w:rPr>
            </w:pPr>
            <w:r w:rsidRPr="00E141F1">
              <w:rPr>
                <w:rFonts w:cs="Arial"/>
                <w:i/>
                <w:sz w:val="16"/>
                <w:szCs w:val="16"/>
              </w:rPr>
              <w:t xml:space="preserve">Note: According to the National Classification Scheme, RC1(a)=Content that describes, depicts, expresses or otherwise deals with matters of sex, drug misuse or addiction, crime, cruelty, violence, or revolting or abhorrent phenomena in such a way that they offend against the standards of morality, decency and propriety generally accepted by reasonable adults to the extent that they should not be classified. This includes, but is not limited to, depictions of bestiality, sexual activity accompanied by offensive or abhorrent fetishes, incest fantasies and cruelty or real violence which has a high impact. RC1(b)=Content that describes or depicts in a way that is likely to cause offence to a reasonable adult, a person who is or appears to be, a child under 18 (whether the person is engaged in sexual activity or not). RC1(c)=Content that promotes, incites or instructs in matters of crime or violence. RC1(d)=Computer games that are unsuitable for a minor to see or play. RC 9A=Material that advocates the doing of a terrorist act as set out under section 9A of the </w:t>
            </w:r>
            <w:r w:rsidRPr="00B520F3">
              <w:rPr>
                <w:rFonts w:cs="Arial"/>
                <w:sz w:val="16"/>
                <w:szCs w:val="16"/>
              </w:rPr>
              <w:t>Classification (Publications, Films and Computer Games) Act 1995</w:t>
            </w:r>
            <w:r w:rsidRPr="00E141F1">
              <w:rPr>
                <w:rFonts w:cs="Arial"/>
                <w:i/>
                <w:sz w:val="16"/>
                <w:szCs w:val="16"/>
              </w:rPr>
              <w:t>.</w:t>
            </w:r>
          </w:p>
          <w:p w:rsidR="001E6FB8" w:rsidRPr="00E141F1" w:rsidRDefault="001E6FB8" w:rsidP="001E6FB8">
            <w:pPr>
              <w:keepNext/>
              <w:spacing w:after="60" w:line="240" w:lineRule="auto"/>
              <w:rPr>
                <w:rFonts w:cs="Arial"/>
              </w:rPr>
            </w:pPr>
            <w:r w:rsidRPr="00E141F1">
              <w:rPr>
                <w:rFonts w:cs="Arial"/>
                <w:i/>
                <w:sz w:val="16"/>
                <w:szCs w:val="16"/>
              </w:rPr>
              <w:t>Source: Online content complaints actioned by the ACMA.</w:t>
            </w:r>
          </w:p>
        </w:tc>
      </w:tr>
    </w:tbl>
    <w:p w:rsidR="001E6FB8" w:rsidRPr="00E141F1" w:rsidRDefault="001E6FB8" w:rsidP="001E6FB8"/>
    <w:p w:rsidR="001E6FB8" w:rsidRPr="00E141F1" w:rsidRDefault="001E6FB8" w:rsidP="001E6FB8">
      <w:r w:rsidRPr="00E141F1">
        <w:t>During 2012–13,</w:t>
      </w:r>
      <w:r w:rsidRPr="00E141F1">
        <w:rPr>
          <w:color w:val="CC0099"/>
        </w:rPr>
        <w:t xml:space="preserve"> </w:t>
      </w:r>
      <w:r w:rsidRPr="00E141F1">
        <w:t>a total of 1,845 overseas-hosted prohibited or potential prohibited items were referred to suppliers of optional end-user industry-accredited filters (Table</w:t>
      </w:r>
      <w:r>
        <w:t> </w:t>
      </w:r>
      <w:r w:rsidRPr="00E141F1">
        <w:t xml:space="preserve">4.8). The ACMA also issued five final ‘take-down’ notices for items of Australian-hosted prohibited content. All ISPs issued with a notice removed the content within the required time frame, maintaining 100 per cent compliance with </w:t>
      </w:r>
      <w:r>
        <w:br/>
      </w:r>
      <w:r w:rsidRPr="00E141F1">
        <w:t>‘take-down’ directions.</w:t>
      </w:r>
    </w:p>
    <w:p w:rsidR="001E6FB8" w:rsidRDefault="001E6FB8" w:rsidP="001E6FB8"/>
    <w:p w:rsidR="001E6FB8" w:rsidRPr="00353A31" w:rsidRDefault="001E6FB8" w:rsidP="001E6FB8"/>
    <w:tbl>
      <w:tblPr>
        <w:tblW w:w="9645" w:type="dxa"/>
        <w:tblLayout w:type="fixed"/>
        <w:tblCellMar>
          <w:left w:w="0" w:type="dxa"/>
          <w:right w:w="0" w:type="dxa"/>
        </w:tblCellMar>
        <w:tblLook w:val="01E0"/>
      </w:tblPr>
      <w:tblGrid>
        <w:gridCol w:w="9645"/>
      </w:tblGrid>
      <w:tr w:rsidR="001E6FB8" w:rsidRPr="00E141F1" w:rsidTr="001E6FB8">
        <w:trPr>
          <w:trHeight w:val="570"/>
        </w:trPr>
        <w:tc>
          <w:tcPr>
            <w:tcW w:w="9645"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Table 4.8 Internet content investigations by financial year</w:t>
            </w:r>
          </w:p>
        </w:tc>
      </w:tr>
      <w:tr w:rsidR="001E6FB8" w:rsidRPr="00E141F1" w:rsidTr="001E6FB8">
        <w:trPr>
          <w:trHeight w:val="3086"/>
        </w:trPr>
        <w:tc>
          <w:tcPr>
            <w:tcW w:w="9645" w:type="dxa"/>
            <w:shd w:val="clear" w:color="auto" w:fill="auto"/>
            <w:tcMar>
              <w:left w:w="28" w:type="dxa"/>
            </w:tcMar>
          </w:tcPr>
          <w:tbl>
            <w:tblPr>
              <w:tblpPr w:leftFromText="180" w:rightFromText="180" w:vertAnchor="text" w:tblpY="1"/>
              <w:tblOverlap w:val="never"/>
              <w:tblW w:w="9538" w:type="dxa"/>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Layout w:type="fixed"/>
              <w:tblCellMar>
                <w:left w:w="85" w:type="dxa"/>
                <w:right w:w="0" w:type="dxa"/>
              </w:tblCellMar>
              <w:tblLook w:val="01E0"/>
            </w:tblPr>
            <w:tblGrid>
              <w:gridCol w:w="3402"/>
              <w:gridCol w:w="1184"/>
              <w:gridCol w:w="1238"/>
              <w:gridCol w:w="1238"/>
              <w:gridCol w:w="1238"/>
              <w:gridCol w:w="1238"/>
            </w:tblGrid>
            <w:tr w:rsidR="001E6FB8" w:rsidRPr="00E141F1" w:rsidTr="001E6FB8">
              <w:trPr>
                <w:trHeight w:val="359"/>
              </w:trPr>
              <w:tc>
                <w:tcPr>
                  <w:tcW w:w="3402" w:type="dxa"/>
                  <w:tcBorders>
                    <w:top w:val="nil"/>
                    <w:left w:val="nil"/>
                    <w:bottom w:val="nil"/>
                    <w:right w:val="nil"/>
                  </w:tcBorders>
                  <w:shd w:val="clear" w:color="auto" w:fill="00709E"/>
                  <w:tcMar>
                    <w:top w:w="34" w:type="dxa"/>
                    <w:left w:w="113" w:type="dxa"/>
                  </w:tcMar>
                </w:tcPr>
                <w:p w:rsidR="001E6FB8" w:rsidRPr="00E141F1" w:rsidRDefault="001E6FB8" w:rsidP="001E6FB8">
                  <w:pPr>
                    <w:keepNext/>
                    <w:keepLines/>
                    <w:rPr>
                      <w:rFonts w:cs="Arial"/>
                      <w:b/>
                      <w:sz w:val="18"/>
                      <w:szCs w:val="18"/>
                      <w:highlight w:val="yellow"/>
                    </w:rPr>
                  </w:pPr>
                </w:p>
              </w:tc>
              <w:tc>
                <w:tcPr>
                  <w:tcW w:w="1184" w:type="dxa"/>
                  <w:tcBorders>
                    <w:top w:val="nil"/>
                    <w:left w:val="nil"/>
                    <w:bottom w:val="nil"/>
                    <w:right w:val="nil"/>
                  </w:tcBorders>
                  <w:shd w:val="clear" w:color="auto" w:fill="00709E"/>
                </w:tcPr>
                <w:p w:rsidR="001E6FB8" w:rsidRPr="00E141F1" w:rsidDel="00560996" w:rsidRDefault="001E6FB8" w:rsidP="001E6FB8">
                  <w:pPr>
                    <w:pStyle w:val="TableHeading"/>
                    <w:keepNext/>
                    <w:keepLines/>
                    <w:ind w:right="118"/>
                    <w:jc w:val="right"/>
                    <w:rPr>
                      <w:rFonts w:cs="Arial"/>
                      <w:color w:val="FFFFFF" w:themeColor="background1"/>
                      <w:sz w:val="18"/>
                      <w:szCs w:val="18"/>
                    </w:rPr>
                  </w:pPr>
                  <w:r w:rsidRPr="00E141F1">
                    <w:rPr>
                      <w:rFonts w:cs="Arial"/>
                      <w:color w:val="FFFFFF" w:themeColor="background1"/>
                      <w:sz w:val="18"/>
                      <w:szCs w:val="18"/>
                    </w:rPr>
                    <w:t>2008–09</w:t>
                  </w:r>
                </w:p>
              </w:tc>
              <w:tc>
                <w:tcPr>
                  <w:tcW w:w="1238" w:type="dxa"/>
                  <w:tcBorders>
                    <w:top w:val="nil"/>
                    <w:left w:val="nil"/>
                    <w:bottom w:val="nil"/>
                    <w:right w:val="nil"/>
                  </w:tcBorders>
                  <w:shd w:val="clear" w:color="auto" w:fill="00709E"/>
                </w:tcPr>
                <w:p w:rsidR="001E6FB8" w:rsidRPr="00E141F1" w:rsidDel="00560996" w:rsidRDefault="001E6FB8" w:rsidP="001E6FB8">
                  <w:pPr>
                    <w:pStyle w:val="TableHeading"/>
                    <w:keepNext/>
                    <w:keepLines/>
                    <w:ind w:right="118"/>
                    <w:jc w:val="right"/>
                    <w:rPr>
                      <w:rFonts w:cs="Arial"/>
                      <w:color w:val="FFFFFF" w:themeColor="background1"/>
                      <w:sz w:val="18"/>
                      <w:szCs w:val="18"/>
                    </w:rPr>
                  </w:pPr>
                  <w:r w:rsidRPr="00E141F1">
                    <w:rPr>
                      <w:rFonts w:cs="Arial"/>
                      <w:color w:val="FFFFFF" w:themeColor="background1"/>
                      <w:sz w:val="18"/>
                      <w:szCs w:val="18"/>
                    </w:rPr>
                    <w:t>2009–10</w:t>
                  </w:r>
                </w:p>
              </w:tc>
              <w:tc>
                <w:tcPr>
                  <w:tcW w:w="1238" w:type="dxa"/>
                  <w:tcBorders>
                    <w:top w:val="nil"/>
                    <w:left w:val="nil"/>
                    <w:bottom w:val="nil"/>
                    <w:right w:val="nil"/>
                  </w:tcBorders>
                  <w:shd w:val="clear" w:color="auto" w:fill="00709E"/>
                </w:tcPr>
                <w:p w:rsidR="001E6FB8" w:rsidRPr="00E141F1" w:rsidDel="00560996" w:rsidRDefault="001E6FB8" w:rsidP="001E6FB8">
                  <w:pPr>
                    <w:pStyle w:val="TableHeading"/>
                    <w:keepNext/>
                    <w:keepLines/>
                    <w:ind w:right="118"/>
                    <w:jc w:val="right"/>
                    <w:rPr>
                      <w:rFonts w:cs="Arial"/>
                      <w:color w:val="FFFFFF" w:themeColor="background1"/>
                      <w:sz w:val="18"/>
                      <w:szCs w:val="18"/>
                    </w:rPr>
                  </w:pPr>
                  <w:r w:rsidRPr="00E141F1">
                    <w:rPr>
                      <w:rFonts w:cs="Arial"/>
                      <w:color w:val="FFFFFF" w:themeColor="background1"/>
                      <w:sz w:val="18"/>
                      <w:szCs w:val="18"/>
                    </w:rPr>
                    <w:t>2010–11</w:t>
                  </w:r>
                </w:p>
              </w:tc>
              <w:tc>
                <w:tcPr>
                  <w:tcW w:w="1238" w:type="dxa"/>
                  <w:tcBorders>
                    <w:top w:val="nil"/>
                    <w:left w:val="nil"/>
                    <w:bottom w:val="nil"/>
                    <w:right w:val="nil"/>
                  </w:tcBorders>
                  <w:shd w:val="clear" w:color="auto" w:fill="00709E"/>
                </w:tcPr>
                <w:p w:rsidR="001E6FB8" w:rsidRPr="00E141F1" w:rsidRDefault="001E6FB8" w:rsidP="001E6FB8">
                  <w:pPr>
                    <w:pStyle w:val="TableHeading"/>
                    <w:keepNext/>
                    <w:keepLines/>
                    <w:ind w:right="118"/>
                    <w:jc w:val="right"/>
                    <w:rPr>
                      <w:rFonts w:cs="Arial"/>
                      <w:color w:val="FFFFFF" w:themeColor="background1"/>
                      <w:sz w:val="18"/>
                      <w:szCs w:val="18"/>
                    </w:rPr>
                  </w:pPr>
                  <w:r w:rsidRPr="00E141F1">
                    <w:rPr>
                      <w:rFonts w:cs="Arial"/>
                      <w:color w:val="FFFFFF" w:themeColor="background1"/>
                      <w:sz w:val="18"/>
                      <w:szCs w:val="18"/>
                    </w:rPr>
                    <w:t>2011–12</w:t>
                  </w:r>
                </w:p>
              </w:tc>
              <w:tc>
                <w:tcPr>
                  <w:tcW w:w="1238" w:type="dxa"/>
                  <w:tcBorders>
                    <w:top w:val="nil"/>
                    <w:left w:val="nil"/>
                    <w:bottom w:val="nil"/>
                    <w:right w:val="nil"/>
                  </w:tcBorders>
                  <w:shd w:val="clear" w:color="auto" w:fill="00709E"/>
                  <w:tcMar>
                    <w:left w:w="113" w:type="dxa"/>
                  </w:tcMar>
                </w:tcPr>
                <w:p w:rsidR="001E6FB8" w:rsidRPr="00E141F1" w:rsidRDefault="001E6FB8" w:rsidP="001E6FB8">
                  <w:pPr>
                    <w:pStyle w:val="TableHeading"/>
                    <w:keepNext/>
                    <w:keepLines/>
                    <w:ind w:right="118"/>
                    <w:jc w:val="right"/>
                    <w:rPr>
                      <w:rFonts w:cs="Arial"/>
                      <w:color w:val="FFFFFF" w:themeColor="background1"/>
                      <w:sz w:val="18"/>
                      <w:szCs w:val="18"/>
                    </w:rPr>
                  </w:pPr>
                  <w:r w:rsidRPr="00E141F1">
                    <w:rPr>
                      <w:rFonts w:cs="Arial"/>
                      <w:color w:val="FFFFFF" w:themeColor="background1"/>
                      <w:sz w:val="18"/>
                      <w:szCs w:val="18"/>
                    </w:rPr>
                    <w:t>2012–13</w:t>
                  </w:r>
                </w:p>
              </w:tc>
            </w:tr>
            <w:tr w:rsidR="001E6FB8" w:rsidRPr="00E141F1" w:rsidTr="001E6FB8">
              <w:trPr>
                <w:trHeight w:val="196"/>
              </w:trPr>
              <w:tc>
                <w:tcPr>
                  <w:tcW w:w="3402" w:type="dxa"/>
                  <w:tcBorders>
                    <w:top w:val="nil"/>
                    <w:left w:val="nil"/>
                    <w:right w:val="nil"/>
                  </w:tcBorders>
                  <w:shd w:val="clear" w:color="auto" w:fill="auto"/>
                  <w:tcMar>
                    <w:left w:w="113" w:type="dxa"/>
                  </w:tcMar>
                </w:tcPr>
                <w:p w:rsidR="001E6FB8" w:rsidRPr="00A256B4" w:rsidRDefault="001E6FB8" w:rsidP="001E6FB8">
                  <w:pPr>
                    <w:keepNext/>
                    <w:keepLines/>
                    <w:rPr>
                      <w:rFonts w:cs="Arial"/>
                      <w:color w:val="00709E"/>
                      <w:sz w:val="18"/>
                      <w:szCs w:val="18"/>
                      <w:highlight w:val="yellow"/>
                    </w:rPr>
                  </w:pPr>
                  <w:r w:rsidRPr="00A256B4">
                    <w:rPr>
                      <w:rFonts w:cs="Arial"/>
                      <w:b/>
                      <w:color w:val="00709E"/>
                      <w:sz w:val="18"/>
                      <w:szCs w:val="18"/>
                    </w:rPr>
                    <w:t>Complaints</w:t>
                  </w:r>
                </w:p>
              </w:tc>
              <w:tc>
                <w:tcPr>
                  <w:tcW w:w="1184" w:type="dxa"/>
                  <w:tcBorders>
                    <w:top w:val="nil"/>
                    <w:left w:val="nil"/>
                    <w:right w:val="nil"/>
                  </w:tcBorders>
                </w:tcPr>
                <w:p w:rsidR="001E6FB8" w:rsidRPr="00E141F1" w:rsidDel="00560996" w:rsidRDefault="001E6FB8" w:rsidP="001E6FB8">
                  <w:pPr>
                    <w:keepNext/>
                    <w:keepLines/>
                    <w:ind w:right="118"/>
                    <w:jc w:val="right"/>
                    <w:rPr>
                      <w:rFonts w:cs="Arial"/>
                      <w:sz w:val="18"/>
                      <w:szCs w:val="18"/>
                      <w:highlight w:val="yellow"/>
                    </w:rPr>
                  </w:pPr>
                </w:p>
              </w:tc>
              <w:tc>
                <w:tcPr>
                  <w:tcW w:w="1238" w:type="dxa"/>
                  <w:tcBorders>
                    <w:top w:val="nil"/>
                    <w:left w:val="nil"/>
                    <w:right w:val="nil"/>
                  </w:tcBorders>
                </w:tcPr>
                <w:p w:rsidR="001E6FB8" w:rsidRPr="00E141F1" w:rsidDel="00560996" w:rsidRDefault="001E6FB8" w:rsidP="001E6FB8">
                  <w:pPr>
                    <w:keepNext/>
                    <w:keepLines/>
                    <w:ind w:right="118"/>
                    <w:jc w:val="right"/>
                    <w:rPr>
                      <w:rFonts w:cs="Arial"/>
                      <w:sz w:val="18"/>
                      <w:szCs w:val="18"/>
                      <w:highlight w:val="yellow"/>
                    </w:rPr>
                  </w:pPr>
                </w:p>
              </w:tc>
              <w:tc>
                <w:tcPr>
                  <w:tcW w:w="1238" w:type="dxa"/>
                  <w:tcBorders>
                    <w:top w:val="nil"/>
                    <w:left w:val="nil"/>
                    <w:right w:val="nil"/>
                  </w:tcBorders>
                </w:tcPr>
                <w:p w:rsidR="001E6FB8" w:rsidRPr="00E141F1" w:rsidDel="00560996" w:rsidRDefault="001E6FB8" w:rsidP="001E6FB8">
                  <w:pPr>
                    <w:keepNext/>
                    <w:keepLines/>
                    <w:ind w:right="118"/>
                    <w:jc w:val="right"/>
                    <w:rPr>
                      <w:rFonts w:cs="Arial"/>
                      <w:sz w:val="18"/>
                      <w:szCs w:val="18"/>
                      <w:highlight w:val="yellow"/>
                    </w:rPr>
                  </w:pPr>
                </w:p>
              </w:tc>
              <w:tc>
                <w:tcPr>
                  <w:tcW w:w="1238" w:type="dxa"/>
                  <w:tcBorders>
                    <w:top w:val="nil"/>
                    <w:left w:val="nil"/>
                    <w:right w:val="nil"/>
                  </w:tcBorders>
                </w:tcPr>
                <w:p w:rsidR="001E6FB8" w:rsidRPr="00E141F1" w:rsidRDefault="001E6FB8" w:rsidP="001E6FB8">
                  <w:pPr>
                    <w:keepNext/>
                    <w:keepLines/>
                    <w:ind w:right="118"/>
                    <w:jc w:val="right"/>
                    <w:rPr>
                      <w:rFonts w:cs="Arial"/>
                      <w:sz w:val="18"/>
                      <w:szCs w:val="18"/>
                      <w:highlight w:val="yellow"/>
                    </w:rPr>
                  </w:pPr>
                </w:p>
              </w:tc>
              <w:tc>
                <w:tcPr>
                  <w:tcW w:w="1238" w:type="dxa"/>
                  <w:tcBorders>
                    <w:top w:val="nil"/>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highlight w:val="yellow"/>
                    </w:rPr>
                  </w:pP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Complaints* received</w:t>
                  </w:r>
                </w:p>
              </w:tc>
              <w:tc>
                <w:tcPr>
                  <w:tcW w:w="1184"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1,182</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3,212</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4,865</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5,026</w:t>
                  </w: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rPr>
                  </w:pPr>
                  <w:r w:rsidRPr="00E141F1">
                    <w:rPr>
                      <w:rFonts w:cs="Arial"/>
                      <w:sz w:val="18"/>
                      <w:szCs w:val="18"/>
                    </w:rPr>
                    <w:t>4,633</w:t>
                  </w: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Invalid</w:t>
                  </w:r>
                  <w:r w:rsidRPr="00E141F1">
                    <w:rPr>
                      <w:rFonts w:cs="Arial"/>
                      <w:sz w:val="18"/>
                      <w:szCs w:val="18"/>
                      <w:vertAlign w:val="superscript"/>
                    </w:rPr>
                    <w:t xml:space="preserve">§ </w:t>
                  </w:r>
                  <w:r w:rsidRPr="00E141F1">
                    <w:rPr>
                      <w:rFonts w:cs="Arial"/>
                      <w:sz w:val="18"/>
                      <w:szCs w:val="18"/>
                    </w:rPr>
                    <w:t>complaints</w:t>
                  </w:r>
                </w:p>
              </w:tc>
              <w:tc>
                <w:tcPr>
                  <w:tcW w:w="1184"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99</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118</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217</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329</w:t>
                  </w: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rPr>
                  </w:pPr>
                  <w:r w:rsidRPr="00E141F1">
                    <w:rPr>
                      <w:rFonts w:cs="Arial"/>
                      <w:sz w:val="18"/>
                      <w:szCs w:val="18"/>
                    </w:rPr>
                    <w:t>115</w:t>
                  </w: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A256B4" w:rsidRDefault="001E6FB8" w:rsidP="001E6FB8">
                  <w:pPr>
                    <w:keepNext/>
                    <w:keepLines/>
                    <w:rPr>
                      <w:rFonts w:cs="Arial"/>
                      <w:color w:val="00709E"/>
                      <w:sz w:val="18"/>
                      <w:szCs w:val="18"/>
                      <w:highlight w:val="yellow"/>
                    </w:rPr>
                  </w:pPr>
                  <w:r w:rsidRPr="00A256B4">
                    <w:rPr>
                      <w:rFonts w:cs="Arial"/>
                      <w:b/>
                      <w:color w:val="00709E"/>
                      <w:sz w:val="18"/>
                      <w:szCs w:val="18"/>
                    </w:rPr>
                    <w:t>Investigations</w:t>
                  </w:r>
                </w:p>
              </w:tc>
              <w:tc>
                <w:tcPr>
                  <w:tcW w:w="1184" w:type="dxa"/>
                  <w:tcBorders>
                    <w:left w:val="nil"/>
                    <w:right w:val="nil"/>
                  </w:tcBorders>
                </w:tcPr>
                <w:p w:rsidR="001E6FB8" w:rsidRPr="00E141F1" w:rsidDel="00560996" w:rsidRDefault="001E6FB8" w:rsidP="001E6FB8">
                  <w:pPr>
                    <w:keepNext/>
                    <w:keepLines/>
                    <w:ind w:right="118"/>
                    <w:jc w:val="right"/>
                    <w:rPr>
                      <w:rFonts w:cs="Arial"/>
                      <w:sz w:val="18"/>
                      <w:szCs w:val="18"/>
                      <w:highlight w:val="yellow"/>
                    </w:rPr>
                  </w:pP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highlight w:val="yellow"/>
                    </w:rPr>
                  </w:pP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highlight w:val="yellow"/>
                    </w:rPr>
                  </w:pPr>
                </w:p>
              </w:tc>
              <w:tc>
                <w:tcPr>
                  <w:tcW w:w="1238" w:type="dxa"/>
                  <w:tcBorders>
                    <w:left w:val="nil"/>
                    <w:right w:val="nil"/>
                  </w:tcBorders>
                </w:tcPr>
                <w:p w:rsidR="001E6FB8" w:rsidRPr="00E141F1" w:rsidRDefault="001E6FB8" w:rsidP="001E6FB8">
                  <w:pPr>
                    <w:keepNext/>
                    <w:keepLines/>
                    <w:ind w:right="118"/>
                    <w:jc w:val="right"/>
                    <w:rPr>
                      <w:rFonts w:cs="Arial"/>
                      <w:sz w:val="18"/>
                      <w:szCs w:val="18"/>
                      <w:highlight w:val="yellow"/>
                    </w:rPr>
                  </w:pP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highlight w:val="yellow"/>
                    </w:rPr>
                  </w:pP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Investigations terminated</w:t>
                  </w:r>
                  <w:r w:rsidRPr="00E141F1">
                    <w:rPr>
                      <w:rFonts w:cs="Arial"/>
                      <w:sz w:val="18"/>
                      <w:szCs w:val="18"/>
                      <w:vertAlign w:val="superscript"/>
                    </w:rPr>
                    <w:t>‡</w:t>
                  </w:r>
                  <w:r w:rsidRPr="00E141F1">
                    <w:rPr>
                      <w:rFonts w:cs="Arial"/>
                      <w:i/>
                      <w:sz w:val="18"/>
                      <w:szCs w:val="18"/>
                    </w:rPr>
                    <w:t xml:space="preserve"> </w:t>
                  </w:r>
                </w:p>
              </w:tc>
              <w:tc>
                <w:tcPr>
                  <w:tcW w:w="1184"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142</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175</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174</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210</w:t>
                  </w: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rPr>
                  </w:pPr>
                  <w:r w:rsidRPr="00E141F1">
                    <w:rPr>
                      <w:rFonts w:cs="Arial"/>
                      <w:sz w:val="18"/>
                      <w:szCs w:val="18"/>
                    </w:rPr>
                    <w:t>556</w:t>
                  </w: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Investigations completed</w:t>
                  </w:r>
                  <w:r w:rsidRPr="00E141F1">
                    <w:rPr>
                      <w:rFonts w:cs="Arial"/>
                      <w:sz w:val="18"/>
                      <w:szCs w:val="18"/>
                      <w:vertAlign w:val="superscript"/>
                    </w:rPr>
                    <w:t>†</w:t>
                  </w:r>
                </w:p>
              </w:tc>
              <w:tc>
                <w:tcPr>
                  <w:tcW w:w="1184"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1,003</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2,782</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3,994</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5,403</w:t>
                  </w: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rPr>
                  </w:pPr>
                  <w:r w:rsidRPr="00E141F1">
                    <w:rPr>
                      <w:rFonts w:cs="Arial"/>
                      <w:sz w:val="18"/>
                      <w:szCs w:val="18"/>
                    </w:rPr>
                    <w:t>3,143</w:t>
                  </w: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Total items</w:t>
                  </w:r>
                  <w:r w:rsidRPr="00E141F1">
                    <w:rPr>
                      <w:rFonts w:eastAsia="Malgun Gothic" w:cs="Arial"/>
                      <w:sz w:val="18"/>
                      <w:szCs w:val="18"/>
                      <w:vertAlign w:val="superscript"/>
                    </w:rPr>
                    <w:t>∥</w:t>
                  </w:r>
                  <w:r w:rsidRPr="00E141F1">
                    <w:rPr>
                      <w:rFonts w:cs="Arial"/>
                      <w:sz w:val="18"/>
                      <w:szCs w:val="18"/>
                    </w:rPr>
                    <w:t xml:space="preserve"> investigated</w:t>
                  </w:r>
                </w:p>
              </w:tc>
              <w:tc>
                <w:tcPr>
                  <w:tcW w:w="1184"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2,281</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3,828</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6,587</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6,265</w:t>
                  </w: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rPr>
                  </w:pPr>
                  <w:r w:rsidRPr="00E141F1">
                    <w:rPr>
                      <w:rFonts w:cs="Arial"/>
                      <w:sz w:val="18"/>
                      <w:szCs w:val="18"/>
                    </w:rPr>
                    <w:t xml:space="preserve">3,793 </w:t>
                  </w: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A256B4" w:rsidRDefault="001E6FB8" w:rsidP="001E6FB8">
                  <w:pPr>
                    <w:keepNext/>
                    <w:keepLines/>
                    <w:rPr>
                      <w:rFonts w:cs="Arial"/>
                      <w:color w:val="00709E"/>
                      <w:sz w:val="18"/>
                      <w:szCs w:val="18"/>
                      <w:highlight w:val="yellow"/>
                    </w:rPr>
                  </w:pPr>
                  <w:r w:rsidRPr="00A256B4">
                    <w:rPr>
                      <w:rFonts w:cs="Arial"/>
                      <w:b/>
                      <w:color w:val="00709E"/>
                      <w:sz w:val="18"/>
                      <w:szCs w:val="18"/>
                    </w:rPr>
                    <w:t>Action taken</w:t>
                  </w:r>
                </w:p>
              </w:tc>
              <w:tc>
                <w:tcPr>
                  <w:tcW w:w="1184" w:type="dxa"/>
                  <w:tcBorders>
                    <w:left w:val="nil"/>
                    <w:right w:val="nil"/>
                  </w:tcBorders>
                </w:tcPr>
                <w:p w:rsidR="001E6FB8" w:rsidRPr="00E141F1" w:rsidDel="00560996" w:rsidRDefault="001E6FB8" w:rsidP="001E6FB8">
                  <w:pPr>
                    <w:keepNext/>
                    <w:keepLines/>
                    <w:ind w:right="118"/>
                    <w:jc w:val="right"/>
                    <w:rPr>
                      <w:rFonts w:cs="Arial"/>
                      <w:sz w:val="18"/>
                      <w:szCs w:val="18"/>
                      <w:highlight w:val="yellow"/>
                    </w:rPr>
                  </w:pP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highlight w:val="yellow"/>
                    </w:rPr>
                  </w:pP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highlight w:val="yellow"/>
                    </w:rPr>
                  </w:pPr>
                </w:p>
              </w:tc>
              <w:tc>
                <w:tcPr>
                  <w:tcW w:w="1238" w:type="dxa"/>
                  <w:tcBorders>
                    <w:left w:val="nil"/>
                    <w:right w:val="nil"/>
                  </w:tcBorders>
                </w:tcPr>
                <w:p w:rsidR="001E6FB8" w:rsidRPr="00E141F1" w:rsidRDefault="001E6FB8" w:rsidP="001E6FB8">
                  <w:pPr>
                    <w:keepNext/>
                    <w:keepLines/>
                    <w:ind w:right="118"/>
                    <w:jc w:val="right"/>
                    <w:rPr>
                      <w:rFonts w:cs="Arial"/>
                      <w:sz w:val="18"/>
                      <w:szCs w:val="18"/>
                      <w:highlight w:val="yellow"/>
                    </w:rPr>
                  </w:pP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highlight w:val="yellow"/>
                    </w:rPr>
                  </w:pP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Items actioned</w:t>
                  </w:r>
                  <w:r w:rsidRPr="00E141F1">
                    <w:rPr>
                      <w:rFonts w:eastAsia="Malgun Gothic" w:cs="Arial"/>
                      <w:sz w:val="18"/>
                      <w:szCs w:val="18"/>
                      <w:vertAlign w:val="superscript"/>
                    </w:rPr>
                    <w:t>#</w:t>
                  </w:r>
                  <w:r w:rsidRPr="00E141F1">
                    <w:rPr>
                      <w:rFonts w:cs="Arial"/>
                      <w:sz w:val="18"/>
                      <w:szCs w:val="18"/>
                    </w:rPr>
                    <w:t xml:space="preserve"> (hosted in, </w:t>
                  </w:r>
                  <w:r w:rsidRPr="00E141F1">
                    <w:rPr>
                      <w:rFonts w:cs="Arial"/>
                      <w:sz w:val="18"/>
                      <w:szCs w:val="18"/>
                    </w:rPr>
                    <w:br/>
                    <w:t>or provided from, Australia)</w:t>
                  </w:r>
                </w:p>
              </w:tc>
              <w:tc>
                <w:tcPr>
                  <w:tcW w:w="1184"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7</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25</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12</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7</w:t>
                  </w: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rPr>
                  </w:pPr>
                  <w:r w:rsidRPr="00E141F1">
                    <w:rPr>
                      <w:rFonts w:cs="Arial"/>
                      <w:sz w:val="18"/>
                      <w:szCs w:val="18"/>
                    </w:rPr>
                    <w:t>8**</w:t>
                  </w: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Items actioned (overseas-hosted)</w:t>
                  </w:r>
                </w:p>
              </w:tc>
              <w:tc>
                <w:tcPr>
                  <w:tcW w:w="1184"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1,356</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1,907</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1,945</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2,004</w:t>
                  </w: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rPr>
                  </w:pPr>
                  <w:r w:rsidRPr="00E141F1">
                    <w:rPr>
                      <w:rFonts w:cs="Arial"/>
                      <w:sz w:val="18"/>
                      <w:szCs w:val="18"/>
                    </w:rPr>
                    <w:t>1,845</w:t>
                  </w:r>
                </w:p>
              </w:tc>
            </w:tr>
            <w:tr w:rsidR="001E6FB8" w:rsidRPr="00E141F1" w:rsidTr="001E6FB8">
              <w:trPr>
                <w:trHeight w:val="234"/>
              </w:trPr>
              <w:tc>
                <w:tcPr>
                  <w:tcW w:w="3402" w:type="dxa"/>
                  <w:tcBorders>
                    <w:left w:val="nil"/>
                    <w:right w:val="nil"/>
                  </w:tcBorders>
                  <w:shd w:val="clear" w:color="auto" w:fill="auto"/>
                  <w:tcMar>
                    <w:left w:w="113" w:type="dxa"/>
                  </w:tcMar>
                </w:tcPr>
                <w:p w:rsidR="001E6FB8" w:rsidRPr="00E141F1" w:rsidRDefault="001E6FB8" w:rsidP="001E6FB8">
                  <w:pPr>
                    <w:keepNext/>
                    <w:keepLines/>
                    <w:rPr>
                      <w:rFonts w:cs="Arial"/>
                      <w:sz w:val="18"/>
                      <w:szCs w:val="18"/>
                    </w:rPr>
                  </w:pPr>
                  <w:r w:rsidRPr="00E141F1">
                    <w:rPr>
                      <w:rFonts w:cs="Arial"/>
                      <w:sz w:val="18"/>
                      <w:szCs w:val="18"/>
                    </w:rPr>
                    <w:t xml:space="preserve">Items of child abuse and other illegal </w:t>
                  </w:r>
                  <w:r w:rsidRPr="00E141F1">
                    <w:rPr>
                      <w:rFonts w:cs="Arial"/>
                      <w:sz w:val="18"/>
                      <w:szCs w:val="18"/>
                    </w:rPr>
                    <w:br/>
                    <w:t>material referred to law enforcement</w:t>
                  </w:r>
                </w:p>
              </w:tc>
              <w:tc>
                <w:tcPr>
                  <w:tcW w:w="1184"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926</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1,092</w:t>
                  </w:r>
                </w:p>
              </w:tc>
              <w:tc>
                <w:tcPr>
                  <w:tcW w:w="1238" w:type="dxa"/>
                  <w:tcBorders>
                    <w:left w:val="nil"/>
                    <w:right w:val="nil"/>
                  </w:tcBorders>
                </w:tcPr>
                <w:p w:rsidR="001E6FB8" w:rsidRPr="00E141F1" w:rsidDel="00560996" w:rsidRDefault="001E6FB8" w:rsidP="001E6FB8">
                  <w:pPr>
                    <w:keepNext/>
                    <w:keepLines/>
                    <w:ind w:right="118"/>
                    <w:jc w:val="right"/>
                    <w:rPr>
                      <w:rFonts w:cs="Arial"/>
                      <w:sz w:val="18"/>
                      <w:szCs w:val="18"/>
                    </w:rPr>
                  </w:pPr>
                  <w:r w:rsidRPr="00E141F1">
                    <w:rPr>
                      <w:rFonts w:cs="Arial"/>
                      <w:sz w:val="18"/>
                      <w:szCs w:val="18"/>
                    </w:rPr>
                    <w:t>1,071</w:t>
                  </w:r>
                </w:p>
              </w:tc>
              <w:tc>
                <w:tcPr>
                  <w:tcW w:w="1238" w:type="dxa"/>
                  <w:tcBorders>
                    <w:left w:val="nil"/>
                    <w:right w:val="nil"/>
                  </w:tcBorders>
                </w:tcPr>
                <w:p w:rsidR="001E6FB8" w:rsidRPr="00E141F1" w:rsidRDefault="001E6FB8" w:rsidP="001E6FB8">
                  <w:pPr>
                    <w:keepNext/>
                    <w:keepLines/>
                    <w:ind w:right="118"/>
                    <w:jc w:val="right"/>
                    <w:rPr>
                      <w:rFonts w:cs="Arial"/>
                      <w:sz w:val="18"/>
                      <w:szCs w:val="18"/>
                    </w:rPr>
                  </w:pPr>
                  <w:r w:rsidRPr="00E141F1">
                    <w:rPr>
                      <w:rFonts w:cs="Arial"/>
                      <w:sz w:val="18"/>
                      <w:szCs w:val="18"/>
                    </w:rPr>
                    <w:t>1,130</w:t>
                  </w:r>
                </w:p>
              </w:tc>
              <w:tc>
                <w:tcPr>
                  <w:tcW w:w="1238" w:type="dxa"/>
                  <w:tcBorders>
                    <w:left w:val="nil"/>
                    <w:right w:val="nil"/>
                  </w:tcBorders>
                  <w:shd w:val="clear" w:color="auto" w:fill="auto"/>
                  <w:tcMar>
                    <w:left w:w="113" w:type="dxa"/>
                  </w:tcMar>
                </w:tcPr>
                <w:p w:rsidR="001E6FB8" w:rsidRPr="00E141F1" w:rsidRDefault="001E6FB8" w:rsidP="001E6FB8">
                  <w:pPr>
                    <w:keepNext/>
                    <w:keepLines/>
                    <w:ind w:right="118"/>
                    <w:jc w:val="right"/>
                    <w:rPr>
                      <w:rFonts w:cs="Arial"/>
                      <w:sz w:val="18"/>
                      <w:szCs w:val="18"/>
                    </w:rPr>
                  </w:pPr>
                  <w:r w:rsidRPr="00E141F1">
                    <w:rPr>
                      <w:rFonts w:cs="Arial"/>
                      <w:sz w:val="18"/>
                      <w:szCs w:val="18"/>
                    </w:rPr>
                    <w:t>1,182</w:t>
                  </w:r>
                </w:p>
              </w:tc>
            </w:tr>
          </w:tbl>
          <w:p w:rsidR="001E6FB8" w:rsidRPr="00E141F1" w:rsidRDefault="001E6FB8" w:rsidP="001E6FB8">
            <w:pPr>
              <w:keepNext/>
              <w:keepLines/>
              <w:rPr>
                <w:rFonts w:cs="Arial"/>
              </w:rPr>
            </w:pPr>
          </w:p>
        </w:tc>
      </w:tr>
      <w:tr w:rsidR="001E6FB8" w:rsidRPr="00E141F1"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 xml:space="preserve">*A complaint may not reach investigation stage if the complainant is not eligible to make a complaint or if the complaint is about a matter that the ACMA cannot investigate. </w:t>
            </w:r>
          </w:p>
          <w:p w:rsidR="001E6FB8" w:rsidRPr="00E141F1" w:rsidRDefault="001E6FB8" w:rsidP="001E6FB8">
            <w:pPr>
              <w:keepNext/>
              <w:keepLines/>
              <w:spacing w:line="240" w:lineRule="auto"/>
              <w:rPr>
                <w:rFonts w:cs="Arial"/>
                <w:i/>
                <w:sz w:val="16"/>
                <w:szCs w:val="16"/>
              </w:rPr>
            </w:pPr>
            <w:r w:rsidRPr="00FC5343">
              <w:rPr>
                <w:rFonts w:cs="Arial"/>
                <w:i/>
                <w:sz w:val="16"/>
                <w:szCs w:val="16"/>
                <w:vertAlign w:val="superscript"/>
              </w:rPr>
              <w:t>†</w:t>
            </w:r>
            <w:r w:rsidRPr="00E141F1">
              <w:rPr>
                <w:rFonts w:cs="Arial"/>
                <w:i/>
                <w:sz w:val="16"/>
                <w:szCs w:val="16"/>
              </w:rPr>
              <w:t>An investigation may relate to one or many items of content. An investigation may be terminated if the ACMA does not have sufficient information to conduct its investigation.</w:t>
            </w:r>
          </w:p>
          <w:p w:rsidR="001E6FB8" w:rsidRPr="00E141F1" w:rsidRDefault="001E6FB8" w:rsidP="001E6FB8">
            <w:pPr>
              <w:keepNext/>
              <w:keepLines/>
              <w:spacing w:line="240" w:lineRule="auto"/>
              <w:rPr>
                <w:rFonts w:cs="Arial"/>
                <w:i/>
                <w:sz w:val="16"/>
                <w:szCs w:val="16"/>
              </w:rPr>
            </w:pPr>
            <w:r w:rsidRPr="00FC5343">
              <w:rPr>
                <w:rFonts w:cs="Arial"/>
                <w:i/>
                <w:sz w:val="16"/>
                <w:szCs w:val="16"/>
                <w:vertAlign w:val="superscript"/>
              </w:rPr>
              <w:t>‡</w:t>
            </w:r>
            <w:r w:rsidRPr="00E141F1">
              <w:rPr>
                <w:rFonts w:cs="Arial"/>
                <w:i/>
                <w:sz w:val="16"/>
                <w:szCs w:val="16"/>
              </w:rPr>
              <w:t xml:space="preserve">An investigation may be terminated if the ACMA is of the opinion that is does not have sufficient information to conclude the investigation. </w:t>
            </w:r>
          </w:p>
          <w:p w:rsidR="001E6FB8" w:rsidRPr="00E141F1" w:rsidRDefault="001E6FB8" w:rsidP="001E6FB8">
            <w:pPr>
              <w:keepNext/>
              <w:keepLines/>
              <w:spacing w:line="240" w:lineRule="auto"/>
              <w:rPr>
                <w:rFonts w:cs="Arial"/>
                <w:i/>
                <w:sz w:val="16"/>
                <w:szCs w:val="16"/>
              </w:rPr>
            </w:pPr>
            <w:r w:rsidRPr="00FC5343">
              <w:rPr>
                <w:rFonts w:cs="Arial"/>
                <w:i/>
                <w:sz w:val="16"/>
                <w:szCs w:val="16"/>
                <w:vertAlign w:val="superscript"/>
              </w:rPr>
              <w:t>§</w:t>
            </w:r>
            <w:r w:rsidRPr="00E141F1">
              <w:rPr>
                <w:rFonts w:cs="Arial"/>
                <w:i/>
                <w:sz w:val="16"/>
                <w:szCs w:val="16"/>
              </w:rPr>
              <w:t>A complaint is not investigated if the complaint is invalid. A complaint is invalid if it does not contain the required information set out at subclause 37(4) of Schedule 7 to the BSA, or has been made by a person not entitled to make a complaint.</w:t>
            </w:r>
          </w:p>
          <w:p w:rsidR="001E6FB8" w:rsidRPr="00E141F1" w:rsidRDefault="001E6FB8" w:rsidP="001E6FB8">
            <w:pPr>
              <w:keepNext/>
              <w:keepLines/>
              <w:spacing w:line="240" w:lineRule="auto"/>
              <w:rPr>
                <w:rFonts w:cs="Arial"/>
                <w:i/>
                <w:sz w:val="16"/>
                <w:szCs w:val="16"/>
              </w:rPr>
            </w:pPr>
            <w:r w:rsidRPr="00FC5343">
              <w:rPr>
                <w:rFonts w:cs="Arial"/>
                <w:i/>
                <w:sz w:val="16"/>
                <w:szCs w:val="16"/>
                <w:vertAlign w:val="superscript"/>
              </w:rPr>
              <w:t>∥</w:t>
            </w:r>
            <w:r w:rsidRPr="00E141F1">
              <w:rPr>
                <w:rFonts w:cs="Arial"/>
                <w:i/>
                <w:sz w:val="16"/>
                <w:szCs w:val="16"/>
              </w:rPr>
              <w:t>An item relates to an individual page, image or other file.</w:t>
            </w:r>
          </w:p>
          <w:p w:rsidR="001E6FB8" w:rsidRPr="00E141F1" w:rsidRDefault="001E6FB8" w:rsidP="001E6FB8">
            <w:pPr>
              <w:keepNext/>
              <w:keepLines/>
              <w:spacing w:line="240" w:lineRule="auto"/>
              <w:rPr>
                <w:rFonts w:cs="Arial"/>
                <w:i/>
                <w:sz w:val="16"/>
                <w:szCs w:val="16"/>
              </w:rPr>
            </w:pPr>
            <w:r w:rsidRPr="00FC5343">
              <w:rPr>
                <w:rFonts w:cs="Arial"/>
                <w:i/>
                <w:sz w:val="16"/>
                <w:szCs w:val="16"/>
                <w:vertAlign w:val="superscript"/>
              </w:rPr>
              <w:t>#</w:t>
            </w:r>
            <w:r w:rsidRPr="00E141F1">
              <w:rPr>
                <w:rFonts w:cs="Arial"/>
                <w:i/>
                <w:sz w:val="16"/>
                <w:szCs w:val="16"/>
              </w:rPr>
              <w:t>Action is taken on items assessed as prohibited or potential prohibited.</w:t>
            </w:r>
          </w:p>
          <w:p w:rsidR="001E6FB8" w:rsidRPr="00E141F1" w:rsidRDefault="001E6FB8" w:rsidP="001E6FB8">
            <w:pPr>
              <w:keepNext/>
              <w:keepLines/>
              <w:spacing w:line="240" w:lineRule="auto"/>
              <w:rPr>
                <w:rFonts w:cs="Arial"/>
                <w:i/>
                <w:sz w:val="16"/>
                <w:szCs w:val="16"/>
              </w:rPr>
            </w:pPr>
            <w:r w:rsidRPr="00E141F1">
              <w:rPr>
                <w:rFonts w:cs="Arial"/>
                <w:i/>
                <w:sz w:val="16"/>
                <w:szCs w:val="16"/>
              </w:rPr>
              <w:t>**Three items of content were removed upon referral to law enforcement prior to any take-down notices being issued by the ACMA.</w:t>
            </w:r>
          </w:p>
          <w:p w:rsidR="001E6FB8" w:rsidRPr="00E141F1" w:rsidRDefault="001E6FB8" w:rsidP="001E6FB8">
            <w:pPr>
              <w:keepNext/>
              <w:keepLines/>
              <w:spacing w:after="60" w:line="240" w:lineRule="auto"/>
              <w:rPr>
                <w:rFonts w:cs="Arial"/>
              </w:rPr>
            </w:pPr>
            <w:r w:rsidRPr="00E141F1">
              <w:rPr>
                <w:rFonts w:cs="Arial"/>
                <w:i/>
                <w:sz w:val="16"/>
                <w:szCs w:val="16"/>
              </w:rPr>
              <w:t>Source: Online content complaints actioned by the ACMA.</w:t>
            </w:r>
          </w:p>
        </w:tc>
      </w:tr>
    </w:tbl>
    <w:p w:rsidR="001E6FB8" w:rsidRPr="00E141F1" w:rsidRDefault="001E6FB8" w:rsidP="001E6FB8"/>
    <w:p w:rsidR="001E6FB8" w:rsidRPr="00E141F1" w:rsidRDefault="001E6FB8" w:rsidP="001E6FB8">
      <w:pPr>
        <w:pStyle w:val="Heading3"/>
        <w:rPr>
          <w:b w:val="0"/>
        </w:rPr>
      </w:pPr>
      <w:bookmarkStart w:id="589" w:name="_Toc341428443"/>
      <w:r>
        <w:rPr>
          <w:noProof/>
        </w:rPr>
        <w:drawing>
          <wp:anchor distT="0" distB="0" distL="114300" distR="114300" simplePos="0" relativeHeight="251668480" behindDoc="1" locked="0" layoutInCell="1" allowOverlap="1">
            <wp:simplePos x="0" y="0"/>
            <wp:positionH relativeFrom="column">
              <wp:posOffset>4096385</wp:posOffset>
            </wp:positionH>
            <wp:positionV relativeFrom="paragraph">
              <wp:posOffset>78740</wp:posOffset>
            </wp:positionV>
            <wp:extent cx="1903095" cy="1757045"/>
            <wp:effectExtent l="19050" t="0" r="1905" b="0"/>
            <wp:wrapTight wrapText="bothSides">
              <wp:wrapPolygon edited="0">
                <wp:start x="-216" y="0"/>
                <wp:lineTo x="-216" y="21311"/>
                <wp:lineTo x="21622" y="21311"/>
                <wp:lineTo x="21622" y="0"/>
                <wp:lineTo x="-216"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srcRect/>
                    <a:stretch>
                      <a:fillRect/>
                    </a:stretch>
                  </pic:blipFill>
                  <pic:spPr bwMode="auto">
                    <a:xfrm>
                      <a:off x="0" y="0"/>
                      <a:ext cx="1903095" cy="1757045"/>
                    </a:xfrm>
                    <a:prstGeom prst="rect">
                      <a:avLst/>
                    </a:prstGeom>
                    <a:noFill/>
                    <a:ln w="9525">
                      <a:noFill/>
                      <a:miter lim="800000"/>
                      <a:headEnd/>
                      <a:tailEnd/>
                    </a:ln>
                  </pic:spPr>
                </pic:pic>
              </a:graphicData>
            </a:graphic>
          </wp:anchor>
        </w:drawing>
      </w:r>
      <w:bookmarkStart w:id="590" w:name="_Toc371589119"/>
      <w:bookmarkStart w:id="591" w:name="_Toc373149181"/>
      <w:r w:rsidRPr="00E141F1">
        <w:t>International cooperation to remove online illegal content</w:t>
      </w:r>
      <w:bookmarkEnd w:id="589"/>
      <w:bookmarkEnd w:id="590"/>
      <w:bookmarkEnd w:id="591"/>
    </w:p>
    <w:p w:rsidR="001E6FB8" w:rsidRPr="00E141F1" w:rsidRDefault="001E6FB8" w:rsidP="001E6FB8">
      <w:pPr>
        <w:rPr>
          <w:rFonts w:cs="Arial"/>
        </w:rPr>
      </w:pPr>
      <w:r w:rsidRPr="00E141F1">
        <w:rPr>
          <w:rFonts w:cs="Arial"/>
        </w:rPr>
        <w:t>The ACMA places a high priority on acting promptly and effectively against prohibited or potential prohibited online content deemed ‘sufficiently serious’. This includes child sexual abuse, advocating the doing of a terrorist act, or promoting, inciting or instructing crime or violence. The ACMA refers this content to either an Australian law enforcem</w:t>
      </w:r>
      <w:r>
        <w:rPr>
          <w:rFonts w:cs="Arial"/>
        </w:rPr>
        <w:t>ent agency or a law enforcement-</w:t>
      </w:r>
      <w:r w:rsidRPr="00E141F1">
        <w:rPr>
          <w:rFonts w:cs="Arial"/>
        </w:rPr>
        <w:t>endorsed overseas agency through the International Association of Internet Hotlines (INHOPE), of which the ACMA is a long-term member. INHOPE coordinates a network of international hotlines to take swift action in response to reports of illegal content.</w:t>
      </w:r>
    </w:p>
    <w:p w:rsidR="001E6FB8" w:rsidRPr="00E141F1" w:rsidRDefault="001E6FB8" w:rsidP="001E6FB8">
      <w:pPr>
        <w:spacing w:line="240" w:lineRule="auto"/>
        <w:rPr>
          <w:rFonts w:cs="Arial"/>
        </w:rPr>
      </w:pPr>
    </w:p>
    <w:p w:rsidR="001E6FB8" w:rsidRPr="00E141F1" w:rsidRDefault="001E6FB8" w:rsidP="001E6FB8">
      <w:pPr>
        <w:pStyle w:val="Heading2"/>
      </w:pPr>
      <w:bookmarkStart w:id="592" w:name="_Toc371589120"/>
      <w:bookmarkStart w:id="593" w:name="_Toc373149182"/>
      <w:r w:rsidRPr="00E141F1">
        <w:t>Interactive gambling</w:t>
      </w:r>
      <w:bookmarkEnd w:id="592"/>
      <w:bookmarkEnd w:id="593"/>
    </w:p>
    <w:p w:rsidR="001E6FB8" w:rsidRPr="00E141F1" w:rsidRDefault="001E6FB8" w:rsidP="001E6FB8">
      <w:pPr>
        <w:rPr>
          <w:rFonts w:cs="Arial"/>
        </w:rPr>
      </w:pPr>
      <w:r w:rsidRPr="00E141F1">
        <w:rPr>
          <w:rFonts w:cs="Arial"/>
        </w:rPr>
        <w:t xml:space="preserve">Under the </w:t>
      </w:r>
      <w:r w:rsidRPr="00E141F1">
        <w:rPr>
          <w:rFonts w:cs="Arial"/>
          <w:i/>
        </w:rPr>
        <w:t>Interactive Gambling Act 2001</w:t>
      </w:r>
      <w:r w:rsidRPr="00E141F1">
        <w:rPr>
          <w:rFonts w:cs="Arial"/>
        </w:rPr>
        <w:t xml:space="preserve"> (the IGA), the ACMA is responsible for investigating complaints about alleged prohibited internet gambling content</w:t>
      </w:r>
      <w:r w:rsidRPr="00E141F1">
        <w:rPr>
          <w:rStyle w:val="EndnoteReference"/>
          <w:rFonts w:cs="Arial"/>
        </w:rPr>
        <w:endnoteReference w:id="51"/>
      </w:r>
      <w:r w:rsidRPr="00E141F1">
        <w:rPr>
          <w:rFonts w:cs="Arial"/>
        </w:rPr>
        <w:t xml:space="preserve"> and for registering industry codes of practice dealing with internet interactive gambling matters.</w:t>
      </w:r>
    </w:p>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During 2012–13, the ACMA received 121 complaints and general enquiries under the IGA. Of the 23 investigations completed in the period, 10 resulted in identification of the location of overseas-hosted prohibited internet gambling content. These services were referred to makers of filter software in accordance with the code of practice registered under the IGA. They were also referred to the Australian Federal Police. Eleven investigations of overseas-hosted sites resulting in non-breach findings, while two investigations were terminated due to insufficient information. </w:t>
      </w:r>
    </w:p>
    <w:p w:rsidR="001E6FB8" w:rsidRPr="00E141F1" w:rsidRDefault="001E6FB8" w:rsidP="001E6FB8">
      <w:pPr>
        <w:rPr>
          <w:rFonts w:cs="Arial"/>
        </w:rPr>
      </w:pPr>
    </w:p>
    <w:p w:rsidR="001E6FB8" w:rsidRDefault="001E6FB8" w:rsidP="001E6FB8">
      <w:pPr>
        <w:spacing w:after="80"/>
        <w:rPr>
          <w:rFonts w:cs="Arial"/>
        </w:rPr>
      </w:pPr>
      <w:r w:rsidRPr="00E141F1">
        <w:rPr>
          <w:rFonts w:cs="Arial"/>
        </w:rPr>
        <w:t>In the reporting period, the ACMA received complaints about five URLs that referred to potentially prohibited Australian-hosted internet gambling content. T</w:t>
      </w:r>
      <w:r w:rsidRPr="00E141F1">
        <w:rPr>
          <w:rFonts w:cs="Arial"/>
          <w:szCs w:val="20"/>
        </w:rPr>
        <w:t>he ACMA considered that four URLs warranted referral</w:t>
      </w:r>
      <w:r w:rsidRPr="00E141F1">
        <w:rPr>
          <w:rFonts w:cs="Arial"/>
        </w:rPr>
        <w:t xml:space="preserve"> to the police for further investigation.</w:t>
      </w:r>
    </w:p>
    <w:p w:rsidR="001E6FB8" w:rsidRDefault="001E6FB8" w:rsidP="001E6FB8">
      <w:pPr>
        <w:spacing w:after="80"/>
        <w:rPr>
          <w:rFonts w:cs="Arial"/>
        </w:rPr>
      </w:pPr>
    </w:p>
    <w:p w:rsidR="001E6FB8" w:rsidRDefault="001E6FB8" w:rsidP="001E6FB8">
      <w:pPr>
        <w:spacing w:after="80"/>
        <w:rPr>
          <w:rFonts w:cs="Arial"/>
        </w:rPr>
        <w:sectPr w:rsidR="001E6FB8" w:rsidSect="001E6FB8">
          <w:endnotePr>
            <w:numFmt w:val="decimal"/>
            <w:numRestart w:val="eachSect"/>
          </w:endnotePr>
          <w:pgSz w:w="11906" w:h="16838" w:code="9"/>
          <w:pgMar w:top="1945" w:right="3101" w:bottom="868" w:left="1134" w:header="709" w:footer="119" w:gutter="0"/>
          <w:cols w:space="708"/>
          <w:docGrid w:linePitch="360"/>
        </w:sectPr>
      </w:pPr>
    </w:p>
    <w:p w:rsidR="001E6FB8" w:rsidRPr="00E141F1" w:rsidRDefault="001E6FB8" w:rsidP="001E6FB8">
      <w:pPr>
        <w:pStyle w:val="Heading1"/>
      </w:pPr>
      <w:bookmarkStart w:id="594" w:name="_Toc371589121"/>
      <w:bookmarkStart w:id="595" w:name="_Toc373149183"/>
      <w:r w:rsidRPr="00E141F1">
        <w:t>Chapter 5</w:t>
      </w:r>
      <w:r w:rsidRPr="00E141F1">
        <w:br/>
        <w:t>Consumer benefits from participating in the digital economy</w:t>
      </w:r>
      <w:bookmarkEnd w:id="594"/>
      <w:bookmarkEnd w:id="595"/>
    </w:p>
    <w:p w:rsidR="001E6FB8" w:rsidRPr="00E141F1" w:rsidRDefault="001E6FB8" w:rsidP="001E6FB8">
      <w:pPr>
        <w:pStyle w:val="Heading2"/>
        <w:rPr>
          <w:color w:val="FFFFFF" w:themeColor="background1"/>
          <w:highlight w:val="darkGreen"/>
        </w:rPr>
      </w:pPr>
      <w:bookmarkStart w:id="596" w:name="_Toc371589122"/>
      <w:bookmarkStart w:id="597" w:name="_Toc373149184"/>
      <w:r w:rsidRPr="00E141F1">
        <w:t>Overview</w:t>
      </w:r>
      <w:bookmarkEnd w:id="596"/>
      <w:bookmarkEnd w:id="597"/>
    </w:p>
    <w:p w:rsidR="001E6FB8" w:rsidRPr="00E141F1" w:rsidRDefault="001E6FB8" w:rsidP="001E6FB8">
      <w:pPr>
        <w:spacing w:after="80"/>
        <w:rPr>
          <w:rFonts w:cs="Arial"/>
        </w:rPr>
      </w:pPr>
      <w:r w:rsidRPr="00E141F1">
        <w:rPr>
          <w:rFonts w:cs="Arial"/>
        </w:rPr>
        <w:t>Chapter 5 focuses on consumer benefits in relation to growing participation in the digital economy as represented by increased used of the internet for social and economic activities. Available data relating to increased participation in the digital economy is examined in the context of three broad themes relating to growth in:</w:t>
      </w:r>
    </w:p>
    <w:p w:rsidR="001E6FB8" w:rsidRPr="00E141F1" w:rsidRDefault="001E6FB8" w:rsidP="001E6FB8">
      <w:pPr>
        <w:pStyle w:val="ListBullet"/>
        <w:rPr>
          <w:rFonts w:cs="Arial"/>
        </w:rPr>
      </w:pPr>
      <w:r w:rsidRPr="00E141F1">
        <w:rPr>
          <w:rFonts w:cs="Arial"/>
        </w:rPr>
        <w:t xml:space="preserve">levels of internet connectivity </w:t>
      </w:r>
    </w:p>
    <w:p w:rsidR="001E6FB8" w:rsidRPr="00E141F1" w:rsidRDefault="001E6FB8" w:rsidP="001E6FB8">
      <w:pPr>
        <w:pStyle w:val="ListBullet"/>
        <w:rPr>
          <w:rFonts w:cs="Arial"/>
        </w:rPr>
      </w:pPr>
      <w:r w:rsidRPr="00E141F1">
        <w:rPr>
          <w:rFonts w:cs="Arial"/>
        </w:rPr>
        <w:t>capabilities as evidenced by increased frequency of internet use</w:t>
      </w:r>
    </w:p>
    <w:p w:rsidR="001E6FB8" w:rsidRPr="00E141F1" w:rsidRDefault="001E6FB8" w:rsidP="001E6FB8">
      <w:pPr>
        <w:pStyle w:val="ListBullet"/>
        <w:spacing w:after="240"/>
        <w:rPr>
          <w:rFonts w:cs="Arial"/>
        </w:rPr>
      </w:pPr>
      <w:r w:rsidRPr="00E141F1">
        <w:rPr>
          <w:rFonts w:cs="Arial"/>
        </w:rPr>
        <w:t>confidence in using the internet as represented by the increased range and number of activities and the value of economic transactions performed online.</w:t>
      </w:r>
    </w:p>
    <w:p w:rsidR="001E6FB8" w:rsidRPr="00E141F1" w:rsidRDefault="001E6FB8" w:rsidP="001E6FB8">
      <w:pPr>
        <w:rPr>
          <w:rFonts w:cs="Arial"/>
          <w:b/>
          <w:bCs/>
          <w:iCs/>
        </w:rPr>
      </w:pPr>
      <w:r w:rsidRPr="00E141F1">
        <w:rPr>
          <w:rFonts w:cs="Arial"/>
        </w:rPr>
        <w:t>Data relating to change in participation levels is presented for 2012–13 and where available</w:t>
      </w:r>
      <w:r>
        <w:rPr>
          <w:rFonts w:cs="Arial"/>
        </w:rPr>
        <w:t>,</w:t>
      </w:r>
      <w:r w:rsidRPr="00E141F1">
        <w:rPr>
          <w:rFonts w:cs="Arial"/>
        </w:rPr>
        <w:t xml:space="preserve"> </w:t>
      </w:r>
      <w:r>
        <w:rPr>
          <w:rFonts w:cs="Arial"/>
        </w:rPr>
        <w:t xml:space="preserve">for </w:t>
      </w:r>
      <w:r w:rsidRPr="00E141F1">
        <w:rPr>
          <w:rFonts w:cs="Arial"/>
        </w:rPr>
        <w:t xml:space="preserve">the period June 2008 to </w:t>
      </w:r>
      <w:r>
        <w:rPr>
          <w:rFonts w:cs="Arial"/>
        </w:rPr>
        <w:t>June 2013 to highlight the long-</w:t>
      </w:r>
      <w:r w:rsidRPr="00E141F1">
        <w:rPr>
          <w:rFonts w:cs="Arial"/>
        </w:rPr>
        <w:t xml:space="preserve">term trends in Australia. </w:t>
      </w:r>
      <w:bookmarkStart w:id="598" w:name="_Toc271555772"/>
      <w:bookmarkStart w:id="599" w:name="_Toc277159477"/>
      <w:bookmarkStart w:id="600" w:name="_Toc340139717"/>
    </w:p>
    <w:p w:rsidR="001E6FB8" w:rsidRPr="00E141F1" w:rsidRDefault="001E6FB8" w:rsidP="001E6FB8">
      <w:pPr>
        <w:rPr>
          <w:rFonts w:cs="Arial"/>
        </w:rPr>
      </w:pPr>
    </w:p>
    <w:p w:rsidR="001E6FB8" w:rsidRPr="00E141F1" w:rsidRDefault="001E6FB8" w:rsidP="001E6FB8">
      <w:pPr>
        <w:pStyle w:val="Heading2"/>
      </w:pPr>
      <w:bookmarkStart w:id="601" w:name="_Toc371589123"/>
      <w:bookmarkStart w:id="602" w:name="_Toc373149185"/>
      <w:r w:rsidRPr="00E141F1">
        <w:t>Connectivity</w:t>
      </w:r>
      <w:bookmarkEnd w:id="598"/>
      <w:bookmarkEnd w:id="599"/>
      <w:bookmarkEnd w:id="600"/>
      <w:bookmarkEnd w:id="601"/>
      <w:bookmarkEnd w:id="602"/>
    </w:p>
    <w:p w:rsidR="001E6FB8" w:rsidRPr="00E141F1" w:rsidRDefault="001E6FB8" w:rsidP="001E6FB8">
      <w:pPr>
        <w:rPr>
          <w:rFonts w:cs="Arial"/>
        </w:rPr>
      </w:pPr>
      <w:r w:rsidRPr="00E141F1">
        <w:rPr>
          <w:rFonts w:cs="Arial"/>
        </w:rPr>
        <w:t xml:space="preserve">Connectivity refers to the take-up of </w:t>
      </w:r>
      <w:r>
        <w:rPr>
          <w:rFonts w:cs="Arial"/>
        </w:rPr>
        <w:t xml:space="preserve">the </w:t>
      </w:r>
      <w:r w:rsidRPr="00E141F1">
        <w:rPr>
          <w:rFonts w:cs="Arial"/>
        </w:rPr>
        <w:t xml:space="preserve">internet as a facilitator of participation in the digital economy and consumers deriving benefits from the broader digital economy. This section focuses </w:t>
      </w:r>
      <w:r>
        <w:rPr>
          <w:rFonts w:cs="Arial"/>
        </w:rPr>
        <w:t xml:space="preserve">on </w:t>
      </w:r>
      <w:r w:rsidRPr="00E141F1">
        <w:rPr>
          <w:rFonts w:cs="Arial"/>
        </w:rPr>
        <w:t>take-up of the internet by individuals and businesses.</w:t>
      </w:r>
    </w:p>
    <w:p w:rsidR="001E6FB8" w:rsidRPr="00E141F1" w:rsidRDefault="001E6FB8" w:rsidP="001E6FB8">
      <w:pPr>
        <w:rPr>
          <w:rFonts w:cs="Arial"/>
        </w:rPr>
      </w:pPr>
    </w:p>
    <w:p w:rsidR="001E6FB8" w:rsidRPr="00E141F1" w:rsidRDefault="001E6FB8" w:rsidP="001E6FB8">
      <w:pPr>
        <w:pStyle w:val="Heading3"/>
      </w:pPr>
      <w:bookmarkStart w:id="603" w:name="_Toc340139718"/>
      <w:bookmarkStart w:id="604" w:name="_Toc371589124"/>
      <w:bookmarkStart w:id="605" w:name="_Toc373149186"/>
      <w:bookmarkStart w:id="606" w:name="_Toc270968476"/>
      <w:bookmarkStart w:id="607" w:name="_Toc271555773"/>
      <w:bookmarkStart w:id="608" w:name="_Toc277159478"/>
      <w:r w:rsidRPr="00E141F1">
        <w:t>Take-up of the internet</w:t>
      </w:r>
      <w:bookmarkEnd w:id="603"/>
      <w:bookmarkEnd w:id="604"/>
      <w:bookmarkEnd w:id="605"/>
    </w:p>
    <w:bookmarkEnd w:id="606"/>
    <w:bookmarkEnd w:id="607"/>
    <w:bookmarkEnd w:id="608"/>
    <w:p w:rsidR="001E6FB8" w:rsidRPr="00E141F1" w:rsidRDefault="001E6FB8" w:rsidP="001E6FB8">
      <w:pPr>
        <w:rPr>
          <w:rFonts w:cs="Arial"/>
        </w:rPr>
      </w:pPr>
      <w:r w:rsidRPr="00E141F1">
        <w:rPr>
          <w:rFonts w:cs="Arial"/>
        </w:rPr>
        <w:t xml:space="preserve">Internet access is available to Australians via a range of networks, devices and locations. Most Australians now have access to the internet and go online from a range of locations—home, work, at other locations and including while in transit. </w:t>
      </w:r>
    </w:p>
    <w:p w:rsidR="001E6FB8" w:rsidRPr="00E141F1" w:rsidRDefault="001E6FB8" w:rsidP="001E6FB8">
      <w:pPr>
        <w:rPr>
          <w:rFonts w:cs="Arial"/>
        </w:rPr>
      </w:pPr>
    </w:p>
    <w:p w:rsidR="001E6FB8" w:rsidRPr="00E141F1" w:rsidRDefault="001E6FB8" w:rsidP="001E6FB8">
      <w:pPr>
        <w:spacing w:after="80"/>
        <w:rPr>
          <w:rFonts w:cs="Arial"/>
        </w:rPr>
      </w:pPr>
      <w:r w:rsidRPr="00E141F1">
        <w:rPr>
          <w:rFonts w:cs="Arial"/>
        </w:rPr>
        <w:t xml:space="preserve">There has been steady growth in the proportion of adult Australians with access to the internet in the home and a large increase in the use </w:t>
      </w:r>
      <w:r>
        <w:rPr>
          <w:rFonts w:cs="Arial"/>
        </w:rPr>
        <w:t xml:space="preserve">of </w:t>
      </w:r>
      <w:r w:rsidRPr="00E141F1">
        <w:rPr>
          <w:rFonts w:cs="Arial"/>
        </w:rPr>
        <w:t>the internet via mobile phone handsets (Figure 5.1). For example, Australians with:</w:t>
      </w:r>
    </w:p>
    <w:p w:rsidR="001E6FB8" w:rsidRPr="00E141F1" w:rsidRDefault="001E6FB8" w:rsidP="001E6FB8">
      <w:pPr>
        <w:pStyle w:val="ListBullet"/>
        <w:rPr>
          <w:rFonts w:cs="Arial"/>
        </w:rPr>
      </w:pPr>
      <w:r w:rsidRPr="00E141F1">
        <w:rPr>
          <w:rFonts w:cs="Arial"/>
        </w:rPr>
        <w:t xml:space="preserve">home internet access increased by 24 per cent since June 2008 and </w:t>
      </w:r>
      <w:r>
        <w:rPr>
          <w:rFonts w:cs="Arial"/>
        </w:rPr>
        <w:t>two</w:t>
      </w:r>
      <w:r w:rsidRPr="00E141F1">
        <w:rPr>
          <w:rFonts w:cs="Arial"/>
        </w:rPr>
        <w:t xml:space="preserve"> per cent since June 2012 to reach 14.24 million people at June 2013</w:t>
      </w:r>
    </w:p>
    <w:p w:rsidR="001E6FB8" w:rsidRPr="00E141F1" w:rsidRDefault="001E6FB8" w:rsidP="001E6FB8">
      <w:pPr>
        <w:pStyle w:val="ListBullet"/>
        <w:spacing w:after="240"/>
        <w:rPr>
          <w:rFonts w:cs="Arial"/>
        </w:rPr>
      </w:pPr>
      <w:r w:rsidRPr="00E141F1">
        <w:rPr>
          <w:rFonts w:cs="Arial"/>
        </w:rPr>
        <w:t xml:space="preserve">access to a home broadband internet service increased by 46 per cent since June 2008 and </w:t>
      </w:r>
      <w:r>
        <w:rPr>
          <w:rFonts w:cs="Arial"/>
        </w:rPr>
        <w:t>seven</w:t>
      </w:r>
      <w:r w:rsidRPr="00E141F1">
        <w:rPr>
          <w:rFonts w:cs="Arial"/>
        </w:rPr>
        <w:t xml:space="preserve"> per cent since June 2012 to reach 13.15 million people at June 2013.</w:t>
      </w:r>
    </w:p>
    <w:p w:rsidR="001E6FB8" w:rsidRPr="00E141F1" w:rsidRDefault="001E6FB8" w:rsidP="001E6FB8">
      <w:pPr>
        <w:spacing w:line="240" w:lineRule="auto"/>
        <w:rPr>
          <w:rFonts w:cs="Arial"/>
        </w:rPr>
      </w:pPr>
      <w:r w:rsidRPr="00E141F1">
        <w:rPr>
          <w:rFonts w:cs="Arial"/>
        </w:rPr>
        <w:t>The number of people using the internet via a mobile phone handset increased by 510</w:t>
      </w:r>
      <w:r>
        <w:rPr>
          <w:rFonts w:cs="Arial"/>
        </w:rPr>
        <w:t> </w:t>
      </w:r>
      <w:r w:rsidRPr="00E141F1">
        <w:rPr>
          <w:rFonts w:cs="Arial"/>
        </w:rPr>
        <w:t>per cent since June 2008 and 33 per cent since 2012 to reach 7.50 million active users at June 2013.</w:t>
      </w:r>
      <w:r w:rsidRPr="00E141F1">
        <w:rPr>
          <w:rStyle w:val="EndnoteReference"/>
          <w:rFonts w:cs="Arial"/>
        </w:rPr>
        <w:endnoteReference w:id="52"/>
      </w:r>
      <w:r w:rsidRPr="00E141F1">
        <w:rPr>
          <w:rFonts w:cs="Arial"/>
        </w:rPr>
        <w:t xml:space="preserve"> This reflects the greater </w:t>
      </w:r>
      <w:r>
        <w:rPr>
          <w:rFonts w:cs="Arial"/>
        </w:rPr>
        <w:t>take-up</w:t>
      </w:r>
      <w:r w:rsidRPr="00E141F1">
        <w:rPr>
          <w:rFonts w:cs="Arial"/>
        </w:rPr>
        <w:t xml:space="preserve"> of internet-enabled mobile handsets and the expansion of mobile networks in Australia.</w:t>
      </w:r>
    </w:p>
    <w:p w:rsidR="001E6FB8" w:rsidRDefault="001E6FB8" w:rsidP="001E6FB8">
      <w:pPr>
        <w:rPr>
          <w:rFonts w:cs="Arial"/>
        </w:rPr>
      </w:pPr>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A74B5E" w:rsidRDefault="001E6FB8" w:rsidP="001E6FB8">
            <w:pPr>
              <w:pStyle w:val="Caption"/>
              <w:keepNext/>
            </w:pPr>
            <w:r>
              <w:t xml:space="preserve">Figure </w:t>
            </w:r>
            <w:r w:rsidRPr="00E141F1">
              <w:rPr>
                <w:rFonts w:cs="Arial"/>
              </w:rPr>
              <w:t>5.1 Change in access to the internet, 2008 to 2013</w:t>
            </w:r>
          </w:p>
        </w:tc>
      </w:tr>
      <w:tr w:rsidR="001E6FB8" w:rsidTr="001E6FB8">
        <w:trPr>
          <w:trHeight w:val="3086"/>
        </w:trPr>
        <w:tc>
          <w:tcPr>
            <w:tcW w:w="9645" w:type="dxa"/>
            <w:shd w:val="clear" w:color="auto" w:fill="auto"/>
            <w:tcMar>
              <w:left w:w="28" w:type="dxa"/>
            </w:tcMar>
          </w:tcPr>
          <w:p w:rsidR="001E6FB8" w:rsidRDefault="001E6FB8" w:rsidP="001E6FB8">
            <w:r w:rsidRPr="00CB378F">
              <w:rPr>
                <w:noProof/>
              </w:rPr>
              <w:drawing>
                <wp:inline distT="0" distB="0" distL="0" distR="0">
                  <wp:extent cx="5963479" cy="2653748"/>
                  <wp:effectExtent l="0" t="0" r="0" b="0"/>
                  <wp:docPr id="11"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1E6FB8"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*Relates to use of the internet via a mobile phone handset during the month of June.</w:t>
            </w:r>
          </w:p>
          <w:p w:rsidR="001E6FB8" w:rsidRDefault="001E6FB8" w:rsidP="001E6FB8">
            <w:pPr>
              <w:spacing w:after="60" w:line="240" w:lineRule="auto"/>
            </w:pPr>
            <w:r w:rsidRPr="00E141F1">
              <w:rPr>
                <w:rFonts w:cs="Arial"/>
                <w:i/>
                <w:sz w:val="16"/>
                <w:szCs w:val="16"/>
              </w:rPr>
              <w:t>Source: Roy Morgan Single Source.</w:t>
            </w:r>
          </w:p>
        </w:tc>
      </w:tr>
    </w:tbl>
    <w:p w:rsidR="001E6FB8" w:rsidRPr="00E141F1" w:rsidRDefault="001E6FB8" w:rsidP="001E6FB8">
      <w:pPr>
        <w:tabs>
          <w:tab w:val="left" w:pos="1205"/>
        </w:tabs>
        <w:rPr>
          <w:rFonts w:cs="Arial"/>
        </w:rPr>
      </w:pPr>
    </w:p>
    <w:p w:rsidR="001E6FB8" w:rsidRPr="00E141F1" w:rsidRDefault="001E6FB8" w:rsidP="001E6FB8">
      <w:pPr>
        <w:rPr>
          <w:rFonts w:cs="Arial"/>
        </w:rPr>
      </w:pPr>
      <w:r w:rsidRPr="00E141F1">
        <w:rPr>
          <w:rFonts w:cs="Arial"/>
        </w:rPr>
        <w:t xml:space="preserve">Take-up of the internet in the home has seen large increases since 2008 across all age groups (Figure 5.2) to the point where the majority of Australians, within each age group, have access to some form of internet service in the home. There was </w:t>
      </w:r>
      <w:r>
        <w:rPr>
          <w:rFonts w:cs="Arial"/>
        </w:rPr>
        <w:t xml:space="preserve">also </w:t>
      </w:r>
      <w:r w:rsidRPr="00E141F1">
        <w:rPr>
          <w:rFonts w:cs="Arial"/>
        </w:rPr>
        <w:t xml:space="preserve">significant growth in the use of mobile phone handset internet services across all age groups, with the majority of people aged 18–44 accessing the internet via their mobile phones during June 2013. </w:t>
      </w:r>
    </w:p>
    <w:tbl>
      <w:tblPr>
        <w:tblW w:w="9356" w:type="dxa"/>
        <w:tblLayout w:type="fixed"/>
        <w:tblCellMar>
          <w:left w:w="0" w:type="dxa"/>
          <w:right w:w="0" w:type="dxa"/>
        </w:tblCellMar>
        <w:tblLook w:val="01E0"/>
      </w:tblPr>
      <w:tblGrid>
        <w:gridCol w:w="9356"/>
      </w:tblGrid>
      <w:tr w:rsidR="001E6FB8" w:rsidRPr="00E141F1" w:rsidTr="001E6FB8">
        <w:trPr>
          <w:trHeight w:val="456"/>
        </w:trPr>
        <w:tc>
          <w:tcPr>
            <w:tcW w:w="9356" w:type="dxa"/>
            <w:tcBorders>
              <w:top w:val="single" w:sz="4"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5.2 Change in access to the internet, by age</w:t>
            </w:r>
          </w:p>
        </w:tc>
      </w:tr>
      <w:tr w:rsidR="001E6FB8" w:rsidRPr="00E141F1" w:rsidTr="001E6FB8">
        <w:trPr>
          <w:trHeight w:val="4640"/>
        </w:trPr>
        <w:tc>
          <w:tcPr>
            <w:tcW w:w="9356" w:type="dxa"/>
            <w:shd w:val="clear" w:color="auto" w:fill="auto"/>
          </w:tcPr>
          <w:p w:rsidR="001E6FB8" w:rsidRPr="00E141F1" w:rsidRDefault="001E6FB8" w:rsidP="001E6FB8">
            <w:pPr>
              <w:pStyle w:val="Caption"/>
              <w:keepNext/>
              <w:keepLines/>
              <w:rPr>
                <w:rFonts w:cs="Arial"/>
                <w:noProof/>
              </w:rPr>
            </w:pPr>
            <w:r>
              <w:rPr>
                <w:noProof/>
              </w:rPr>
              <w:drawing>
                <wp:inline distT="0" distB="0" distL="0" distR="0">
                  <wp:extent cx="5893636" cy="4600575"/>
                  <wp:effectExtent l="19050" t="0" r="0" b="0"/>
                  <wp:docPr id="246" name="Picture 28" descr="C:\Users\bduhigg\AppData\Local\Microsoft\Windows\Temporary Internet Files\Content.Word\Figure 5.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duhigg\AppData\Local\Microsoft\Windows\Temporary Internet Files\Content.Word\Figure 5.2.emf"/>
                          <pic:cNvPicPr>
                            <a:picLocks noChangeAspect="1" noChangeArrowheads="1"/>
                          </pic:cNvPicPr>
                        </pic:nvPicPr>
                        <pic:blipFill>
                          <a:blip r:embed="rId85" cstate="print"/>
                          <a:srcRect t="1630" r="3991" b="6522"/>
                          <a:stretch>
                            <a:fillRect/>
                          </a:stretch>
                        </pic:blipFill>
                        <pic:spPr bwMode="auto">
                          <a:xfrm>
                            <a:off x="0" y="0"/>
                            <a:ext cx="5895695" cy="4602182"/>
                          </a:xfrm>
                          <a:prstGeom prst="rect">
                            <a:avLst/>
                          </a:prstGeom>
                          <a:noFill/>
                          <a:ln w="9525">
                            <a:noFill/>
                            <a:miter lim="800000"/>
                            <a:headEnd/>
                            <a:tailEnd/>
                          </a:ln>
                        </pic:spPr>
                      </pic:pic>
                    </a:graphicData>
                  </a:graphic>
                </wp:inline>
              </w:drawing>
            </w:r>
          </w:p>
        </w:tc>
      </w:tr>
      <w:tr w:rsidR="001E6FB8" w:rsidRPr="00E141F1" w:rsidTr="001E6FB8">
        <w:trPr>
          <w:trHeight w:val="293"/>
        </w:trPr>
        <w:tc>
          <w:tcPr>
            <w:tcW w:w="9356" w:type="dxa"/>
            <w:tcBorders>
              <w:bottom w:val="single" w:sz="4"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*Relates to use of the internet via a mobile phone handset during the month of June.</w:t>
            </w:r>
          </w:p>
          <w:p w:rsidR="001E6FB8" w:rsidRPr="00E141F1" w:rsidRDefault="001E6FB8" w:rsidP="001E6FB8">
            <w:pPr>
              <w:keepNext/>
              <w:keepLines/>
              <w:spacing w:after="60" w:line="240" w:lineRule="auto"/>
              <w:rPr>
                <w:rFonts w:cs="Arial"/>
                <w:i/>
                <w:sz w:val="16"/>
                <w:szCs w:val="16"/>
              </w:rPr>
            </w:pPr>
            <w:r w:rsidRPr="00E141F1">
              <w:rPr>
                <w:rFonts w:cs="Arial"/>
                <w:i/>
                <w:sz w:val="16"/>
                <w:szCs w:val="16"/>
              </w:rPr>
              <w:t xml:space="preserve">Source: </w:t>
            </w:r>
            <w:r w:rsidRPr="00D065B6">
              <w:rPr>
                <w:rFonts w:cs="Arial"/>
                <w:i/>
                <w:sz w:val="16"/>
                <w:szCs w:val="16"/>
              </w:rPr>
              <w:t>Roy Morgan Single Source</w:t>
            </w:r>
            <w:r>
              <w:rPr>
                <w:rFonts w:cs="Arial"/>
                <w:i/>
                <w:sz w:val="16"/>
                <w:szCs w:val="16"/>
              </w:rPr>
              <w:t>.</w:t>
            </w:r>
          </w:p>
        </w:tc>
      </w:tr>
    </w:tbl>
    <w:p w:rsidR="001E6FB8" w:rsidRPr="00E141F1" w:rsidRDefault="001E6FB8" w:rsidP="001E6FB8">
      <w:pPr>
        <w:rPr>
          <w:rFonts w:cs="Arial"/>
        </w:rPr>
      </w:pPr>
    </w:p>
    <w:p w:rsidR="001E6FB8" w:rsidRPr="00E141F1" w:rsidRDefault="001E6FB8" w:rsidP="001E6FB8">
      <w:pPr>
        <w:pStyle w:val="Bodysubheader"/>
        <w:rPr>
          <w:rFonts w:cs="Arial"/>
        </w:rPr>
      </w:pPr>
      <w:r w:rsidRPr="00E141F1">
        <w:rPr>
          <w:rFonts w:cs="Arial"/>
        </w:rPr>
        <w:t>International trends—access to the internet</w:t>
      </w:r>
    </w:p>
    <w:p w:rsidR="001E6FB8" w:rsidRPr="00E141F1" w:rsidRDefault="001E6FB8" w:rsidP="001E6FB8">
      <w:pPr>
        <w:rPr>
          <w:rFonts w:cs="Arial"/>
        </w:rPr>
      </w:pPr>
      <w:r w:rsidRPr="00E141F1">
        <w:rPr>
          <w:rFonts w:cs="Arial"/>
        </w:rPr>
        <w:t xml:space="preserve">While there is limited, current internationally-comparable data available, the data that is available allows a broad level comparison of internet adoption levels between Australia, the USA and the European Union (EU) (Table 5.1). In terms of general internet access in the home, home broadband connectivity and internet use via mobile phone handsets, Australia is broadly comparable to the UK. </w:t>
      </w:r>
    </w:p>
    <w:p w:rsidR="001E6FB8" w:rsidRPr="00E141F1" w:rsidRDefault="001E6FB8" w:rsidP="001E6FB8">
      <w:pPr>
        <w:rPr>
          <w:rFonts w:cs="Arial"/>
        </w:rPr>
      </w:pPr>
      <w:r w:rsidRPr="00E141F1">
        <w:rPr>
          <w:rFonts w:cs="Arial"/>
        </w:rPr>
        <w:br w:type="page"/>
      </w:r>
    </w:p>
    <w:tbl>
      <w:tblPr>
        <w:tblW w:w="9426" w:type="dxa"/>
        <w:tblLayout w:type="fixed"/>
        <w:tblLook w:val="01E0"/>
      </w:tblPr>
      <w:tblGrid>
        <w:gridCol w:w="1543"/>
        <w:gridCol w:w="1313"/>
        <w:gridCol w:w="1314"/>
        <w:gridCol w:w="1314"/>
        <w:gridCol w:w="1314"/>
        <w:gridCol w:w="1314"/>
        <w:gridCol w:w="1314"/>
      </w:tblGrid>
      <w:tr w:rsidR="001E6FB8" w:rsidRPr="0023753D" w:rsidTr="001E6FB8">
        <w:trPr>
          <w:trHeight w:val="560"/>
        </w:trPr>
        <w:tc>
          <w:tcPr>
            <w:tcW w:w="9426" w:type="dxa"/>
            <w:gridSpan w:val="7"/>
            <w:tcBorders>
              <w:top w:val="single" w:sz="2" w:space="0" w:color="505050"/>
            </w:tcBorders>
            <w:shd w:val="clear" w:color="auto" w:fill="auto"/>
            <w:vAlign w:val="center"/>
          </w:tcPr>
          <w:p w:rsidR="001E6FB8" w:rsidRPr="0023753D" w:rsidRDefault="001E6FB8" w:rsidP="001E6FB8">
            <w:pPr>
              <w:pStyle w:val="Caption"/>
              <w:keepNext/>
              <w:keepLines/>
              <w:rPr>
                <w:rFonts w:cs="Arial"/>
              </w:rPr>
            </w:pPr>
            <w:r w:rsidRPr="0023753D">
              <w:rPr>
                <w:rFonts w:cs="Arial"/>
              </w:rPr>
              <w:t>Table 5.1 International trends in access to the internet, 2013</w:t>
            </w:r>
          </w:p>
        </w:tc>
      </w:tr>
      <w:tr w:rsidR="001E6FB8" w:rsidRPr="0023753D" w:rsidTr="001E6FB8">
        <w:trPr>
          <w:trHeight w:val="686"/>
        </w:trPr>
        <w:tc>
          <w:tcPr>
            <w:tcW w:w="1543" w:type="dxa"/>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Country</w:t>
            </w:r>
          </w:p>
        </w:tc>
        <w:tc>
          <w:tcPr>
            <w:tcW w:w="2627" w:type="dxa"/>
            <w:gridSpan w:val="2"/>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Home internet access</w:t>
            </w:r>
          </w:p>
        </w:tc>
        <w:tc>
          <w:tcPr>
            <w:tcW w:w="2628" w:type="dxa"/>
            <w:gridSpan w:val="2"/>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Have home broadband connection</w:t>
            </w:r>
          </w:p>
        </w:tc>
        <w:tc>
          <w:tcPr>
            <w:tcW w:w="2628" w:type="dxa"/>
            <w:gridSpan w:val="2"/>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Used mobile phone to access the internet</w:t>
            </w:r>
          </w:p>
        </w:tc>
      </w:tr>
      <w:tr w:rsidR="001E6FB8" w:rsidRPr="0023753D" w:rsidTr="001E6FB8">
        <w:trPr>
          <w:trHeight w:val="415"/>
        </w:trPr>
        <w:tc>
          <w:tcPr>
            <w:tcW w:w="1543" w:type="dxa"/>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sz w:val="18"/>
                <w:szCs w:val="18"/>
              </w:rPr>
            </w:pPr>
          </w:p>
        </w:tc>
        <w:tc>
          <w:tcPr>
            <w:tcW w:w="1313" w:type="dxa"/>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2012</w:t>
            </w:r>
          </w:p>
        </w:tc>
        <w:tc>
          <w:tcPr>
            <w:tcW w:w="1314" w:type="dxa"/>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2013</w:t>
            </w:r>
          </w:p>
        </w:tc>
        <w:tc>
          <w:tcPr>
            <w:tcW w:w="1314" w:type="dxa"/>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2012</w:t>
            </w:r>
          </w:p>
        </w:tc>
        <w:tc>
          <w:tcPr>
            <w:tcW w:w="1314" w:type="dxa"/>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2013</w:t>
            </w:r>
          </w:p>
        </w:tc>
        <w:tc>
          <w:tcPr>
            <w:tcW w:w="1314" w:type="dxa"/>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2012</w:t>
            </w:r>
          </w:p>
        </w:tc>
        <w:tc>
          <w:tcPr>
            <w:tcW w:w="1314" w:type="dxa"/>
            <w:tcBorders>
              <w:top w:val="single" w:sz="2" w:space="0" w:color="A6A6A6" w:themeColor="background1" w:themeShade="A6"/>
              <w:bottom w:val="single" w:sz="2" w:space="0" w:color="A6A6A6" w:themeColor="background1" w:themeShade="A6"/>
            </w:tcBorders>
            <w:shd w:val="clear" w:color="auto" w:fill="00709E"/>
            <w:vAlign w:val="center"/>
          </w:tcPr>
          <w:p w:rsidR="001E6FB8" w:rsidRPr="0023753D" w:rsidRDefault="001E6FB8" w:rsidP="001E6FB8">
            <w:pPr>
              <w:keepNext/>
              <w:keepLines/>
              <w:rPr>
                <w:rFonts w:cs="Arial"/>
                <w:b/>
                <w:color w:val="FFFFFF" w:themeColor="background1"/>
                <w:sz w:val="18"/>
                <w:szCs w:val="18"/>
              </w:rPr>
            </w:pPr>
            <w:r w:rsidRPr="0023753D">
              <w:rPr>
                <w:rFonts w:cs="Arial"/>
                <w:b/>
                <w:color w:val="FFFFFF" w:themeColor="background1"/>
                <w:sz w:val="18"/>
                <w:szCs w:val="18"/>
              </w:rPr>
              <w:t>2013</w:t>
            </w:r>
          </w:p>
        </w:tc>
      </w:tr>
      <w:tr w:rsidR="001E6FB8" w:rsidRPr="0023753D" w:rsidTr="001E6FB8">
        <w:trPr>
          <w:trHeight w:val="415"/>
        </w:trPr>
        <w:tc>
          <w:tcPr>
            <w:tcW w:w="1543"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b/>
                <w:color w:val="00709E"/>
                <w:sz w:val="18"/>
                <w:szCs w:val="18"/>
              </w:rPr>
            </w:pPr>
            <w:r w:rsidRPr="0023753D">
              <w:rPr>
                <w:rFonts w:cs="Arial"/>
                <w:b/>
                <w:color w:val="00709E"/>
                <w:sz w:val="18"/>
                <w:szCs w:val="18"/>
              </w:rPr>
              <w:t>Australia*</w:t>
            </w:r>
          </w:p>
        </w:tc>
        <w:tc>
          <w:tcPr>
            <w:tcW w:w="1313"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80%</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80%</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70%</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74%</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32%</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42%</w:t>
            </w:r>
          </w:p>
        </w:tc>
      </w:tr>
      <w:tr w:rsidR="001E6FB8" w:rsidRPr="0023753D" w:rsidTr="001E6FB8">
        <w:trPr>
          <w:trHeight w:val="421"/>
        </w:trPr>
        <w:tc>
          <w:tcPr>
            <w:tcW w:w="1543"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b/>
                <w:color w:val="00709E"/>
                <w:sz w:val="18"/>
                <w:szCs w:val="18"/>
              </w:rPr>
            </w:pPr>
            <w:r w:rsidRPr="0023753D">
              <w:rPr>
                <w:rFonts w:cs="Arial"/>
                <w:b/>
                <w:color w:val="00709E"/>
                <w:sz w:val="18"/>
                <w:szCs w:val="18"/>
              </w:rPr>
              <w:t>USA</w:t>
            </w:r>
            <w:r w:rsidRPr="0023753D">
              <w:rPr>
                <w:rFonts w:cs="Arial"/>
                <w:b/>
                <w:color w:val="00709E"/>
                <w:sz w:val="18"/>
                <w:szCs w:val="18"/>
                <w:vertAlign w:val="superscript"/>
              </w:rPr>
              <w:endnoteReference w:id="53"/>
            </w:r>
          </w:p>
        </w:tc>
        <w:tc>
          <w:tcPr>
            <w:tcW w:w="1313"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n/a</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n/a</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66%</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70%</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53%</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60%</w:t>
            </w:r>
          </w:p>
        </w:tc>
      </w:tr>
      <w:tr w:rsidR="001E6FB8" w:rsidRPr="0023753D" w:rsidTr="001E6FB8">
        <w:trPr>
          <w:trHeight w:val="427"/>
        </w:trPr>
        <w:tc>
          <w:tcPr>
            <w:tcW w:w="1543"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b/>
                <w:color w:val="00709E"/>
                <w:sz w:val="18"/>
                <w:szCs w:val="18"/>
              </w:rPr>
            </w:pPr>
            <w:r w:rsidRPr="0023753D">
              <w:rPr>
                <w:rFonts w:cs="Arial"/>
                <w:b/>
                <w:color w:val="00709E"/>
                <w:sz w:val="18"/>
                <w:szCs w:val="18"/>
              </w:rPr>
              <w:t>UK</w:t>
            </w:r>
            <w:r w:rsidRPr="0023753D">
              <w:rPr>
                <w:rFonts w:cs="Arial"/>
                <w:b/>
                <w:color w:val="00709E"/>
                <w:sz w:val="18"/>
                <w:szCs w:val="18"/>
                <w:vertAlign w:val="superscript"/>
              </w:rPr>
              <w:endnoteReference w:id="54"/>
            </w:r>
          </w:p>
        </w:tc>
        <w:tc>
          <w:tcPr>
            <w:tcW w:w="1313"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79%</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80%</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76%</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75%</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39%</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49%</w:t>
            </w:r>
          </w:p>
        </w:tc>
      </w:tr>
      <w:tr w:rsidR="001E6FB8" w:rsidRPr="0023753D" w:rsidTr="001E6FB8">
        <w:trPr>
          <w:trHeight w:val="433"/>
        </w:trPr>
        <w:tc>
          <w:tcPr>
            <w:tcW w:w="1543"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b/>
                <w:color w:val="00709E"/>
                <w:sz w:val="18"/>
                <w:szCs w:val="18"/>
              </w:rPr>
            </w:pPr>
            <w:r w:rsidRPr="0023753D">
              <w:rPr>
                <w:rFonts w:cs="Arial"/>
                <w:b/>
                <w:color w:val="00709E"/>
                <w:sz w:val="18"/>
                <w:szCs w:val="18"/>
              </w:rPr>
              <w:t>EU</w:t>
            </w:r>
            <w:r w:rsidRPr="0023753D">
              <w:rPr>
                <w:rFonts w:cs="Arial"/>
                <w:b/>
                <w:color w:val="00709E"/>
                <w:sz w:val="18"/>
                <w:szCs w:val="18"/>
                <w:vertAlign w:val="superscript"/>
              </w:rPr>
              <w:endnoteReference w:id="55"/>
            </w:r>
          </w:p>
        </w:tc>
        <w:tc>
          <w:tcPr>
            <w:tcW w:w="1313"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64%</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68%</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56%</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61%</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n/a</w:t>
            </w:r>
          </w:p>
        </w:tc>
        <w:tc>
          <w:tcPr>
            <w:tcW w:w="1314" w:type="dxa"/>
            <w:tcBorders>
              <w:top w:val="single" w:sz="2" w:space="0" w:color="A6A6A6" w:themeColor="background1" w:themeShade="A6"/>
              <w:bottom w:val="single" w:sz="2" w:space="0" w:color="A6A6A6" w:themeColor="background1" w:themeShade="A6"/>
            </w:tcBorders>
            <w:shd w:val="clear" w:color="auto" w:fill="auto"/>
            <w:vAlign w:val="center"/>
          </w:tcPr>
          <w:p w:rsidR="001E6FB8" w:rsidRPr="0023753D" w:rsidRDefault="001E6FB8" w:rsidP="001E6FB8">
            <w:pPr>
              <w:keepNext/>
              <w:keepLines/>
              <w:rPr>
                <w:rFonts w:cs="Arial"/>
                <w:sz w:val="18"/>
                <w:szCs w:val="18"/>
              </w:rPr>
            </w:pPr>
            <w:r w:rsidRPr="0023753D">
              <w:rPr>
                <w:rFonts w:cs="Arial"/>
                <w:sz w:val="18"/>
                <w:szCs w:val="18"/>
              </w:rPr>
              <w:t>n/a</w:t>
            </w:r>
          </w:p>
        </w:tc>
      </w:tr>
      <w:tr w:rsidR="001E6FB8" w:rsidRPr="0023753D" w:rsidTr="001E6FB8">
        <w:trPr>
          <w:trHeight w:val="435"/>
        </w:trPr>
        <w:tc>
          <w:tcPr>
            <w:tcW w:w="9426" w:type="dxa"/>
            <w:gridSpan w:val="7"/>
            <w:tcBorders>
              <w:top w:val="single" w:sz="2" w:space="0" w:color="A6A6A6" w:themeColor="background1" w:themeShade="A6"/>
              <w:bottom w:val="single" w:sz="4" w:space="0" w:color="auto"/>
            </w:tcBorders>
            <w:shd w:val="clear" w:color="auto" w:fill="auto"/>
            <w:vAlign w:val="center"/>
          </w:tcPr>
          <w:p w:rsidR="001E6FB8" w:rsidRPr="0023753D" w:rsidRDefault="001E6FB8" w:rsidP="001E6FB8">
            <w:pPr>
              <w:keepNext/>
              <w:keepLines/>
              <w:spacing w:before="120" w:line="240" w:lineRule="auto"/>
              <w:rPr>
                <w:rFonts w:cs="Arial"/>
                <w:i/>
                <w:sz w:val="16"/>
                <w:szCs w:val="16"/>
              </w:rPr>
            </w:pPr>
            <w:r w:rsidRPr="0023753D">
              <w:rPr>
                <w:rFonts w:cs="Arial"/>
                <w:i/>
                <w:sz w:val="16"/>
                <w:szCs w:val="16"/>
              </w:rPr>
              <w:t>*Refers to total population aged 18 years and over. Internet use via mobile phones relates to use during the months of June 2012 and 2013. Mobile phone internet use increases to 52 per cent and 62 per cent in Australia when taken over a six month period to May 2012 and May 2013.</w:t>
            </w:r>
          </w:p>
          <w:p w:rsidR="001E6FB8" w:rsidRPr="0023753D" w:rsidRDefault="001E6FB8" w:rsidP="001E6FB8">
            <w:pPr>
              <w:keepNext/>
              <w:keepLines/>
              <w:spacing w:line="240" w:lineRule="auto"/>
              <w:rPr>
                <w:rFonts w:cs="Arial"/>
                <w:i/>
                <w:sz w:val="16"/>
                <w:szCs w:val="16"/>
              </w:rPr>
            </w:pPr>
            <w:r w:rsidRPr="0023753D">
              <w:rPr>
                <w:rFonts w:cs="Arial"/>
                <w:i/>
                <w:sz w:val="16"/>
                <w:szCs w:val="16"/>
              </w:rPr>
              <w:t xml:space="preserve">Note: Data for the UK and EU about home internet access and broadband connection relates to households. The period of mobile phone internet use is not defined for the UK and USA. </w:t>
            </w:r>
          </w:p>
          <w:p w:rsidR="001E6FB8" w:rsidRPr="0023753D" w:rsidRDefault="001E6FB8" w:rsidP="001E6FB8">
            <w:pPr>
              <w:keepNext/>
              <w:keepLines/>
              <w:spacing w:after="60" w:line="240" w:lineRule="auto"/>
              <w:rPr>
                <w:rFonts w:cs="Arial"/>
                <w:sz w:val="18"/>
                <w:szCs w:val="18"/>
              </w:rPr>
            </w:pPr>
            <w:r w:rsidRPr="0023753D">
              <w:rPr>
                <w:rFonts w:cs="Arial"/>
                <w:i/>
                <w:sz w:val="16"/>
                <w:szCs w:val="16"/>
              </w:rPr>
              <w:t xml:space="preserve">Sources: Data relating to Australia, ACMA-commissioned research May 2012 and 2013, UK </w:t>
            </w:r>
            <w:proofErr w:type="spellStart"/>
            <w:r w:rsidRPr="0023753D">
              <w:rPr>
                <w:rFonts w:cs="Arial"/>
                <w:i/>
                <w:sz w:val="16"/>
                <w:szCs w:val="16"/>
              </w:rPr>
              <w:t>Ofcom</w:t>
            </w:r>
            <w:proofErr w:type="spellEnd"/>
            <w:r w:rsidRPr="0023753D">
              <w:rPr>
                <w:rFonts w:cs="Arial"/>
                <w:i/>
                <w:sz w:val="16"/>
                <w:szCs w:val="16"/>
              </w:rPr>
              <w:t xml:space="preserve">, US Pew Internet Project, and EU data sourced from </w:t>
            </w:r>
            <w:proofErr w:type="spellStart"/>
            <w:r w:rsidRPr="0023753D">
              <w:rPr>
                <w:rFonts w:cs="Arial"/>
                <w:i/>
                <w:sz w:val="16"/>
                <w:szCs w:val="16"/>
              </w:rPr>
              <w:t>Eurobarometer</w:t>
            </w:r>
            <w:proofErr w:type="spellEnd"/>
            <w:r w:rsidRPr="0023753D">
              <w:rPr>
                <w:rFonts w:cs="Arial"/>
                <w:i/>
                <w:sz w:val="16"/>
                <w:szCs w:val="16"/>
              </w:rPr>
              <w:t>.</w:t>
            </w:r>
          </w:p>
        </w:tc>
      </w:tr>
    </w:tbl>
    <w:p w:rsidR="001E6FB8" w:rsidRPr="0023753D" w:rsidRDefault="001E6FB8" w:rsidP="001E6FB8">
      <w:pPr>
        <w:rPr>
          <w:rFonts w:cs="Arial"/>
        </w:rPr>
      </w:pPr>
    </w:p>
    <w:p w:rsidR="001E6FB8" w:rsidRPr="0023753D" w:rsidRDefault="001E6FB8" w:rsidP="001E6FB8">
      <w:pPr>
        <w:pStyle w:val="Heading3"/>
      </w:pPr>
      <w:bookmarkStart w:id="609" w:name="_Toc371589125"/>
      <w:bookmarkStart w:id="610" w:name="_Toc373149187"/>
      <w:r w:rsidRPr="0023753D">
        <w:t>Complementary internet services</w:t>
      </w:r>
      <w:bookmarkEnd w:id="609"/>
      <w:bookmarkEnd w:id="610"/>
    </w:p>
    <w:p w:rsidR="001E6FB8" w:rsidRPr="00E141F1" w:rsidRDefault="001E6FB8" w:rsidP="001E6FB8">
      <w:pPr>
        <w:spacing w:after="80"/>
        <w:rPr>
          <w:rFonts w:cs="Arial"/>
        </w:rPr>
      </w:pPr>
      <w:r w:rsidRPr="0023753D">
        <w:rPr>
          <w:rFonts w:cs="Arial"/>
        </w:rPr>
        <w:t>The majority of Australians using the internet via their mobile phone handset also had access to other internet services in the home. Of</w:t>
      </w:r>
      <w:r w:rsidRPr="00E141F1">
        <w:rPr>
          <w:rFonts w:cs="Arial"/>
        </w:rPr>
        <w:t xml:space="preserve"> the 7.50 million adult Australians who used the internet via their mobile phone handsets during June 2013:</w:t>
      </w:r>
    </w:p>
    <w:p w:rsidR="001E6FB8" w:rsidRPr="00E141F1" w:rsidRDefault="001E6FB8" w:rsidP="001E6FB8">
      <w:pPr>
        <w:pStyle w:val="ListBullet"/>
        <w:rPr>
          <w:rFonts w:cs="Arial"/>
        </w:rPr>
      </w:pPr>
      <w:r w:rsidRPr="00E141F1">
        <w:rPr>
          <w:rFonts w:cs="Arial"/>
        </w:rPr>
        <w:t>63 per cent also had access to a fixed-line home internet connection (usually ADSL or cable)</w:t>
      </w:r>
    </w:p>
    <w:p w:rsidR="001E6FB8" w:rsidRPr="00E141F1" w:rsidRDefault="001E6FB8" w:rsidP="001E6FB8">
      <w:pPr>
        <w:pStyle w:val="ListBullet"/>
        <w:rPr>
          <w:rFonts w:cs="Arial"/>
        </w:rPr>
      </w:pPr>
      <w:r w:rsidRPr="00E141F1">
        <w:rPr>
          <w:rFonts w:cs="Arial"/>
        </w:rPr>
        <w:t>33 per cent had access to other mobile wireless internet services such as mobile dongles/USB modem/data card services, or satellite internet</w:t>
      </w:r>
    </w:p>
    <w:p w:rsidR="001E6FB8" w:rsidRPr="00E141F1" w:rsidRDefault="001E6FB8" w:rsidP="001E6FB8">
      <w:pPr>
        <w:pStyle w:val="ListBullet"/>
        <w:spacing w:after="240"/>
        <w:rPr>
          <w:rFonts w:cs="Arial"/>
        </w:rPr>
      </w:pPr>
      <w:r w:rsidRPr="00E141F1">
        <w:rPr>
          <w:rFonts w:cs="Arial"/>
        </w:rPr>
        <w:t>only four per cent had no other internet access in the home.</w:t>
      </w:r>
    </w:p>
    <w:p w:rsidR="001E6FB8" w:rsidRPr="00E141F1" w:rsidRDefault="001E6FB8" w:rsidP="001E6FB8">
      <w:pPr>
        <w:rPr>
          <w:rFonts w:cs="Arial"/>
        </w:rPr>
      </w:pPr>
      <w:bookmarkStart w:id="611" w:name="_Toc277159479"/>
      <w:r w:rsidRPr="00E141F1">
        <w:rPr>
          <w:rFonts w:cs="Arial"/>
        </w:rPr>
        <w:t>A further reflection of the complementary nature of mobile phone internet use is the fact that 27 per cent of these users identified their mobile handset as their most used internet access device in the six months to May 2013, compared to 33 per cent identifying a laptop computer, 22 per cent a desktop computer, and 12 per cent a tablet computer.</w:t>
      </w:r>
      <w:r w:rsidRPr="00E141F1">
        <w:rPr>
          <w:rStyle w:val="EndnoteReference"/>
          <w:rFonts w:cs="Arial"/>
        </w:rPr>
        <w:endnoteReference w:id="56"/>
      </w:r>
    </w:p>
    <w:p w:rsidR="001E6FB8" w:rsidRPr="00E141F1" w:rsidRDefault="001E6FB8" w:rsidP="001E6FB8">
      <w:pPr>
        <w:rPr>
          <w:rFonts w:cs="Arial"/>
        </w:rPr>
      </w:pPr>
    </w:p>
    <w:p w:rsidR="001E6FB8" w:rsidRPr="00E141F1" w:rsidRDefault="001E6FB8" w:rsidP="001E6FB8">
      <w:pPr>
        <w:pStyle w:val="Heading3"/>
      </w:pPr>
      <w:bookmarkStart w:id="612" w:name="_Toc340139720"/>
      <w:bookmarkStart w:id="613" w:name="_Toc371589126"/>
      <w:bookmarkStart w:id="614" w:name="_Toc373149188"/>
      <w:bookmarkEnd w:id="611"/>
      <w:r w:rsidRPr="00E141F1">
        <w:t>Locations of internet use</w:t>
      </w:r>
      <w:bookmarkEnd w:id="612"/>
      <w:bookmarkEnd w:id="613"/>
      <w:bookmarkEnd w:id="614"/>
    </w:p>
    <w:p w:rsidR="001E6FB8" w:rsidRPr="00E141F1" w:rsidRDefault="001E6FB8" w:rsidP="001E6FB8">
      <w:pPr>
        <w:rPr>
          <w:rFonts w:cs="Arial"/>
        </w:rPr>
      </w:pPr>
      <w:r w:rsidRPr="00E141F1">
        <w:rPr>
          <w:rFonts w:cs="Arial"/>
        </w:rPr>
        <w:t xml:space="preserve">During the June quarter of 2013, many </w:t>
      </w:r>
      <w:r>
        <w:rPr>
          <w:rFonts w:cs="Arial"/>
        </w:rPr>
        <w:t>people</w:t>
      </w:r>
      <w:r w:rsidRPr="00E141F1">
        <w:rPr>
          <w:rFonts w:cs="Arial"/>
        </w:rPr>
        <w:t xml:space="preserve"> accessed the internet at several locations. The most commonly reported sites to access the internet were the home </w:t>
      </w:r>
      <w:r>
        <w:rPr>
          <w:rFonts w:cs="Arial"/>
        </w:rPr>
        <w:br/>
      </w:r>
      <w:r w:rsidRPr="00E141F1">
        <w:rPr>
          <w:rFonts w:cs="Arial"/>
        </w:rPr>
        <w:t>(98 per cent of active internet users), work (50 per cent), a friend’s place (19 per cent), a Wi-Fi hotspot (16 per cent), and other locations such as libraries, schools and internet cafes (25 per cent of active internet users during this period).</w:t>
      </w:r>
      <w:r w:rsidRPr="00E141F1">
        <w:rPr>
          <w:rStyle w:val="EndnoteReference"/>
          <w:rFonts w:cs="Arial"/>
        </w:rPr>
        <w:endnoteReference w:id="57"/>
      </w:r>
      <w:r w:rsidRPr="00E141F1">
        <w:rPr>
          <w:rFonts w:cs="Arial"/>
        </w:rPr>
        <w:t xml:space="preserve"> </w:t>
      </w:r>
    </w:p>
    <w:p w:rsidR="001E6FB8" w:rsidRPr="00E141F1" w:rsidRDefault="001E6FB8" w:rsidP="001E6FB8">
      <w:pPr>
        <w:rPr>
          <w:rFonts w:cs="Arial"/>
        </w:rPr>
      </w:pPr>
    </w:p>
    <w:p w:rsidR="001E6FB8" w:rsidRPr="00E141F1" w:rsidRDefault="001E6FB8" w:rsidP="001E6FB8">
      <w:pPr>
        <w:rPr>
          <w:rFonts w:cs="Arial"/>
          <w:snapToGrid w:val="0"/>
          <w:color w:val="000000"/>
        </w:rPr>
      </w:pPr>
      <w:r w:rsidRPr="00E141F1">
        <w:rPr>
          <w:rFonts w:cs="Arial"/>
          <w:snapToGrid w:val="0"/>
          <w:color w:val="000000"/>
        </w:rPr>
        <w:t xml:space="preserve">The use of the internet via mobile phones from Wi-Fi hotspots or from ‘piggy-backing’ off an existing alternative home internet network saw significant increases in the 12 months to May 2013—26 per cent and 21 per cent respectively (Figure 5.3). </w:t>
      </w:r>
    </w:p>
    <w:tbl>
      <w:tblPr>
        <w:tblW w:w="8851" w:type="dxa"/>
        <w:tblLayout w:type="fixed"/>
        <w:tblCellMar>
          <w:left w:w="0" w:type="dxa"/>
          <w:right w:w="0" w:type="dxa"/>
        </w:tblCellMar>
        <w:tblLook w:val="01E0"/>
      </w:tblPr>
      <w:tblGrid>
        <w:gridCol w:w="8851"/>
      </w:tblGrid>
      <w:tr w:rsidR="001E6FB8" w:rsidRPr="00E141F1" w:rsidTr="001E6FB8">
        <w:trPr>
          <w:trHeight w:val="633"/>
        </w:trPr>
        <w:tc>
          <w:tcPr>
            <w:tcW w:w="8851" w:type="dxa"/>
            <w:tcBorders>
              <w:top w:val="single" w:sz="4"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Figure 5.3 Location of internet use via mobile phone handsets in the six months to May</w:t>
            </w:r>
          </w:p>
        </w:tc>
      </w:tr>
      <w:tr w:rsidR="001E6FB8" w:rsidRPr="00E141F1" w:rsidTr="001E6FB8">
        <w:trPr>
          <w:trHeight w:val="139"/>
        </w:trPr>
        <w:tc>
          <w:tcPr>
            <w:tcW w:w="8851" w:type="dxa"/>
            <w:shd w:val="clear" w:color="auto" w:fill="auto"/>
          </w:tcPr>
          <w:p w:rsidR="001E6FB8" w:rsidRPr="00E141F1" w:rsidRDefault="001E6FB8" w:rsidP="001E6FB8">
            <w:pPr>
              <w:rPr>
                <w:rFonts w:cs="Arial"/>
                <w:sz w:val="18"/>
                <w:szCs w:val="18"/>
              </w:rPr>
            </w:pPr>
            <w:r w:rsidRPr="00DE0E22">
              <w:rPr>
                <w:rFonts w:cs="Arial"/>
                <w:noProof/>
                <w:sz w:val="18"/>
                <w:szCs w:val="18"/>
              </w:rPr>
              <w:drawing>
                <wp:inline distT="0" distB="0" distL="0" distR="0">
                  <wp:extent cx="5546035" cy="2922104"/>
                  <wp:effectExtent l="0" t="0" r="0" b="0"/>
                  <wp:docPr id="298" name="Chart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E6FB8" w:rsidRPr="00E141F1" w:rsidRDefault="001E6FB8" w:rsidP="001E6FB8">
            <w:pPr>
              <w:keepNext/>
              <w:keepLines/>
              <w:spacing w:before="120" w:line="240" w:lineRule="auto"/>
              <w:rPr>
                <w:rFonts w:cs="Arial"/>
                <w:i/>
                <w:sz w:val="18"/>
                <w:szCs w:val="18"/>
              </w:rPr>
            </w:pPr>
            <w:r w:rsidRPr="00D065B6">
              <w:rPr>
                <w:rFonts w:cs="Arial"/>
                <w:i/>
                <w:sz w:val="16"/>
                <w:szCs w:val="16"/>
              </w:rPr>
              <w:t xml:space="preserve">Note: </w:t>
            </w:r>
            <w:r w:rsidRPr="00E141F1">
              <w:rPr>
                <w:rFonts w:cs="Arial"/>
                <w:i/>
                <w:sz w:val="16"/>
                <w:szCs w:val="16"/>
              </w:rPr>
              <w:t>‘At home using a home internet connection’ relates to use of a wireless router.</w:t>
            </w:r>
            <w:r w:rsidRPr="00E141F1">
              <w:rPr>
                <w:rFonts w:cs="Arial"/>
                <w:i/>
                <w:sz w:val="18"/>
                <w:szCs w:val="18"/>
              </w:rPr>
              <w:t xml:space="preserve"> </w:t>
            </w:r>
          </w:p>
        </w:tc>
      </w:tr>
      <w:tr w:rsidR="001E6FB8" w:rsidRPr="00E141F1" w:rsidTr="001E6FB8">
        <w:trPr>
          <w:trHeight w:val="139"/>
        </w:trPr>
        <w:tc>
          <w:tcPr>
            <w:tcW w:w="8851" w:type="dxa"/>
            <w:tcBorders>
              <w:bottom w:val="single" w:sz="2" w:space="0" w:color="505050"/>
            </w:tcBorders>
            <w:shd w:val="clear" w:color="auto" w:fill="auto"/>
          </w:tcPr>
          <w:p w:rsidR="001E6FB8" w:rsidRPr="00E141F1" w:rsidRDefault="001E6FB8" w:rsidP="001E6FB8">
            <w:pPr>
              <w:spacing w:after="60" w:line="240" w:lineRule="auto"/>
              <w:rPr>
                <w:rFonts w:cs="Arial"/>
                <w:i/>
                <w:sz w:val="16"/>
                <w:szCs w:val="16"/>
              </w:rPr>
            </w:pPr>
            <w:r w:rsidRPr="00E141F1">
              <w:rPr>
                <w:rFonts w:cs="Arial"/>
                <w:i/>
                <w:sz w:val="16"/>
                <w:szCs w:val="16"/>
              </w:rPr>
              <w:t xml:space="preserve">Source: ACMA-commissioned research, May 2012 and May 2013. </w:t>
            </w:r>
          </w:p>
        </w:tc>
      </w:tr>
    </w:tbl>
    <w:p w:rsidR="001E6FB8" w:rsidRPr="00E141F1" w:rsidRDefault="001E6FB8" w:rsidP="001E6FB8">
      <w:pPr>
        <w:rPr>
          <w:rFonts w:cs="Arial"/>
          <w:snapToGrid w:val="0"/>
        </w:rPr>
      </w:pPr>
    </w:p>
    <w:p w:rsidR="001E6FB8" w:rsidRPr="00E141F1" w:rsidRDefault="001E6FB8" w:rsidP="001E6FB8">
      <w:pPr>
        <w:pStyle w:val="Heading3"/>
      </w:pPr>
      <w:bookmarkStart w:id="615" w:name="_Toc340139722"/>
      <w:bookmarkStart w:id="616" w:name="_Toc371589127"/>
      <w:bookmarkStart w:id="617" w:name="_Toc373149189"/>
      <w:r w:rsidRPr="00E141F1">
        <w:t>Australian business enabling online participation</w:t>
      </w:r>
      <w:bookmarkEnd w:id="615"/>
      <w:bookmarkEnd w:id="616"/>
      <w:bookmarkEnd w:id="617"/>
    </w:p>
    <w:p w:rsidR="001E6FB8" w:rsidRPr="00E141F1" w:rsidRDefault="001E6FB8" w:rsidP="001E6FB8">
      <w:pPr>
        <w:pStyle w:val="Bodysubheader"/>
        <w:rPr>
          <w:rFonts w:cs="Arial"/>
        </w:rPr>
      </w:pPr>
      <w:bookmarkStart w:id="618" w:name="_Toc339881864"/>
      <w:r w:rsidRPr="00E141F1">
        <w:rPr>
          <w:rFonts w:cs="Arial"/>
        </w:rPr>
        <w:t>Domain name registrations</w:t>
      </w:r>
      <w:bookmarkEnd w:id="618"/>
    </w:p>
    <w:p w:rsidR="001E6FB8" w:rsidRPr="00E141F1" w:rsidRDefault="001E6FB8" w:rsidP="001E6FB8">
      <w:pPr>
        <w:rPr>
          <w:rFonts w:cs="Arial"/>
        </w:rPr>
      </w:pPr>
      <w:r w:rsidRPr="00E141F1">
        <w:rPr>
          <w:rFonts w:cs="Arial"/>
        </w:rPr>
        <w:t>Australian businesses and organisations continue to recognise the importance of establishing an online presence to enable them to expand the reach of their goods and services and connect with existing and new customers regardless of location. This is reflected in the ongoing growth of ‘.au’ domain name registrations and the availability of online channels consumers can use.</w:t>
      </w:r>
    </w:p>
    <w:p w:rsidR="001E6FB8" w:rsidRPr="00E141F1" w:rsidRDefault="001E6FB8" w:rsidP="001E6FB8">
      <w:pPr>
        <w:rPr>
          <w:rFonts w:cs="Arial"/>
        </w:rPr>
      </w:pPr>
    </w:p>
    <w:p w:rsidR="001E6FB8" w:rsidRPr="00E141F1" w:rsidRDefault="001E6FB8" w:rsidP="001E6FB8">
      <w:pPr>
        <w:rPr>
          <w:rFonts w:cs="Arial"/>
          <w:snapToGrid w:val="0"/>
          <w:color w:val="000000"/>
        </w:rPr>
      </w:pPr>
      <w:r w:rsidRPr="00E141F1">
        <w:rPr>
          <w:rFonts w:cs="Arial"/>
        </w:rPr>
        <w:t>The .au country code for Australian domain names is administered by .</w:t>
      </w:r>
      <w:proofErr w:type="spellStart"/>
      <w:r w:rsidRPr="00E141F1">
        <w:rPr>
          <w:rFonts w:cs="Arial"/>
        </w:rPr>
        <w:t>auDA</w:t>
      </w:r>
      <w:proofErr w:type="spellEnd"/>
      <w:r w:rsidRPr="00E141F1">
        <w:rPr>
          <w:rFonts w:cs="Arial"/>
        </w:rPr>
        <w:t xml:space="preserve"> </w:t>
      </w:r>
      <w:r w:rsidRPr="00E141F1">
        <w:rPr>
          <w:rFonts w:cs="Arial"/>
          <w:snapToGrid w:val="0"/>
          <w:color w:val="000000"/>
        </w:rPr>
        <w:t>(.au Domain Administration Ltd) and covers the second-level domains of ‘.</w:t>
      </w:r>
      <w:proofErr w:type="spellStart"/>
      <w:r w:rsidRPr="00E141F1">
        <w:rPr>
          <w:rFonts w:cs="Arial"/>
          <w:snapToGrid w:val="0"/>
          <w:color w:val="000000"/>
        </w:rPr>
        <w:t>com.au</w:t>
      </w:r>
      <w:proofErr w:type="spellEnd"/>
      <w:r w:rsidRPr="00E141F1">
        <w:rPr>
          <w:rFonts w:cs="Arial"/>
          <w:snapToGrid w:val="0"/>
          <w:color w:val="000000"/>
        </w:rPr>
        <w:t>’, ‘.</w:t>
      </w:r>
      <w:proofErr w:type="spellStart"/>
      <w:r w:rsidRPr="00E141F1">
        <w:rPr>
          <w:rFonts w:cs="Arial"/>
          <w:snapToGrid w:val="0"/>
          <w:color w:val="000000"/>
        </w:rPr>
        <w:t>edu.au</w:t>
      </w:r>
      <w:proofErr w:type="spellEnd"/>
      <w:r w:rsidRPr="00E141F1">
        <w:rPr>
          <w:rFonts w:cs="Arial"/>
          <w:snapToGrid w:val="0"/>
          <w:color w:val="000000"/>
        </w:rPr>
        <w:t>’, ‘.</w:t>
      </w:r>
      <w:proofErr w:type="spellStart"/>
      <w:r w:rsidRPr="00E141F1">
        <w:rPr>
          <w:rFonts w:cs="Arial"/>
          <w:snapToGrid w:val="0"/>
          <w:color w:val="000000"/>
        </w:rPr>
        <w:t>org.au</w:t>
      </w:r>
      <w:proofErr w:type="spellEnd"/>
      <w:r w:rsidRPr="00E141F1">
        <w:rPr>
          <w:rFonts w:cs="Arial"/>
          <w:snapToGrid w:val="0"/>
          <w:color w:val="000000"/>
        </w:rPr>
        <w:t>’, ‘.</w:t>
      </w:r>
      <w:proofErr w:type="spellStart"/>
      <w:r w:rsidRPr="00E141F1">
        <w:rPr>
          <w:rFonts w:cs="Arial"/>
          <w:snapToGrid w:val="0"/>
          <w:color w:val="000000"/>
        </w:rPr>
        <w:t>asn.au</w:t>
      </w:r>
      <w:proofErr w:type="spellEnd"/>
      <w:r w:rsidRPr="00E141F1">
        <w:rPr>
          <w:rFonts w:cs="Arial"/>
          <w:snapToGrid w:val="0"/>
          <w:color w:val="000000"/>
        </w:rPr>
        <w:t>’ and ‘.</w:t>
      </w:r>
      <w:proofErr w:type="spellStart"/>
      <w:r w:rsidRPr="00E141F1">
        <w:rPr>
          <w:rFonts w:cs="Arial"/>
          <w:snapToGrid w:val="0"/>
          <w:color w:val="000000"/>
        </w:rPr>
        <w:t>id.au</w:t>
      </w:r>
      <w:proofErr w:type="spellEnd"/>
      <w:r w:rsidRPr="00E141F1">
        <w:rPr>
          <w:rFonts w:cs="Arial"/>
          <w:snapToGrid w:val="0"/>
          <w:color w:val="000000"/>
        </w:rPr>
        <w:t>’.</w:t>
      </w:r>
    </w:p>
    <w:p w:rsidR="001E6FB8" w:rsidRPr="00E141F1" w:rsidRDefault="001E6FB8" w:rsidP="001E6FB8">
      <w:pPr>
        <w:rPr>
          <w:rFonts w:cs="Arial"/>
          <w:snapToGrid w:val="0"/>
          <w:color w:val="000000"/>
        </w:rPr>
      </w:pPr>
    </w:p>
    <w:p w:rsidR="001E6FB8" w:rsidRPr="00E141F1" w:rsidRDefault="001E6FB8" w:rsidP="001E6FB8">
      <w:pPr>
        <w:rPr>
          <w:rFonts w:cs="Arial"/>
        </w:rPr>
      </w:pPr>
      <w:r w:rsidRPr="00E141F1">
        <w:rPr>
          <w:rFonts w:cs="Arial"/>
          <w:snapToGrid w:val="0"/>
          <w:color w:val="000000"/>
        </w:rPr>
        <w:t>In the 12 months to June 2013, domain names registered under .au increased by nine per cent to 2.67 million (Figure 5.4). The ‘.</w:t>
      </w:r>
      <w:proofErr w:type="spellStart"/>
      <w:r w:rsidRPr="00E141F1">
        <w:rPr>
          <w:rFonts w:cs="Arial"/>
          <w:snapToGrid w:val="0"/>
          <w:color w:val="000000"/>
        </w:rPr>
        <w:t>com.au</w:t>
      </w:r>
      <w:proofErr w:type="spellEnd"/>
      <w:r w:rsidRPr="00E141F1">
        <w:rPr>
          <w:rFonts w:cs="Arial"/>
          <w:snapToGrid w:val="0"/>
          <w:color w:val="000000"/>
        </w:rPr>
        <w:t>’ domain accounts for 86 per cent of second-level domains.</w:t>
      </w:r>
    </w:p>
    <w:p w:rsidR="001E6FB8" w:rsidRPr="00E141F1" w:rsidRDefault="001E6FB8" w:rsidP="001E6FB8">
      <w:pPr>
        <w:rPr>
          <w:rFonts w:cs="Arial"/>
          <w:snapToGrid w:val="0"/>
          <w:color w:val="000000"/>
        </w:rPr>
      </w:pPr>
    </w:p>
    <w:tbl>
      <w:tblPr>
        <w:tblW w:w="8872" w:type="dxa"/>
        <w:tblLayout w:type="fixed"/>
        <w:tblCellMar>
          <w:left w:w="0" w:type="dxa"/>
          <w:right w:w="0" w:type="dxa"/>
        </w:tblCellMar>
        <w:tblLook w:val="01E0"/>
      </w:tblPr>
      <w:tblGrid>
        <w:gridCol w:w="8872"/>
      </w:tblGrid>
      <w:tr w:rsidR="001E6FB8" w:rsidRPr="00E141F1" w:rsidTr="001E6FB8">
        <w:trPr>
          <w:trHeight w:val="560"/>
        </w:trPr>
        <w:tc>
          <w:tcPr>
            <w:tcW w:w="8872" w:type="dxa"/>
            <w:tcBorders>
              <w:top w:val="single" w:sz="2" w:space="0" w:color="505050"/>
            </w:tcBorders>
            <w:shd w:val="clear" w:color="auto" w:fill="auto"/>
            <w:vAlign w:val="center"/>
          </w:tcPr>
          <w:p w:rsidR="001E6FB8" w:rsidRPr="00E141F1" w:rsidRDefault="001E6FB8" w:rsidP="001E6FB8">
            <w:pPr>
              <w:pStyle w:val="Caption"/>
              <w:keepNext/>
              <w:keepLines/>
              <w:rPr>
                <w:rFonts w:cs="Arial"/>
              </w:rPr>
            </w:pPr>
            <w:r w:rsidRPr="00E141F1">
              <w:rPr>
                <w:rFonts w:cs="Arial"/>
              </w:rPr>
              <w:t xml:space="preserve">Figure 5.4 Number of ‘.au’ domain names registered </w:t>
            </w:r>
          </w:p>
        </w:tc>
      </w:tr>
      <w:tr w:rsidR="001E6FB8" w:rsidRPr="00E141F1" w:rsidTr="001E6FB8">
        <w:trPr>
          <w:trHeight w:val="5383"/>
        </w:trPr>
        <w:tc>
          <w:tcPr>
            <w:tcW w:w="8872" w:type="dxa"/>
            <w:shd w:val="clear" w:color="auto" w:fill="auto"/>
            <w:tcMar>
              <w:left w:w="28" w:type="dxa"/>
            </w:tcMar>
          </w:tcPr>
          <w:p w:rsidR="001E6FB8" w:rsidRPr="00E141F1" w:rsidRDefault="001E6FB8" w:rsidP="001E6FB8">
            <w:pPr>
              <w:keepNext/>
              <w:keepLines/>
              <w:rPr>
                <w:rFonts w:cs="Arial"/>
                <w:szCs w:val="20"/>
              </w:rPr>
            </w:pPr>
            <w:r w:rsidRPr="00DE0E22">
              <w:rPr>
                <w:rFonts w:cs="Arial"/>
                <w:noProof/>
                <w:szCs w:val="20"/>
              </w:rPr>
              <w:drawing>
                <wp:inline distT="0" distB="0" distL="0" distR="0">
                  <wp:extent cx="5615608" cy="3339548"/>
                  <wp:effectExtent l="0" t="0" r="0" b="0"/>
                  <wp:docPr id="302"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1E6FB8" w:rsidRPr="00E141F1" w:rsidTr="001E6FB8">
        <w:trPr>
          <w:trHeight w:val="285"/>
        </w:trPr>
        <w:tc>
          <w:tcPr>
            <w:tcW w:w="8872" w:type="dxa"/>
            <w:tcBorders>
              <w:bottom w:val="single" w:sz="2" w:space="0" w:color="505050"/>
            </w:tcBorders>
            <w:shd w:val="clear" w:color="auto" w:fill="auto"/>
          </w:tcPr>
          <w:p w:rsidR="001E6FB8" w:rsidRPr="00E141F1" w:rsidRDefault="001E6FB8" w:rsidP="001E6FB8">
            <w:pPr>
              <w:keepNext/>
              <w:keepLines/>
              <w:spacing w:line="240" w:lineRule="auto"/>
              <w:rPr>
                <w:rFonts w:cs="Arial"/>
                <w:i/>
                <w:sz w:val="16"/>
                <w:szCs w:val="16"/>
              </w:rPr>
            </w:pPr>
            <w:r w:rsidRPr="00E141F1">
              <w:rPr>
                <w:rFonts w:cs="Arial"/>
                <w:i/>
                <w:sz w:val="16"/>
                <w:szCs w:val="16"/>
              </w:rPr>
              <w:t>Note: Excludes domain name registrations under ‘.</w:t>
            </w:r>
            <w:proofErr w:type="spellStart"/>
            <w:r w:rsidRPr="00E141F1">
              <w:rPr>
                <w:rFonts w:cs="Arial"/>
                <w:i/>
                <w:sz w:val="16"/>
                <w:szCs w:val="16"/>
              </w:rPr>
              <w:t>gov.au</w:t>
            </w:r>
            <w:proofErr w:type="spellEnd"/>
            <w:r w:rsidRPr="00E141F1">
              <w:rPr>
                <w:rFonts w:cs="Arial"/>
                <w:i/>
                <w:sz w:val="16"/>
                <w:szCs w:val="16"/>
              </w:rPr>
              <w:t>’.</w:t>
            </w:r>
          </w:p>
          <w:p w:rsidR="001E6FB8" w:rsidRPr="00E141F1" w:rsidRDefault="001E6FB8" w:rsidP="001E6FB8">
            <w:pPr>
              <w:keepNext/>
              <w:keepLines/>
              <w:spacing w:after="60" w:line="240" w:lineRule="auto"/>
              <w:rPr>
                <w:rFonts w:cs="Arial"/>
                <w:szCs w:val="20"/>
              </w:rPr>
            </w:pPr>
            <w:r w:rsidRPr="00E141F1">
              <w:rPr>
                <w:rFonts w:cs="Arial"/>
                <w:i/>
                <w:sz w:val="16"/>
                <w:szCs w:val="16"/>
              </w:rPr>
              <w:t xml:space="preserve">Source: </w:t>
            </w:r>
            <w:proofErr w:type="spellStart"/>
            <w:r w:rsidRPr="00E141F1">
              <w:rPr>
                <w:rFonts w:cs="Arial"/>
                <w:i/>
                <w:sz w:val="16"/>
                <w:szCs w:val="16"/>
              </w:rPr>
              <w:t>auDA</w:t>
            </w:r>
            <w:proofErr w:type="spellEnd"/>
            <w:r w:rsidRPr="00E141F1">
              <w:rPr>
                <w:rFonts w:cs="Arial"/>
                <w:i/>
                <w:sz w:val="16"/>
                <w:szCs w:val="16"/>
              </w:rPr>
              <w:t xml:space="preserve"> and Aus Registry 2013.</w:t>
            </w:r>
          </w:p>
        </w:tc>
      </w:tr>
    </w:tbl>
    <w:p w:rsidR="001E6FB8" w:rsidRPr="00E141F1" w:rsidRDefault="001E6FB8" w:rsidP="001E6FB8">
      <w:pPr>
        <w:rPr>
          <w:rFonts w:cs="Arial"/>
          <w:snapToGrid w:val="0"/>
        </w:rPr>
      </w:pPr>
    </w:p>
    <w:p w:rsidR="001E6FB8" w:rsidRPr="00E141F1" w:rsidRDefault="001E6FB8" w:rsidP="001E6FB8">
      <w:pPr>
        <w:rPr>
          <w:rFonts w:cs="Arial"/>
          <w:snapToGrid w:val="0"/>
        </w:rPr>
      </w:pPr>
      <w:bookmarkStart w:id="619" w:name="_Toc270968481"/>
      <w:bookmarkStart w:id="620" w:name="_Toc271555778"/>
      <w:bookmarkStart w:id="621" w:name="_Toc277159483"/>
      <w:r w:rsidRPr="00E141F1">
        <w:rPr>
          <w:rFonts w:cs="Arial"/>
          <w:snapToGrid w:val="0"/>
        </w:rPr>
        <w:t>Domain names under ‘.</w:t>
      </w:r>
      <w:proofErr w:type="spellStart"/>
      <w:r w:rsidRPr="00E141F1">
        <w:rPr>
          <w:rFonts w:cs="Arial"/>
          <w:snapToGrid w:val="0"/>
        </w:rPr>
        <w:t>gov.au</w:t>
      </w:r>
      <w:proofErr w:type="spellEnd"/>
      <w:r w:rsidRPr="00E141F1">
        <w:rPr>
          <w:rFonts w:cs="Arial"/>
          <w:snapToGrid w:val="0"/>
        </w:rPr>
        <w:t>’ are administered by the Australian Government Information Management Office. At June 2013, 4,666 ‘.</w:t>
      </w:r>
      <w:proofErr w:type="spellStart"/>
      <w:r w:rsidRPr="00E141F1">
        <w:rPr>
          <w:rFonts w:cs="Arial"/>
          <w:snapToGrid w:val="0"/>
        </w:rPr>
        <w:t>gov.au</w:t>
      </w:r>
      <w:proofErr w:type="spellEnd"/>
      <w:r w:rsidRPr="00E141F1">
        <w:rPr>
          <w:rFonts w:cs="Arial"/>
          <w:snapToGrid w:val="0"/>
        </w:rPr>
        <w:t>’ domain names were registered, down from 4,756 at June 2012.</w:t>
      </w:r>
      <w:r w:rsidRPr="00E141F1">
        <w:rPr>
          <w:rStyle w:val="EndnoteReference"/>
          <w:rFonts w:cs="Arial"/>
          <w:snapToGrid w:val="0"/>
          <w:color w:val="000000"/>
        </w:rPr>
        <w:endnoteReference w:id="58"/>
      </w:r>
      <w:r w:rsidRPr="00E141F1">
        <w:rPr>
          <w:rFonts w:cs="Arial"/>
          <w:snapToGrid w:val="0"/>
        </w:rPr>
        <w:t xml:space="preserve"> </w:t>
      </w:r>
    </w:p>
    <w:p w:rsidR="001E6FB8" w:rsidRPr="00E141F1" w:rsidRDefault="001E6FB8" w:rsidP="001E6FB8">
      <w:pPr>
        <w:rPr>
          <w:rFonts w:cs="Arial"/>
          <w:snapToGrid w:val="0"/>
        </w:rPr>
      </w:pPr>
    </w:p>
    <w:p w:rsidR="001E6FB8" w:rsidRPr="00E141F1" w:rsidRDefault="001E6FB8" w:rsidP="001E6FB8">
      <w:pPr>
        <w:rPr>
          <w:rFonts w:cs="Arial"/>
          <w:snapToGrid w:val="0"/>
        </w:rPr>
      </w:pPr>
      <w:r w:rsidRPr="00E141F1">
        <w:rPr>
          <w:rFonts w:cs="Arial"/>
          <w:snapToGrid w:val="0"/>
        </w:rPr>
        <w:t>Domain names support a diverse range of web-based services that Australian consumers are using increasingly. Figure 5.5 presents examples of these services and related number of users.</w:t>
      </w:r>
    </w:p>
    <w:p w:rsidR="001E6FB8" w:rsidRPr="00E141F1" w:rsidRDefault="001E6FB8" w:rsidP="001E6FB8">
      <w:pPr>
        <w:rPr>
          <w:rFonts w:cs="Arial"/>
          <w:snapToGrid w:val="0"/>
        </w:rPr>
      </w:pPr>
    </w:p>
    <w:tbl>
      <w:tblPr>
        <w:tblW w:w="9120" w:type="dxa"/>
        <w:tblLayout w:type="fixed"/>
        <w:tblCellMar>
          <w:left w:w="0" w:type="dxa"/>
          <w:right w:w="0" w:type="dxa"/>
        </w:tblCellMar>
        <w:tblLook w:val="01E0"/>
      </w:tblPr>
      <w:tblGrid>
        <w:gridCol w:w="9120"/>
      </w:tblGrid>
      <w:tr w:rsidR="001E6FB8" w:rsidRPr="00E141F1" w:rsidTr="001E6FB8">
        <w:trPr>
          <w:trHeight w:val="561"/>
        </w:trPr>
        <w:tc>
          <w:tcPr>
            <w:tcW w:w="9120" w:type="dxa"/>
            <w:tcBorders>
              <w:top w:val="single" w:sz="2" w:space="0" w:color="505050"/>
            </w:tcBorders>
            <w:shd w:val="clear" w:color="auto" w:fill="auto"/>
            <w:vAlign w:val="center"/>
          </w:tcPr>
          <w:p w:rsidR="001E6FB8" w:rsidRPr="00E141F1" w:rsidRDefault="001E6FB8" w:rsidP="001E6FB8">
            <w:pPr>
              <w:pStyle w:val="Caption"/>
              <w:pageBreakBefore/>
              <w:rPr>
                <w:rFonts w:cs="Arial"/>
              </w:rPr>
            </w:pPr>
            <w:r w:rsidRPr="00E141F1">
              <w:rPr>
                <w:rFonts w:cs="Arial"/>
              </w:rPr>
              <w:t xml:space="preserve">Figure 5.5 Consumer use of select online business channels during 2012–13 </w:t>
            </w:r>
          </w:p>
        </w:tc>
      </w:tr>
      <w:tr w:rsidR="001E6FB8" w:rsidRPr="00E141F1" w:rsidTr="001E6FB8">
        <w:trPr>
          <w:trHeight w:val="6278"/>
        </w:trPr>
        <w:tc>
          <w:tcPr>
            <w:tcW w:w="9120" w:type="dxa"/>
            <w:shd w:val="clear" w:color="auto" w:fill="auto"/>
            <w:tcMar>
              <w:left w:w="28" w:type="dxa"/>
            </w:tcMar>
          </w:tcPr>
          <w:p w:rsidR="001E6FB8" w:rsidRPr="00E141F1" w:rsidRDefault="001E6FB8" w:rsidP="001E6FB8">
            <w:pPr>
              <w:keepNext/>
              <w:keepLines/>
              <w:rPr>
                <w:rFonts w:cs="Arial"/>
              </w:rPr>
            </w:pPr>
            <w:r w:rsidRPr="001D1CF5">
              <w:rPr>
                <w:rFonts w:cs="Arial"/>
                <w:noProof/>
              </w:rPr>
              <w:drawing>
                <wp:inline distT="0" distB="0" distL="0" distR="0">
                  <wp:extent cx="5825447" cy="3996647"/>
                  <wp:effectExtent l="0" t="0" r="0"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1E6FB8" w:rsidRPr="00E141F1" w:rsidTr="001E6FB8">
        <w:trPr>
          <w:trHeight w:val="285"/>
        </w:trPr>
        <w:tc>
          <w:tcPr>
            <w:tcW w:w="9120" w:type="dxa"/>
            <w:tcBorders>
              <w:bottom w:val="single" w:sz="2" w:space="0" w:color="505050"/>
            </w:tcBorders>
            <w:shd w:val="clear" w:color="auto" w:fill="auto"/>
          </w:tcPr>
          <w:p w:rsidR="001E6FB8" w:rsidRPr="00E141F1" w:rsidRDefault="001E6FB8" w:rsidP="001E6FB8">
            <w:pPr>
              <w:keepNext/>
              <w:keepLines/>
              <w:spacing w:after="60"/>
              <w:rPr>
                <w:rFonts w:cs="Arial"/>
              </w:rPr>
            </w:pPr>
            <w:r w:rsidRPr="00E141F1">
              <w:rPr>
                <w:rFonts w:cs="Arial"/>
                <w:i/>
                <w:sz w:val="16"/>
                <w:szCs w:val="16"/>
              </w:rPr>
              <w:t>Source: Roy Morgan Single Source.</w:t>
            </w:r>
          </w:p>
        </w:tc>
      </w:tr>
    </w:tbl>
    <w:p w:rsidR="001E6FB8" w:rsidRPr="00E141F1" w:rsidRDefault="001E6FB8" w:rsidP="001E6FB8">
      <w:pPr>
        <w:rPr>
          <w:rFonts w:cs="Arial"/>
          <w:snapToGrid w:val="0"/>
        </w:rPr>
      </w:pPr>
    </w:p>
    <w:p w:rsidR="001E6FB8" w:rsidRPr="00E141F1" w:rsidRDefault="001E6FB8" w:rsidP="001E6FB8">
      <w:pPr>
        <w:pStyle w:val="Heading2"/>
      </w:pPr>
      <w:bookmarkStart w:id="622" w:name="_Toc340139723"/>
      <w:bookmarkStart w:id="623" w:name="_Toc371589128"/>
      <w:bookmarkStart w:id="624" w:name="_Toc373149190"/>
      <w:r w:rsidRPr="00E141F1">
        <w:t>Capability</w:t>
      </w:r>
      <w:bookmarkEnd w:id="619"/>
      <w:bookmarkEnd w:id="620"/>
      <w:bookmarkEnd w:id="621"/>
      <w:bookmarkEnd w:id="622"/>
      <w:bookmarkEnd w:id="623"/>
      <w:bookmarkEnd w:id="624"/>
    </w:p>
    <w:p w:rsidR="001E6FB8" w:rsidRPr="00E141F1" w:rsidRDefault="001E6FB8" w:rsidP="001E6FB8">
      <w:pPr>
        <w:rPr>
          <w:rFonts w:cs="Arial"/>
        </w:rPr>
      </w:pPr>
      <w:r w:rsidRPr="00E141F1">
        <w:rPr>
          <w:rFonts w:cs="Arial"/>
        </w:rPr>
        <w:t>The internet offers Australians a range of services, content and communications channels that are intrinsic to undertaking day-to-day social and economic activities. In this context, Australians are continuing to develop their capabilities within the digital economy to become effective participants and digital citizens. Frequency of internet use is increasing as is the scope and variety of activities undertaken online, indicating the continuing development of digital economy capabilities.</w:t>
      </w:r>
    </w:p>
    <w:p w:rsidR="001E6FB8" w:rsidRPr="00E141F1" w:rsidRDefault="001E6FB8" w:rsidP="001E6FB8">
      <w:pPr>
        <w:rPr>
          <w:rFonts w:cs="Arial"/>
          <w:highlight w:val="yellow"/>
        </w:rPr>
      </w:pPr>
    </w:p>
    <w:p w:rsidR="001E6FB8" w:rsidRPr="00E141F1" w:rsidRDefault="001E6FB8" w:rsidP="001E6FB8">
      <w:pPr>
        <w:pStyle w:val="Heading3"/>
      </w:pPr>
      <w:bookmarkStart w:id="625" w:name="_Toc271555779"/>
      <w:bookmarkStart w:id="626" w:name="_Toc277159484"/>
      <w:bookmarkStart w:id="627" w:name="_Toc340139724"/>
      <w:bookmarkStart w:id="628" w:name="_Toc371589129"/>
      <w:bookmarkStart w:id="629" w:name="_Toc373149191"/>
      <w:r w:rsidRPr="00E141F1">
        <w:t>Growth in frequency of internet use</w:t>
      </w:r>
      <w:bookmarkEnd w:id="625"/>
      <w:bookmarkEnd w:id="626"/>
      <w:bookmarkEnd w:id="627"/>
      <w:bookmarkEnd w:id="628"/>
      <w:bookmarkEnd w:id="629"/>
    </w:p>
    <w:p w:rsidR="001E6FB8" w:rsidRPr="00E141F1" w:rsidRDefault="001E6FB8" w:rsidP="001E6FB8">
      <w:pPr>
        <w:spacing w:after="80"/>
        <w:rPr>
          <w:rFonts w:cs="Arial"/>
          <w:snapToGrid w:val="0"/>
        </w:rPr>
      </w:pPr>
      <w:r w:rsidRPr="00E141F1">
        <w:rPr>
          <w:rFonts w:cs="Arial"/>
          <w:snapToGrid w:val="0"/>
        </w:rPr>
        <w:t xml:space="preserve">The trend towards more frequent use of the internet continued during 2012–13 </w:t>
      </w:r>
      <w:r>
        <w:rPr>
          <w:rFonts w:cs="Arial"/>
          <w:snapToGrid w:val="0"/>
        </w:rPr>
        <w:br/>
      </w:r>
      <w:r w:rsidRPr="00E141F1">
        <w:rPr>
          <w:rFonts w:cs="Arial"/>
          <w:snapToGrid w:val="0"/>
        </w:rPr>
        <w:t>(Figure 5.6). During June 2013, 65 per cen</w:t>
      </w:r>
      <w:r w:rsidR="00934279">
        <w:rPr>
          <w:rFonts w:cs="Arial"/>
          <w:snapToGrid w:val="0"/>
        </w:rPr>
        <w:t>t of adult internet users (10.81</w:t>
      </w:r>
      <w:r w:rsidRPr="00E141F1">
        <w:rPr>
          <w:rFonts w:cs="Arial"/>
          <w:snapToGrid w:val="0"/>
        </w:rPr>
        <w:t xml:space="preserve"> million people) went online more than once a day (referred to here as frequent internet users), compared to: </w:t>
      </w:r>
    </w:p>
    <w:p w:rsidR="001E6FB8" w:rsidRPr="00E141F1" w:rsidRDefault="00934279" w:rsidP="001E6FB8">
      <w:pPr>
        <w:pStyle w:val="ListBullet"/>
        <w:rPr>
          <w:rFonts w:cs="Arial"/>
          <w:snapToGrid w:val="0"/>
        </w:rPr>
      </w:pPr>
      <w:r>
        <w:rPr>
          <w:rFonts w:cs="Arial"/>
          <w:snapToGrid w:val="0"/>
        </w:rPr>
        <w:t>62 per cent (10.09</w:t>
      </w:r>
      <w:r w:rsidR="001E6FB8" w:rsidRPr="00E141F1">
        <w:rPr>
          <w:rFonts w:cs="Arial"/>
          <w:snapToGrid w:val="0"/>
        </w:rPr>
        <w:t xml:space="preserve"> million) during June 2012—a seven per cent increase.</w:t>
      </w:r>
    </w:p>
    <w:p w:rsidR="001E6FB8" w:rsidRPr="00E141F1" w:rsidRDefault="001E6FB8" w:rsidP="001E6FB8">
      <w:pPr>
        <w:pStyle w:val="ListBullet"/>
        <w:spacing w:after="240"/>
        <w:rPr>
          <w:rFonts w:cs="Arial"/>
          <w:snapToGrid w:val="0"/>
        </w:rPr>
      </w:pPr>
      <w:r w:rsidRPr="00E141F1">
        <w:rPr>
          <w:rFonts w:cs="Arial"/>
          <w:snapToGrid w:val="0"/>
        </w:rPr>
        <w:t xml:space="preserve">49 per cent (6.70 million) during June 2008—a 72 per cent increase. </w:t>
      </w:r>
      <w:bookmarkStart w:id="630" w:name="_Toc271555780"/>
    </w:p>
    <w:tbl>
      <w:tblPr>
        <w:tblW w:w="8785" w:type="dxa"/>
        <w:tblLayout w:type="fixed"/>
        <w:tblCellMar>
          <w:left w:w="0" w:type="dxa"/>
          <w:right w:w="0" w:type="dxa"/>
        </w:tblCellMar>
        <w:tblLook w:val="01E0"/>
      </w:tblPr>
      <w:tblGrid>
        <w:gridCol w:w="8785"/>
      </w:tblGrid>
      <w:tr w:rsidR="001E6FB8" w:rsidRPr="00E141F1" w:rsidTr="001E6FB8">
        <w:trPr>
          <w:trHeight w:val="706"/>
        </w:trPr>
        <w:tc>
          <w:tcPr>
            <w:tcW w:w="8785"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 xml:space="preserve">Figure 5.6 People accessing the internet more than once a day </w:t>
            </w:r>
          </w:p>
        </w:tc>
      </w:tr>
      <w:tr w:rsidR="001E6FB8" w:rsidRPr="00E141F1" w:rsidTr="001E6FB8">
        <w:trPr>
          <w:trHeight w:val="5027"/>
        </w:trPr>
        <w:tc>
          <w:tcPr>
            <w:tcW w:w="8785" w:type="dxa"/>
            <w:shd w:val="clear" w:color="auto" w:fill="auto"/>
            <w:tcMar>
              <w:left w:w="28" w:type="dxa"/>
            </w:tcMar>
          </w:tcPr>
          <w:p w:rsidR="001E6FB8" w:rsidRPr="00E141F1" w:rsidRDefault="001E6FB8" w:rsidP="001E6FB8">
            <w:pPr>
              <w:keepNext/>
              <w:keepLines/>
              <w:rPr>
                <w:rFonts w:cs="Arial"/>
                <w:szCs w:val="20"/>
              </w:rPr>
            </w:pPr>
            <w:r>
              <w:rPr>
                <w:rFonts w:cs="Arial"/>
                <w:noProof/>
                <w:szCs w:val="20"/>
              </w:rPr>
              <w:drawing>
                <wp:inline distT="0" distB="0" distL="0" distR="0">
                  <wp:extent cx="5495925" cy="3152775"/>
                  <wp:effectExtent l="0" t="0" r="0" b="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1E6FB8" w:rsidRPr="00E141F1" w:rsidTr="001E6FB8">
        <w:trPr>
          <w:trHeight w:val="363"/>
        </w:trPr>
        <w:tc>
          <w:tcPr>
            <w:tcW w:w="8785" w:type="dxa"/>
            <w:tcBorders>
              <w:bottom w:val="single" w:sz="2" w:space="0" w:color="505050"/>
            </w:tcBorders>
            <w:shd w:val="clear" w:color="auto" w:fill="auto"/>
          </w:tcPr>
          <w:p w:rsidR="001E6FB8" w:rsidRPr="00E141F1" w:rsidRDefault="001E6FB8" w:rsidP="001E6FB8">
            <w:pPr>
              <w:keepNext/>
              <w:keepLines/>
              <w:spacing w:line="240" w:lineRule="auto"/>
              <w:rPr>
                <w:rFonts w:cs="Arial"/>
                <w:i/>
                <w:sz w:val="16"/>
                <w:szCs w:val="16"/>
              </w:rPr>
            </w:pPr>
            <w:r w:rsidRPr="00E141F1">
              <w:rPr>
                <w:rFonts w:cs="Arial"/>
                <w:i/>
                <w:sz w:val="16"/>
                <w:szCs w:val="16"/>
              </w:rPr>
              <w:t>Base: People who have ever accessed the internet.</w:t>
            </w:r>
          </w:p>
          <w:p w:rsidR="001E6FB8" w:rsidRPr="00E141F1" w:rsidRDefault="001E6FB8" w:rsidP="001E6FB8">
            <w:pPr>
              <w:keepNext/>
              <w:keepLines/>
              <w:spacing w:after="60" w:line="240" w:lineRule="auto"/>
              <w:rPr>
                <w:rFonts w:cs="Arial"/>
                <w:szCs w:val="20"/>
              </w:rPr>
            </w:pPr>
            <w:r w:rsidRPr="00E141F1">
              <w:rPr>
                <w:rFonts w:cs="Arial"/>
                <w:i/>
                <w:sz w:val="16"/>
                <w:szCs w:val="16"/>
              </w:rPr>
              <w:t>Source: Roy Morgan Single Source.</w:t>
            </w:r>
          </w:p>
        </w:tc>
      </w:tr>
    </w:tbl>
    <w:p w:rsidR="001E6FB8" w:rsidRPr="00E141F1" w:rsidRDefault="001E6FB8" w:rsidP="001E6FB8">
      <w:pPr>
        <w:rPr>
          <w:rFonts w:cs="Arial"/>
          <w:snapToGrid w:val="0"/>
        </w:rPr>
      </w:pPr>
    </w:p>
    <w:p w:rsidR="001E6FB8" w:rsidRPr="00E141F1" w:rsidRDefault="001E6FB8" w:rsidP="001E6FB8">
      <w:pPr>
        <w:pStyle w:val="Heading3"/>
      </w:pPr>
      <w:bookmarkStart w:id="631" w:name="_Toc340139725"/>
      <w:bookmarkStart w:id="632" w:name="_Toc371589130"/>
      <w:bookmarkStart w:id="633" w:name="_Toc373149192"/>
      <w:bookmarkStart w:id="634" w:name="_Toc277159485"/>
      <w:r w:rsidRPr="00E141F1">
        <w:t>Frequency of internet use by age</w:t>
      </w:r>
      <w:bookmarkEnd w:id="631"/>
      <w:bookmarkEnd w:id="632"/>
      <w:bookmarkEnd w:id="633"/>
    </w:p>
    <w:p w:rsidR="001E6FB8" w:rsidRPr="00E141F1" w:rsidRDefault="001E6FB8" w:rsidP="001E6FB8">
      <w:pPr>
        <w:spacing w:after="80"/>
        <w:rPr>
          <w:rFonts w:cs="Arial"/>
          <w:snapToGrid w:val="0"/>
        </w:rPr>
      </w:pPr>
      <w:r w:rsidRPr="00E141F1">
        <w:rPr>
          <w:rFonts w:cs="Arial"/>
          <w:snapToGrid w:val="0"/>
        </w:rPr>
        <w:t>The trend towards more frequent online participation is reflected across all age groups in Australia with increases in the number of frequent internet users by age during 2012–13 being:</w:t>
      </w:r>
    </w:p>
    <w:p w:rsidR="001E6FB8" w:rsidRPr="0023753D" w:rsidRDefault="001E6FB8" w:rsidP="001E6FB8">
      <w:pPr>
        <w:pStyle w:val="ListBullet"/>
        <w:rPr>
          <w:rFonts w:cs="Arial"/>
        </w:rPr>
      </w:pPr>
      <w:r>
        <w:rPr>
          <w:rFonts w:cs="Arial"/>
        </w:rPr>
        <w:t>three</w:t>
      </w:r>
      <w:r w:rsidRPr="0023753D">
        <w:rPr>
          <w:rFonts w:cs="Arial"/>
        </w:rPr>
        <w:t xml:space="preserve"> percentage points for people aged 18–24, up by 144,000 people</w:t>
      </w:r>
    </w:p>
    <w:p w:rsidR="001E6FB8" w:rsidRPr="0023753D" w:rsidRDefault="001E6FB8" w:rsidP="001E6FB8">
      <w:pPr>
        <w:pStyle w:val="ListBullet"/>
        <w:rPr>
          <w:rFonts w:cs="Arial"/>
        </w:rPr>
      </w:pPr>
      <w:r>
        <w:rPr>
          <w:rFonts w:cs="Arial"/>
        </w:rPr>
        <w:t>four</w:t>
      </w:r>
      <w:r w:rsidRPr="0023753D">
        <w:rPr>
          <w:rFonts w:cs="Arial"/>
        </w:rPr>
        <w:t xml:space="preserve"> percentage points for people aged 25–34, up by 222,000 people</w:t>
      </w:r>
    </w:p>
    <w:p w:rsidR="001E6FB8" w:rsidRPr="0023753D" w:rsidRDefault="001E6FB8" w:rsidP="001E6FB8">
      <w:pPr>
        <w:pStyle w:val="ListBullet"/>
        <w:rPr>
          <w:rFonts w:cs="Arial"/>
        </w:rPr>
      </w:pPr>
      <w:r>
        <w:rPr>
          <w:rFonts w:cs="Arial"/>
        </w:rPr>
        <w:t>three</w:t>
      </w:r>
      <w:r w:rsidRPr="0023753D">
        <w:rPr>
          <w:rFonts w:cs="Arial"/>
        </w:rPr>
        <w:t xml:space="preserve"> percentage points for people aged 35 to 44, up by 6,000 people</w:t>
      </w:r>
    </w:p>
    <w:p w:rsidR="001E6FB8" w:rsidRPr="0023753D" w:rsidRDefault="001E6FB8" w:rsidP="001E6FB8">
      <w:pPr>
        <w:pStyle w:val="ListBullet"/>
        <w:rPr>
          <w:rFonts w:cs="Arial"/>
        </w:rPr>
      </w:pPr>
      <w:r>
        <w:rPr>
          <w:rFonts w:cs="Arial"/>
        </w:rPr>
        <w:t>one</w:t>
      </w:r>
      <w:r w:rsidRPr="0023753D">
        <w:rPr>
          <w:rFonts w:cs="Arial"/>
        </w:rPr>
        <w:t xml:space="preserve"> percentage points for people aged 45 to 54, up by 54,000 people </w:t>
      </w:r>
    </w:p>
    <w:p w:rsidR="001E6FB8" w:rsidRPr="0023753D" w:rsidRDefault="001E6FB8" w:rsidP="001E6FB8">
      <w:pPr>
        <w:pStyle w:val="ListBullet"/>
        <w:rPr>
          <w:rFonts w:cs="Arial"/>
        </w:rPr>
      </w:pPr>
      <w:r>
        <w:rPr>
          <w:rFonts w:cs="Arial"/>
        </w:rPr>
        <w:t>five</w:t>
      </w:r>
      <w:r w:rsidRPr="0023753D">
        <w:rPr>
          <w:rFonts w:cs="Arial"/>
        </w:rPr>
        <w:t xml:space="preserve"> percentage points for people aged 55–64, up by 148,000 people</w:t>
      </w:r>
    </w:p>
    <w:p w:rsidR="001E6FB8" w:rsidRPr="00E141F1" w:rsidRDefault="001E6FB8" w:rsidP="001E6FB8">
      <w:pPr>
        <w:pStyle w:val="ListBullet"/>
        <w:spacing w:after="240"/>
        <w:rPr>
          <w:rFonts w:cs="Arial"/>
        </w:rPr>
      </w:pPr>
      <w:r>
        <w:rPr>
          <w:rFonts w:cs="Arial"/>
        </w:rPr>
        <w:t>two</w:t>
      </w:r>
      <w:r w:rsidRPr="0023753D">
        <w:rPr>
          <w:rFonts w:cs="Arial"/>
        </w:rPr>
        <w:t xml:space="preserve"> percentage points for</w:t>
      </w:r>
      <w:r w:rsidRPr="00E141F1">
        <w:rPr>
          <w:rFonts w:cs="Arial"/>
        </w:rPr>
        <w:t xml:space="preserve"> people aged 65 and over, up by 145,000 people.</w:t>
      </w:r>
      <w:r w:rsidRPr="00E141F1">
        <w:rPr>
          <w:rStyle w:val="EndnoteReference"/>
          <w:rFonts w:cs="Arial"/>
        </w:rPr>
        <w:endnoteReference w:id="59"/>
      </w:r>
    </w:p>
    <w:p w:rsidR="001E6FB8" w:rsidRPr="00E141F1" w:rsidRDefault="001E6FB8" w:rsidP="001E6FB8">
      <w:pPr>
        <w:spacing w:after="80"/>
        <w:rPr>
          <w:rFonts w:cs="Arial"/>
          <w:snapToGrid w:val="0"/>
        </w:rPr>
      </w:pPr>
      <w:r w:rsidRPr="00E141F1">
        <w:rPr>
          <w:rFonts w:cs="Arial"/>
          <w:snapToGrid w:val="0"/>
        </w:rPr>
        <w:t>The shift to more frequent internet use has been even more pronounced over the June 2008 to June 2013 period (Figure 5.7) with increases in frequent internet use by age being:</w:t>
      </w:r>
    </w:p>
    <w:p w:rsidR="001E6FB8" w:rsidRPr="00E141F1" w:rsidRDefault="001E6FB8" w:rsidP="001E6FB8">
      <w:pPr>
        <w:pStyle w:val="ListBullet"/>
        <w:rPr>
          <w:rFonts w:cs="Arial"/>
        </w:rPr>
      </w:pPr>
      <w:r w:rsidRPr="00E141F1">
        <w:rPr>
          <w:rFonts w:cs="Arial"/>
        </w:rPr>
        <w:t>27 percentage points for people aged 18–24, up by 751,000 people</w:t>
      </w:r>
    </w:p>
    <w:p w:rsidR="001E6FB8" w:rsidRPr="00E141F1" w:rsidRDefault="001E6FB8" w:rsidP="001E6FB8">
      <w:pPr>
        <w:pStyle w:val="ListBullet"/>
        <w:rPr>
          <w:rFonts w:cs="Arial"/>
        </w:rPr>
      </w:pPr>
      <w:r w:rsidRPr="00E141F1">
        <w:rPr>
          <w:rFonts w:cs="Arial"/>
        </w:rPr>
        <w:t>21 percentage points for people aged 25–34, up by 941,000 people</w:t>
      </w:r>
    </w:p>
    <w:p w:rsidR="001E6FB8" w:rsidRPr="00E141F1" w:rsidRDefault="001E6FB8" w:rsidP="001E6FB8">
      <w:pPr>
        <w:pStyle w:val="ListBullet"/>
        <w:rPr>
          <w:rFonts w:cs="Arial"/>
        </w:rPr>
      </w:pPr>
      <w:r w:rsidRPr="00E141F1">
        <w:rPr>
          <w:rFonts w:cs="Arial"/>
        </w:rPr>
        <w:t>19 percentage points for people aged 35 to 44, up by 681,000 people</w:t>
      </w:r>
    </w:p>
    <w:p w:rsidR="001E6FB8" w:rsidRPr="00E141F1" w:rsidRDefault="001E6FB8" w:rsidP="001E6FB8">
      <w:pPr>
        <w:pStyle w:val="ListBullet"/>
        <w:rPr>
          <w:rFonts w:cs="Arial"/>
        </w:rPr>
      </w:pPr>
      <w:r w:rsidRPr="00E141F1">
        <w:rPr>
          <w:rFonts w:cs="Arial"/>
        </w:rPr>
        <w:t>12 percentage points for people aged 45 to 54, up by 521,000 people</w:t>
      </w:r>
    </w:p>
    <w:p w:rsidR="001E6FB8" w:rsidRPr="00E141F1" w:rsidRDefault="001E6FB8" w:rsidP="001E6FB8">
      <w:pPr>
        <w:pStyle w:val="ListBullet"/>
        <w:rPr>
          <w:rFonts w:cs="Arial"/>
        </w:rPr>
      </w:pPr>
      <w:r w:rsidRPr="00E141F1">
        <w:rPr>
          <w:rFonts w:cs="Arial"/>
        </w:rPr>
        <w:t>15 percentage points for people aged 55–64, up by 629,000 people</w:t>
      </w:r>
    </w:p>
    <w:p w:rsidR="001E6FB8" w:rsidRDefault="001E6FB8" w:rsidP="001E6FB8">
      <w:pPr>
        <w:pStyle w:val="ListBullet"/>
        <w:spacing w:after="240"/>
        <w:rPr>
          <w:rFonts w:cs="Arial"/>
        </w:rPr>
      </w:pPr>
      <w:r w:rsidRPr="00E141F1">
        <w:rPr>
          <w:rFonts w:cs="Arial"/>
        </w:rPr>
        <w:t>10 percentage points for people aged 65 and over, up by 580,000 people.</w:t>
      </w:r>
      <w:r w:rsidRPr="00E141F1">
        <w:rPr>
          <w:rStyle w:val="EndnoteReference"/>
          <w:rFonts w:cs="Arial"/>
        </w:rPr>
        <w:endnoteReference w:id="60"/>
      </w:r>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A74B5E" w:rsidRDefault="001E6FB8" w:rsidP="001E6FB8">
            <w:pPr>
              <w:pStyle w:val="Caption"/>
              <w:keepNext/>
            </w:pPr>
            <w:r>
              <w:t xml:space="preserve">Figure </w:t>
            </w:r>
            <w:r w:rsidRPr="00E141F1">
              <w:rPr>
                <w:rFonts w:cs="Arial"/>
              </w:rPr>
              <w:t xml:space="preserve">5.7 </w:t>
            </w:r>
            <w:r w:rsidRPr="000B4953">
              <w:t>Frequency</w:t>
            </w:r>
            <w:r w:rsidRPr="00E141F1">
              <w:rPr>
                <w:rFonts w:cs="Arial"/>
              </w:rPr>
              <w:t xml:space="preserve"> of internet use, by age</w:t>
            </w:r>
          </w:p>
        </w:tc>
      </w:tr>
      <w:tr w:rsidR="001E6FB8" w:rsidTr="001E6FB8">
        <w:trPr>
          <w:trHeight w:val="3086"/>
        </w:trPr>
        <w:tc>
          <w:tcPr>
            <w:tcW w:w="9645" w:type="dxa"/>
            <w:shd w:val="clear" w:color="auto" w:fill="auto"/>
            <w:tcMar>
              <w:left w:w="28" w:type="dxa"/>
            </w:tcMar>
          </w:tcPr>
          <w:p w:rsidR="001E6FB8" w:rsidRDefault="001E6FB8" w:rsidP="001E6FB8">
            <w:r>
              <w:rPr>
                <w:noProof/>
              </w:rPr>
              <w:drawing>
                <wp:inline distT="0" distB="0" distL="0" distR="0">
                  <wp:extent cx="5792092" cy="5648325"/>
                  <wp:effectExtent l="0" t="0" r="0" b="0"/>
                  <wp:docPr id="247" name="Picture 31" descr="C:\Users\bduhigg\AppData\Local\Microsoft\Windows\Temporary Internet Files\Content.Word\Figure 5.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duhigg\AppData\Local\Microsoft\Windows\Temporary Internet Files\Content.Word\Figure 5.7.emf"/>
                          <pic:cNvPicPr>
                            <a:picLocks noChangeAspect="1" noChangeArrowheads="1"/>
                          </pic:cNvPicPr>
                        </pic:nvPicPr>
                        <pic:blipFill>
                          <a:blip r:embed="rId90" cstate="print"/>
                          <a:srcRect t="5714" r="10478" b="2857"/>
                          <a:stretch>
                            <a:fillRect/>
                          </a:stretch>
                        </pic:blipFill>
                        <pic:spPr bwMode="auto">
                          <a:xfrm>
                            <a:off x="0" y="0"/>
                            <a:ext cx="5792092" cy="5648325"/>
                          </a:xfrm>
                          <a:prstGeom prst="rect">
                            <a:avLst/>
                          </a:prstGeom>
                          <a:noFill/>
                          <a:ln w="9525">
                            <a:noFill/>
                            <a:miter lim="800000"/>
                            <a:headEnd/>
                            <a:tailEnd/>
                          </a:ln>
                        </pic:spPr>
                      </pic:pic>
                    </a:graphicData>
                  </a:graphic>
                </wp:inline>
              </w:drawing>
            </w:r>
          </w:p>
        </w:tc>
      </w:tr>
      <w:tr w:rsidR="001E6FB8"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Base: People who have ever accessed the internet.</w:t>
            </w:r>
          </w:p>
          <w:p w:rsidR="001E6FB8" w:rsidRPr="00E141F1" w:rsidRDefault="001E6FB8" w:rsidP="001E6FB8">
            <w:pPr>
              <w:keepNext/>
              <w:keepLines/>
              <w:spacing w:line="240" w:lineRule="auto"/>
              <w:rPr>
                <w:rFonts w:cs="Arial"/>
                <w:i/>
                <w:sz w:val="16"/>
                <w:szCs w:val="16"/>
              </w:rPr>
            </w:pPr>
            <w:r w:rsidRPr="00E141F1">
              <w:rPr>
                <w:rFonts w:cs="Arial"/>
                <w:i/>
                <w:sz w:val="16"/>
                <w:szCs w:val="16"/>
              </w:rPr>
              <w:t>Note: Respondents accessing the internet less than once a month are not identified separately in the time series due to methodological changes.</w:t>
            </w:r>
          </w:p>
          <w:p w:rsidR="001E6FB8" w:rsidRDefault="001E6FB8" w:rsidP="001E6FB8">
            <w:pPr>
              <w:spacing w:after="60" w:line="240" w:lineRule="auto"/>
            </w:pPr>
            <w:r w:rsidRPr="00E141F1">
              <w:rPr>
                <w:rFonts w:cs="Arial"/>
                <w:i/>
                <w:sz w:val="16"/>
                <w:szCs w:val="16"/>
              </w:rPr>
              <w:t>Source: Roy Morgan Single Source, June 2013.</w:t>
            </w:r>
          </w:p>
        </w:tc>
      </w:tr>
    </w:tbl>
    <w:p w:rsidR="001E6FB8" w:rsidRPr="00E141F1" w:rsidRDefault="001E6FB8" w:rsidP="001E6FB8">
      <w:pPr>
        <w:rPr>
          <w:rFonts w:cs="Arial"/>
          <w:snapToGrid w:val="0"/>
        </w:rPr>
      </w:pPr>
      <w:bookmarkStart w:id="635" w:name="_Toc271555781"/>
      <w:bookmarkStart w:id="636" w:name="_Toc277159486"/>
      <w:bookmarkStart w:id="637" w:name="_Toc340139727"/>
      <w:bookmarkEnd w:id="630"/>
      <w:bookmarkEnd w:id="634"/>
    </w:p>
    <w:p w:rsidR="001E6FB8" w:rsidRPr="00E141F1" w:rsidRDefault="001E6FB8" w:rsidP="001E6FB8">
      <w:pPr>
        <w:pStyle w:val="Heading3"/>
      </w:pPr>
      <w:bookmarkStart w:id="638" w:name="_Toc371589131"/>
      <w:bookmarkStart w:id="639" w:name="_Toc373149193"/>
      <w:r w:rsidRPr="00E141F1">
        <w:t>Activities undertaken online</w:t>
      </w:r>
      <w:bookmarkEnd w:id="635"/>
      <w:bookmarkEnd w:id="636"/>
      <w:bookmarkEnd w:id="637"/>
      <w:bookmarkEnd w:id="638"/>
      <w:bookmarkEnd w:id="639"/>
    </w:p>
    <w:p w:rsidR="001E6FB8" w:rsidRPr="00E141F1" w:rsidRDefault="001E6FB8" w:rsidP="001E6FB8">
      <w:pPr>
        <w:spacing w:after="80"/>
        <w:rPr>
          <w:rFonts w:cs="Arial"/>
          <w:snapToGrid w:val="0"/>
        </w:rPr>
      </w:pPr>
      <w:r w:rsidRPr="00E141F1">
        <w:rPr>
          <w:rFonts w:cs="Arial"/>
          <w:snapToGrid w:val="0"/>
        </w:rPr>
        <w:t>Australians undertake a diverse range of activities online (Figure 5.8). In general terms there was minimal growth in users undertaking these activities, with the exception of the following:</w:t>
      </w:r>
    </w:p>
    <w:p w:rsidR="001E6FB8" w:rsidRPr="00E141F1" w:rsidRDefault="001E6FB8" w:rsidP="001E6FB8">
      <w:pPr>
        <w:pStyle w:val="ListBullet"/>
        <w:rPr>
          <w:rFonts w:cs="Arial"/>
        </w:rPr>
      </w:pPr>
      <w:r w:rsidRPr="00E141F1">
        <w:rPr>
          <w:rFonts w:cs="Arial"/>
        </w:rPr>
        <w:t>downloading video or audio content—up three percentage points (945,000) to reach 7.92 million people</w:t>
      </w:r>
    </w:p>
    <w:p w:rsidR="001E6FB8" w:rsidRPr="00E141F1" w:rsidRDefault="001E6FB8" w:rsidP="001E6FB8">
      <w:pPr>
        <w:pStyle w:val="ListBullet"/>
        <w:rPr>
          <w:rFonts w:cs="Arial"/>
        </w:rPr>
      </w:pPr>
      <w:r w:rsidRPr="00E141F1">
        <w:rPr>
          <w:rFonts w:cs="Arial"/>
        </w:rPr>
        <w:t>streaming video or audio content—up three percentage points (984,000) to reach 9.26 million people</w:t>
      </w:r>
    </w:p>
    <w:p w:rsidR="001E6FB8" w:rsidRPr="00E141F1" w:rsidRDefault="001E6FB8" w:rsidP="001E6FB8">
      <w:pPr>
        <w:pStyle w:val="ListBullet"/>
        <w:rPr>
          <w:rFonts w:cs="Arial"/>
        </w:rPr>
      </w:pPr>
      <w:r w:rsidRPr="00E141F1">
        <w:rPr>
          <w:rFonts w:cs="Arial"/>
        </w:rPr>
        <w:t>social-networking activities—up three percentage points (982,000) to reach 10.40</w:t>
      </w:r>
      <w:r>
        <w:rPr>
          <w:rFonts w:cs="Arial"/>
        </w:rPr>
        <w:t> </w:t>
      </w:r>
      <w:r w:rsidRPr="00E141F1">
        <w:rPr>
          <w:rFonts w:cs="Arial"/>
        </w:rPr>
        <w:t>million people</w:t>
      </w:r>
    </w:p>
    <w:p w:rsidR="001E6FB8" w:rsidRPr="00E141F1" w:rsidRDefault="001E6FB8" w:rsidP="001E6FB8">
      <w:pPr>
        <w:pStyle w:val="ListBullet"/>
        <w:spacing w:after="240"/>
        <w:rPr>
          <w:rFonts w:cs="Arial"/>
        </w:rPr>
      </w:pPr>
      <w:r w:rsidRPr="00E141F1">
        <w:rPr>
          <w:rFonts w:cs="Arial"/>
        </w:rPr>
        <w:t xml:space="preserve">banking or paying bills online—up three percentage points (1.21 million) to reach 12.86 million people. </w:t>
      </w:r>
    </w:p>
    <w:tbl>
      <w:tblPr>
        <w:tblW w:w="9356" w:type="dxa"/>
        <w:tblLayout w:type="fixed"/>
        <w:tblCellMar>
          <w:left w:w="0" w:type="dxa"/>
          <w:right w:w="0" w:type="dxa"/>
        </w:tblCellMar>
        <w:tblLook w:val="01E0"/>
      </w:tblPr>
      <w:tblGrid>
        <w:gridCol w:w="9356"/>
      </w:tblGrid>
      <w:tr w:rsidR="001E6FB8" w:rsidRPr="00E141F1" w:rsidTr="001E6FB8">
        <w:trPr>
          <w:trHeight w:val="570"/>
        </w:trPr>
        <w:tc>
          <w:tcPr>
            <w:tcW w:w="9356" w:type="dxa"/>
            <w:tcBorders>
              <w:top w:val="single" w:sz="2" w:space="0" w:color="505050"/>
            </w:tcBorders>
            <w:shd w:val="clear" w:color="auto" w:fill="auto"/>
            <w:vAlign w:val="center"/>
          </w:tcPr>
          <w:p w:rsidR="001E6FB8" w:rsidRPr="00E141F1" w:rsidRDefault="001E6FB8" w:rsidP="001E6FB8">
            <w:pPr>
              <w:pStyle w:val="Caption"/>
              <w:rPr>
                <w:rFonts w:cs="Arial"/>
              </w:rPr>
            </w:pPr>
            <w:bookmarkStart w:id="640" w:name="_Toc339881870"/>
            <w:r w:rsidRPr="00E141F1">
              <w:rPr>
                <w:rFonts w:cs="Arial"/>
              </w:rPr>
              <w:t xml:space="preserve">Figure 5.8 Activities </w:t>
            </w:r>
            <w:r w:rsidRPr="000B4953">
              <w:t>performed</w:t>
            </w:r>
            <w:r w:rsidRPr="00E141F1">
              <w:rPr>
                <w:rFonts w:cs="Arial"/>
              </w:rPr>
              <w:t xml:space="preserve"> online in the six months to May </w:t>
            </w:r>
          </w:p>
        </w:tc>
      </w:tr>
      <w:tr w:rsidR="001E6FB8" w:rsidRPr="00E141F1" w:rsidTr="001E6FB8">
        <w:trPr>
          <w:trHeight w:val="4812"/>
        </w:trPr>
        <w:tc>
          <w:tcPr>
            <w:tcW w:w="9356" w:type="dxa"/>
            <w:shd w:val="clear" w:color="auto" w:fill="auto"/>
            <w:tcMar>
              <w:left w:w="28" w:type="dxa"/>
            </w:tcMar>
          </w:tcPr>
          <w:p w:rsidR="001E6FB8" w:rsidRPr="00E141F1" w:rsidRDefault="001E6FB8" w:rsidP="001E6FB8">
            <w:pPr>
              <w:rPr>
                <w:rFonts w:cs="Arial"/>
              </w:rPr>
            </w:pPr>
            <w:r w:rsidRPr="00914DF3">
              <w:rPr>
                <w:rFonts w:cs="Arial"/>
                <w:noProof/>
              </w:rPr>
              <w:drawing>
                <wp:inline distT="0" distB="0" distL="0" distR="0">
                  <wp:extent cx="5844209" cy="5883965"/>
                  <wp:effectExtent l="0" t="0" r="0" b="0"/>
                  <wp:docPr id="2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c>
      </w:tr>
      <w:tr w:rsidR="001E6FB8" w:rsidRPr="00E141F1" w:rsidTr="001E6FB8">
        <w:trPr>
          <w:trHeight w:val="291"/>
        </w:trPr>
        <w:tc>
          <w:tcPr>
            <w:tcW w:w="9356" w:type="dxa"/>
            <w:tcBorders>
              <w:bottom w:val="single" w:sz="2" w:space="0" w:color="505050"/>
            </w:tcBorders>
            <w:shd w:val="clear" w:color="auto" w:fill="auto"/>
          </w:tcPr>
          <w:p w:rsidR="001E6FB8" w:rsidRPr="00E141F1" w:rsidRDefault="001E6FB8" w:rsidP="001E6FB8">
            <w:pPr>
              <w:keepNext/>
              <w:keepLines/>
              <w:spacing w:line="240" w:lineRule="auto"/>
              <w:rPr>
                <w:rFonts w:cs="Arial"/>
                <w:i/>
                <w:sz w:val="16"/>
                <w:szCs w:val="16"/>
              </w:rPr>
            </w:pPr>
            <w:r w:rsidRPr="00E141F1">
              <w:rPr>
                <w:rFonts w:cs="Arial"/>
                <w:i/>
                <w:sz w:val="16"/>
                <w:szCs w:val="16"/>
              </w:rPr>
              <w:t>Note: Data relating to downloading of mobile applications in the six months to May 2012 not available.</w:t>
            </w:r>
          </w:p>
          <w:p w:rsidR="001E6FB8" w:rsidRPr="00E141F1" w:rsidRDefault="001E6FB8" w:rsidP="001E6FB8">
            <w:pPr>
              <w:keepNext/>
              <w:keepLines/>
              <w:spacing w:after="60" w:line="240" w:lineRule="auto"/>
              <w:rPr>
                <w:rFonts w:cs="Arial"/>
              </w:rPr>
            </w:pPr>
            <w:r w:rsidRPr="00E141F1">
              <w:rPr>
                <w:rFonts w:cs="Arial"/>
                <w:i/>
                <w:sz w:val="16"/>
                <w:szCs w:val="16"/>
              </w:rPr>
              <w:t>Source: ACMA-commissioned research May 2012 and May 2013.</w:t>
            </w:r>
          </w:p>
        </w:tc>
      </w:tr>
    </w:tbl>
    <w:p w:rsidR="001E6FB8" w:rsidRPr="00E141F1" w:rsidRDefault="001E6FB8" w:rsidP="001E6FB8"/>
    <w:p w:rsidR="001E6FB8" w:rsidRPr="00E141F1" w:rsidRDefault="001E6FB8" w:rsidP="001E6FB8">
      <w:pPr>
        <w:pStyle w:val="Heading3"/>
      </w:pPr>
      <w:bookmarkStart w:id="641" w:name="_Toc371589132"/>
      <w:bookmarkStart w:id="642" w:name="_Toc373149194"/>
      <w:r w:rsidRPr="00E141F1">
        <w:t>Activities undertaken online by age</w:t>
      </w:r>
      <w:bookmarkEnd w:id="640"/>
      <w:bookmarkEnd w:id="641"/>
      <w:bookmarkEnd w:id="642"/>
    </w:p>
    <w:p w:rsidR="001E6FB8" w:rsidRPr="00E141F1" w:rsidRDefault="001E6FB8" w:rsidP="001E6FB8">
      <w:pPr>
        <w:spacing w:after="80"/>
        <w:rPr>
          <w:rFonts w:cs="Arial"/>
          <w:snapToGrid w:val="0"/>
        </w:rPr>
      </w:pPr>
      <w:r w:rsidRPr="00E141F1">
        <w:rPr>
          <w:rFonts w:cs="Arial"/>
          <w:snapToGrid w:val="0"/>
        </w:rPr>
        <w:t xml:space="preserve">In general, patterns of internet use tend to be similar across all age groups, with some age-based differences (Table 5.2): </w:t>
      </w:r>
    </w:p>
    <w:p w:rsidR="001E6FB8" w:rsidRPr="00E141F1" w:rsidRDefault="001E6FB8" w:rsidP="001E6FB8">
      <w:pPr>
        <w:pStyle w:val="ListBullet"/>
        <w:rPr>
          <w:rFonts w:cs="Arial"/>
        </w:rPr>
      </w:pPr>
      <w:r w:rsidRPr="00E141F1">
        <w:rPr>
          <w:rFonts w:cs="Arial"/>
        </w:rPr>
        <w:t>the three most popular online activities across all age groups is general internet browsing, using email and using the internet for research</w:t>
      </w:r>
    </w:p>
    <w:p w:rsidR="001E6FB8" w:rsidRPr="00E141F1" w:rsidRDefault="001E6FB8" w:rsidP="001E6FB8">
      <w:pPr>
        <w:pStyle w:val="ListBullet"/>
        <w:rPr>
          <w:rFonts w:cs="Arial"/>
        </w:rPr>
      </w:pPr>
      <w:r w:rsidRPr="00E141F1">
        <w:rPr>
          <w:rFonts w:cs="Arial"/>
        </w:rPr>
        <w:t>banking and paying bills online is the fourth most popular activity across all age groups except for 18</w:t>
      </w:r>
      <w:r>
        <w:rPr>
          <w:rFonts w:cs="Arial"/>
        </w:rPr>
        <w:t xml:space="preserve"> to 24-year-</w:t>
      </w:r>
      <w:r w:rsidRPr="00E141F1">
        <w:rPr>
          <w:rFonts w:cs="Arial"/>
        </w:rPr>
        <w:t>olds</w:t>
      </w:r>
    </w:p>
    <w:p w:rsidR="001E6FB8" w:rsidRPr="00E141F1" w:rsidRDefault="001E6FB8" w:rsidP="001E6FB8">
      <w:pPr>
        <w:pStyle w:val="ListBullet"/>
        <w:rPr>
          <w:rFonts w:cs="Arial"/>
        </w:rPr>
      </w:pPr>
      <w:r w:rsidRPr="00E141F1">
        <w:rPr>
          <w:rFonts w:cs="Arial"/>
        </w:rPr>
        <w:t>buying and selling goods and services online was the fifth most popular activity for internet users aged 35–64</w:t>
      </w:r>
    </w:p>
    <w:p w:rsidR="001E6FB8" w:rsidRPr="00E141F1" w:rsidRDefault="001E6FB8" w:rsidP="001E6FB8">
      <w:pPr>
        <w:pStyle w:val="ListBullet"/>
        <w:rPr>
          <w:rFonts w:cs="Arial"/>
        </w:rPr>
      </w:pPr>
      <w:r w:rsidRPr="00E141F1">
        <w:rPr>
          <w:rFonts w:cs="Arial"/>
        </w:rPr>
        <w:t>social networking was in the top five popular activities for 18</w:t>
      </w:r>
      <w:r>
        <w:rPr>
          <w:rFonts w:cs="Arial"/>
        </w:rPr>
        <w:t xml:space="preserve"> to 34-year-</w:t>
      </w:r>
      <w:r w:rsidRPr="00E141F1">
        <w:rPr>
          <w:rFonts w:cs="Arial"/>
        </w:rPr>
        <w:t>olds</w:t>
      </w:r>
    </w:p>
    <w:p w:rsidR="001E6FB8" w:rsidRDefault="001E6FB8" w:rsidP="001E6FB8">
      <w:pPr>
        <w:pStyle w:val="ListBullet"/>
        <w:spacing w:after="240"/>
        <w:rPr>
          <w:rFonts w:cs="Arial"/>
        </w:rPr>
      </w:pPr>
      <w:r w:rsidRPr="00E141F1">
        <w:rPr>
          <w:rFonts w:cs="Arial"/>
        </w:rPr>
        <w:t>other activities in the top five popular activities include steaming of video and audio content (87 per cent of 18</w:t>
      </w:r>
      <w:r>
        <w:rPr>
          <w:rFonts w:cs="Arial"/>
        </w:rPr>
        <w:t xml:space="preserve"> to 24-year-</w:t>
      </w:r>
      <w:r w:rsidRPr="00E141F1">
        <w:rPr>
          <w:rFonts w:cs="Arial"/>
        </w:rPr>
        <w:t xml:space="preserve">olds) and accessing or submitting information to government websites or services (46 per cent of people over 65 years). </w:t>
      </w:r>
    </w:p>
    <w:tbl>
      <w:tblPr>
        <w:tblW w:w="9645" w:type="dxa"/>
        <w:tblLayout w:type="fixed"/>
        <w:tblCellMar>
          <w:left w:w="0" w:type="dxa"/>
          <w:right w:w="0" w:type="dxa"/>
        </w:tblCellMar>
        <w:tblLook w:val="01E0"/>
      </w:tblPr>
      <w:tblGrid>
        <w:gridCol w:w="9645"/>
      </w:tblGrid>
      <w:tr w:rsidR="001E6FB8" w:rsidTr="001E6FB8">
        <w:trPr>
          <w:trHeight w:val="570"/>
        </w:trPr>
        <w:tc>
          <w:tcPr>
            <w:tcW w:w="9645" w:type="dxa"/>
            <w:tcBorders>
              <w:top w:val="single" w:sz="2" w:space="0" w:color="505050"/>
            </w:tcBorders>
            <w:shd w:val="clear" w:color="auto" w:fill="auto"/>
            <w:vAlign w:val="center"/>
          </w:tcPr>
          <w:p w:rsidR="001E6FB8" w:rsidRPr="00A74B5E" w:rsidRDefault="001E6FB8" w:rsidP="001E6FB8">
            <w:pPr>
              <w:pStyle w:val="Caption"/>
            </w:pPr>
            <w:r w:rsidRPr="00E311E7">
              <w:t xml:space="preserve">Table </w:t>
            </w:r>
            <w:r w:rsidRPr="00E311E7">
              <w:rPr>
                <w:rFonts w:cs="Arial"/>
              </w:rPr>
              <w:t>5.2 Popularity of online activities, by age</w:t>
            </w:r>
          </w:p>
        </w:tc>
      </w:tr>
      <w:tr w:rsidR="001E6FB8" w:rsidTr="001E6FB8">
        <w:trPr>
          <w:trHeight w:val="3086"/>
        </w:trPr>
        <w:tc>
          <w:tcPr>
            <w:tcW w:w="9645" w:type="dxa"/>
            <w:shd w:val="clear" w:color="auto" w:fill="auto"/>
            <w:tcMar>
              <w:left w:w="28" w:type="dxa"/>
            </w:tcMar>
          </w:tcPr>
          <w:tbl>
            <w:tblPr>
              <w:tblStyle w:val="TableGrid"/>
              <w:tblW w:w="96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2"/>
              <w:gridCol w:w="1139"/>
              <w:gridCol w:w="1388"/>
              <w:gridCol w:w="1388"/>
              <w:gridCol w:w="1388"/>
              <w:gridCol w:w="1388"/>
              <w:gridCol w:w="1388"/>
            </w:tblGrid>
            <w:tr w:rsidR="001E6FB8" w:rsidRPr="00E141F1" w:rsidTr="001E6FB8">
              <w:trPr>
                <w:trHeight w:val="842"/>
              </w:trPr>
              <w:tc>
                <w:tcPr>
                  <w:tcW w:w="1532" w:type="dxa"/>
                  <w:shd w:val="clear" w:color="auto" w:fill="00709E"/>
                  <w:vAlign w:val="center"/>
                </w:tcPr>
                <w:p w:rsidR="001E6FB8" w:rsidRPr="00E141F1" w:rsidRDefault="001E6FB8" w:rsidP="001E6FB8">
                  <w:pPr>
                    <w:spacing w:before="40" w:after="40" w:line="240" w:lineRule="auto"/>
                    <w:rPr>
                      <w:rFonts w:cs="Arial"/>
                      <w:b/>
                      <w:snapToGrid w:val="0"/>
                      <w:color w:val="FFFFFF" w:themeColor="background1"/>
                      <w:sz w:val="18"/>
                      <w:szCs w:val="18"/>
                    </w:rPr>
                  </w:pPr>
                  <w:r w:rsidRPr="00E141F1">
                    <w:rPr>
                      <w:rFonts w:cs="Arial"/>
                      <w:b/>
                      <w:snapToGrid w:val="0"/>
                      <w:color w:val="FFFFFF" w:themeColor="background1"/>
                      <w:sz w:val="18"/>
                      <w:szCs w:val="18"/>
                    </w:rPr>
                    <w:t>Popularity of activity</w:t>
                  </w:r>
                </w:p>
              </w:tc>
              <w:tc>
                <w:tcPr>
                  <w:tcW w:w="8079" w:type="dxa"/>
                  <w:gridSpan w:val="6"/>
                  <w:shd w:val="clear" w:color="auto" w:fill="00709E"/>
                  <w:vAlign w:val="center"/>
                </w:tcPr>
                <w:p w:rsidR="001E6FB8" w:rsidRPr="00E141F1" w:rsidRDefault="001E6FB8" w:rsidP="001E6FB8">
                  <w:pPr>
                    <w:spacing w:before="40" w:after="40" w:line="240" w:lineRule="auto"/>
                    <w:jc w:val="center"/>
                    <w:rPr>
                      <w:rFonts w:cs="Arial"/>
                      <w:b/>
                      <w:bCs/>
                      <w:snapToGrid w:val="0"/>
                      <w:color w:val="FFFFFF" w:themeColor="background1"/>
                      <w:spacing w:val="-28"/>
                      <w:kern w:val="32"/>
                      <w:sz w:val="18"/>
                      <w:szCs w:val="18"/>
                    </w:rPr>
                  </w:pPr>
                  <w:r w:rsidRPr="00E141F1">
                    <w:rPr>
                      <w:rFonts w:cs="Arial"/>
                      <w:b/>
                      <w:snapToGrid w:val="0"/>
                      <w:color w:val="FFFFFF" w:themeColor="background1"/>
                      <w:sz w:val="18"/>
                      <w:szCs w:val="18"/>
                    </w:rPr>
                    <w:t>Age groups</w:t>
                  </w:r>
                </w:p>
              </w:tc>
            </w:tr>
            <w:tr w:rsidR="001E6FB8" w:rsidRPr="00E141F1" w:rsidTr="001E6FB8">
              <w:trPr>
                <w:trHeight w:val="166"/>
              </w:trPr>
              <w:tc>
                <w:tcPr>
                  <w:tcW w:w="1532" w:type="dxa"/>
                  <w:tcBorders>
                    <w:bottom w:val="single" w:sz="4" w:space="0" w:color="D9D9D9" w:themeColor="background1" w:themeShade="D9"/>
                  </w:tcBorders>
                  <w:vAlign w:val="center"/>
                </w:tcPr>
                <w:p w:rsidR="001E6FB8" w:rsidRPr="00E141F1" w:rsidRDefault="001E6FB8" w:rsidP="001E6FB8">
                  <w:pPr>
                    <w:spacing w:before="40" w:after="40" w:line="240" w:lineRule="auto"/>
                    <w:rPr>
                      <w:rFonts w:cs="Arial"/>
                      <w:b/>
                      <w:snapToGrid w:val="0"/>
                      <w:color w:val="000000"/>
                      <w:sz w:val="18"/>
                      <w:szCs w:val="18"/>
                    </w:rPr>
                  </w:pPr>
                </w:p>
              </w:tc>
              <w:tc>
                <w:tcPr>
                  <w:tcW w:w="1139" w:type="dxa"/>
                  <w:tcBorders>
                    <w:bottom w:val="single" w:sz="4" w:space="0" w:color="D9D9D9" w:themeColor="background1" w:themeShade="D9"/>
                  </w:tcBorders>
                  <w:vAlign w:val="center"/>
                </w:tcPr>
                <w:p w:rsidR="001E6FB8" w:rsidRPr="00AD26BF" w:rsidRDefault="001E6FB8" w:rsidP="001E6FB8">
                  <w:pPr>
                    <w:spacing w:before="40" w:after="40" w:line="240" w:lineRule="auto"/>
                    <w:jc w:val="right"/>
                    <w:rPr>
                      <w:rFonts w:cs="Arial"/>
                      <w:b/>
                      <w:snapToGrid w:val="0"/>
                      <w:color w:val="00709E"/>
                      <w:sz w:val="18"/>
                      <w:szCs w:val="18"/>
                    </w:rPr>
                  </w:pPr>
                  <w:r w:rsidRPr="00AD26BF">
                    <w:rPr>
                      <w:rFonts w:cs="Arial"/>
                      <w:b/>
                      <w:snapToGrid w:val="0"/>
                      <w:color w:val="00709E"/>
                      <w:sz w:val="18"/>
                      <w:szCs w:val="18"/>
                    </w:rPr>
                    <w:t>18–24</w:t>
                  </w:r>
                </w:p>
              </w:tc>
              <w:tc>
                <w:tcPr>
                  <w:tcW w:w="1388" w:type="dxa"/>
                  <w:tcBorders>
                    <w:bottom w:val="single" w:sz="4" w:space="0" w:color="D9D9D9" w:themeColor="background1" w:themeShade="D9"/>
                  </w:tcBorders>
                  <w:vAlign w:val="center"/>
                </w:tcPr>
                <w:p w:rsidR="001E6FB8" w:rsidRPr="00AD26BF" w:rsidRDefault="001E6FB8" w:rsidP="001E6FB8">
                  <w:pPr>
                    <w:spacing w:before="40" w:after="40" w:line="240" w:lineRule="auto"/>
                    <w:jc w:val="right"/>
                    <w:rPr>
                      <w:rFonts w:cs="Arial"/>
                      <w:b/>
                      <w:snapToGrid w:val="0"/>
                      <w:color w:val="00709E"/>
                      <w:sz w:val="18"/>
                      <w:szCs w:val="18"/>
                    </w:rPr>
                  </w:pPr>
                  <w:r w:rsidRPr="00AD26BF">
                    <w:rPr>
                      <w:rFonts w:cs="Arial"/>
                      <w:b/>
                      <w:snapToGrid w:val="0"/>
                      <w:color w:val="00709E"/>
                      <w:sz w:val="18"/>
                      <w:szCs w:val="18"/>
                    </w:rPr>
                    <w:t>25–34</w:t>
                  </w:r>
                </w:p>
              </w:tc>
              <w:tc>
                <w:tcPr>
                  <w:tcW w:w="1388" w:type="dxa"/>
                  <w:tcBorders>
                    <w:bottom w:val="single" w:sz="4" w:space="0" w:color="D9D9D9" w:themeColor="background1" w:themeShade="D9"/>
                  </w:tcBorders>
                  <w:vAlign w:val="center"/>
                </w:tcPr>
                <w:p w:rsidR="001E6FB8" w:rsidRPr="00AD26BF" w:rsidRDefault="001E6FB8" w:rsidP="001E6FB8">
                  <w:pPr>
                    <w:spacing w:before="40" w:after="40" w:line="240" w:lineRule="auto"/>
                    <w:jc w:val="right"/>
                    <w:rPr>
                      <w:rFonts w:cs="Arial"/>
                      <w:b/>
                      <w:snapToGrid w:val="0"/>
                      <w:color w:val="00709E"/>
                      <w:sz w:val="18"/>
                      <w:szCs w:val="18"/>
                    </w:rPr>
                  </w:pPr>
                  <w:r w:rsidRPr="00AD26BF">
                    <w:rPr>
                      <w:rFonts w:cs="Arial"/>
                      <w:b/>
                      <w:snapToGrid w:val="0"/>
                      <w:color w:val="00709E"/>
                      <w:sz w:val="18"/>
                      <w:szCs w:val="18"/>
                    </w:rPr>
                    <w:t>35–44</w:t>
                  </w:r>
                </w:p>
              </w:tc>
              <w:tc>
                <w:tcPr>
                  <w:tcW w:w="1388" w:type="dxa"/>
                  <w:tcBorders>
                    <w:bottom w:val="single" w:sz="4" w:space="0" w:color="D9D9D9" w:themeColor="background1" w:themeShade="D9"/>
                  </w:tcBorders>
                  <w:vAlign w:val="center"/>
                </w:tcPr>
                <w:p w:rsidR="001E6FB8" w:rsidRPr="00AD26BF" w:rsidRDefault="001E6FB8" w:rsidP="001E6FB8">
                  <w:pPr>
                    <w:spacing w:before="40" w:after="40" w:line="240" w:lineRule="auto"/>
                    <w:jc w:val="right"/>
                    <w:rPr>
                      <w:rFonts w:cs="Arial"/>
                      <w:b/>
                      <w:snapToGrid w:val="0"/>
                      <w:color w:val="00709E"/>
                      <w:sz w:val="18"/>
                      <w:szCs w:val="18"/>
                    </w:rPr>
                  </w:pPr>
                  <w:r w:rsidRPr="00AD26BF">
                    <w:rPr>
                      <w:rFonts w:cs="Arial"/>
                      <w:b/>
                      <w:snapToGrid w:val="0"/>
                      <w:color w:val="00709E"/>
                      <w:sz w:val="18"/>
                      <w:szCs w:val="18"/>
                    </w:rPr>
                    <w:t>45–54</w:t>
                  </w:r>
                </w:p>
              </w:tc>
              <w:tc>
                <w:tcPr>
                  <w:tcW w:w="1388" w:type="dxa"/>
                  <w:tcBorders>
                    <w:bottom w:val="single" w:sz="4" w:space="0" w:color="D9D9D9" w:themeColor="background1" w:themeShade="D9"/>
                  </w:tcBorders>
                  <w:vAlign w:val="center"/>
                </w:tcPr>
                <w:p w:rsidR="001E6FB8" w:rsidRPr="00AD26BF" w:rsidRDefault="001E6FB8" w:rsidP="001E6FB8">
                  <w:pPr>
                    <w:spacing w:before="40" w:after="40" w:line="240" w:lineRule="auto"/>
                    <w:jc w:val="right"/>
                    <w:rPr>
                      <w:rFonts w:cs="Arial"/>
                      <w:b/>
                      <w:snapToGrid w:val="0"/>
                      <w:color w:val="00709E"/>
                      <w:sz w:val="18"/>
                      <w:szCs w:val="18"/>
                    </w:rPr>
                  </w:pPr>
                  <w:r w:rsidRPr="00AD26BF">
                    <w:rPr>
                      <w:rFonts w:cs="Arial"/>
                      <w:b/>
                      <w:snapToGrid w:val="0"/>
                      <w:color w:val="00709E"/>
                      <w:sz w:val="18"/>
                      <w:szCs w:val="18"/>
                    </w:rPr>
                    <w:t>55–64</w:t>
                  </w:r>
                </w:p>
              </w:tc>
              <w:tc>
                <w:tcPr>
                  <w:tcW w:w="1388" w:type="dxa"/>
                  <w:tcBorders>
                    <w:bottom w:val="single" w:sz="4" w:space="0" w:color="D9D9D9" w:themeColor="background1" w:themeShade="D9"/>
                  </w:tcBorders>
                  <w:vAlign w:val="center"/>
                </w:tcPr>
                <w:p w:rsidR="001E6FB8" w:rsidRPr="00AD26BF" w:rsidRDefault="001E6FB8" w:rsidP="001E6FB8">
                  <w:pPr>
                    <w:spacing w:before="40" w:after="40" w:line="240" w:lineRule="auto"/>
                    <w:jc w:val="right"/>
                    <w:rPr>
                      <w:rFonts w:cs="Arial"/>
                      <w:b/>
                      <w:snapToGrid w:val="0"/>
                      <w:color w:val="00709E"/>
                      <w:sz w:val="18"/>
                      <w:szCs w:val="18"/>
                    </w:rPr>
                  </w:pPr>
                  <w:r w:rsidRPr="00AD26BF">
                    <w:rPr>
                      <w:rFonts w:cs="Arial"/>
                      <w:b/>
                      <w:snapToGrid w:val="0"/>
                      <w:color w:val="00709E"/>
                      <w:sz w:val="18"/>
                      <w:szCs w:val="18"/>
                    </w:rPr>
                    <w:t>65+</w:t>
                  </w:r>
                </w:p>
              </w:tc>
            </w:tr>
            <w:tr w:rsidR="001E6FB8" w:rsidRPr="00E141F1" w:rsidTr="001E6FB8">
              <w:trPr>
                <w:trHeight w:val="634"/>
              </w:trPr>
              <w:tc>
                <w:tcPr>
                  <w:tcW w:w="1532" w:type="dxa"/>
                  <w:tcBorders>
                    <w:top w:val="single" w:sz="4" w:space="0" w:color="D9D9D9" w:themeColor="background1" w:themeShade="D9"/>
                    <w:bottom w:val="single" w:sz="4" w:space="0" w:color="D9D9D9" w:themeColor="background1" w:themeShade="D9"/>
                  </w:tcBorders>
                </w:tcPr>
                <w:p w:rsidR="001E6FB8" w:rsidRPr="00AD26BF" w:rsidRDefault="001E6FB8" w:rsidP="001E6FB8">
                  <w:pPr>
                    <w:spacing w:before="40" w:after="40" w:line="240" w:lineRule="auto"/>
                    <w:rPr>
                      <w:rFonts w:cs="Arial"/>
                      <w:b/>
                      <w:snapToGrid w:val="0"/>
                      <w:color w:val="00709E"/>
                      <w:sz w:val="18"/>
                      <w:szCs w:val="18"/>
                    </w:rPr>
                  </w:pPr>
                  <w:r w:rsidRPr="00AD26BF">
                    <w:rPr>
                      <w:rFonts w:cs="Arial"/>
                      <w:b/>
                      <w:snapToGrid w:val="0"/>
                      <w:color w:val="00709E"/>
                      <w:sz w:val="18"/>
                      <w:szCs w:val="18"/>
                    </w:rPr>
                    <w:t>Most popular activity</w:t>
                  </w:r>
                </w:p>
              </w:tc>
              <w:tc>
                <w:tcPr>
                  <w:tcW w:w="1139"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Browsing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99%</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Browsing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99%</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Research</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98%</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Email</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95%</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Research</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93%</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Email</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95%</w:t>
                  </w:r>
                </w:p>
              </w:tc>
            </w:tr>
            <w:tr w:rsidR="001E6FB8" w:rsidRPr="00E141F1" w:rsidTr="001E6FB8">
              <w:trPr>
                <w:trHeight w:val="631"/>
              </w:trPr>
              <w:tc>
                <w:tcPr>
                  <w:tcW w:w="1532" w:type="dxa"/>
                  <w:tcBorders>
                    <w:top w:val="single" w:sz="4" w:space="0" w:color="D9D9D9" w:themeColor="background1" w:themeShade="D9"/>
                    <w:bottom w:val="single" w:sz="4" w:space="0" w:color="D9D9D9" w:themeColor="background1" w:themeShade="D9"/>
                  </w:tcBorders>
                </w:tcPr>
                <w:p w:rsidR="001E6FB8" w:rsidRPr="00AD26BF" w:rsidRDefault="001E6FB8" w:rsidP="001E6FB8">
                  <w:pPr>
                    <w:spacing w:before="40" w:after="40" w:line="240" w:lineRule="auto"/>
                    <w:rPr>
                      <w:rFonts w:cs="Arial"/>
                      <w:b/>
                      <w:snapToGrid w:val="0"/>
                      <w:color w:val="00709E"/>
                      <w:sz w:val="18"/>
                      <w:szCs w:val="18"/>
                    </w:rPr>
                  </w:pPr>
                  <w:r w:rsidRPr="00AD26BF">
                    <w:rPr>
                      <w:rFonts w:cs="Arial"/>
                      <w:b/>
                      <w:snapToGrid w:val="0"/>
                      <w:color w:val="00709E"/>
                      <w:sz w:val="18"/>
                      <w:szCs w:val="18"/>
                    </w:rPr>
                    <w:t>2</w:t>
                  </w:r>
                  <w:r w:rsidRPr="00AD26BF">
                    <w:rPr>
                      <w:rFonts w:cs="Arial"/>
                      <w:b/>
                      <w:snapToGrid w:val="0"/>
                      <w:color w:val="00709E"/>
                      <w:sz w:val="18"/>
                      <w:szCs w:val="18"/>
                      <w:vertAlign w:val="superscript"/>
                    </w:rPr>
                    <w:t>nd</w:t>
                  </w:r>
                  <w:r w:rsidRPr="00AD26BF">
                    <w:rPr>
                      <w:rFonts w:cs="Arial"/>
                      <w:b/>
                      <w:snapToGrid w:val="0"/>
                      <w:color w:val="00709E"/>
                      <w:sz w:val="18"/>
                      <w:szCs w:val="18"/>
                    </w:rPr>
                    <w:t xml:space="preserve"> most popular</w:t>
                  </w:r>
                </w:p>
              </w:tc>
              <w:tc>
                <w:tcPr>
                  <w:tcW w:w="1139"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Research</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97%</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Email</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97%</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Email</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98%</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Research</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94%</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Email</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92%</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Research</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89%</w:t>
                  </w:r>
                </w:p>
              </w:tc>
            </w:tr>
            <w:tr w:rsidR="001E6FB8" w:rsidRPr="00E141F1" w:rsidTr="001E6FB8">
              <w:trPr>
                <w:trHeight w:val="569"/>
              </w:trPr>
              <w:tc>
                <w:tcPr>
                  <w:tcW w:w="1532" w:type="dxa"/>
                  <w:tcBorders>
                    <w:top w:val="single" w:sz="4" w:space="0" w:color="D9D9D9" w:themeColor="background1" w:themeShade="D9"/>
                    <w:bottom w:val="single" w:sz="4" w:space="0" w:color="D9D9D9" w:themeColor="background1" w:themeShade="D9"/>
                  </w:tcBorders>
                </w:tcPr>
                <w:p w:rsidR="001E6FB8" w:rsidRPr="00AD26BF" w:rsidRDefault="001E6FB8" w:rsidP="001E6FB8">
                  <w:pPr>
                    <w:spacing w:before="40" w:after="40" w:line="240" w:lineRule="auto"/>
                    <w:rPr>
                      <w:rFonts w:cs="Arial"/>
                      <w:b/>
                      <w:snapToGrid w:val="0"/>
                      <w:color w:val="00709E"/>
                      <w:sz w:val="18"/>
                      <w:szCs w:val="18"/>
                    </w:rPr>
                  </w:pPr>
                  <w:r w:rsidRPr="00AD26BF">
                    <w:rPr>
                      <w:rFonts w:cs="Arial"/>
                      <w:b/>
                      <w:snapToGrid w:val="0"/>
                      <w:color w:val="00709E"/>
                      <w:sz w:val="18"/>
                      <w:szCs w:val="18"/>
                    </w:rPr>
                    <w:t>3</w:t>
                  </w:r>
                  <w:r w:rsidRPr="00AD26BF">
                    <w:rPr>
                      <w:rFonts w:cs="Arial"/>
                      <w:b/>
                      <w:snapToGrid w:val="0"/>
                      <w:color w:val="00709E"/>
                      <w:sz w:val="18"/>
                      <w:szCs w:val="18"/>
                      <w:vertAlign w:val="superscript"/>
                    </w:rPr>
                    <w:t>rd</w:t>
                  </w:r>
                  <w:r w:rsidRPr="00AD26BF">
                    <w:rPr>
                      <w:rFonts w:cs="Arial"/>
                      <w:b/>
                      <w:snapToGrid w:val="0"/>
                      <w:color w:val="00709E"/>
                      <w:sz w:val="18"/>
                      <w:szCs w:val="18"/>
                    </w:rPr>
                    <w:t xml:space="preserve"> most popular</w:t>
                  </w:r>
                </w:p>
              </w:tc>
              <w:tc>
                <w:tcPr>
                  <w:tcW w:w="1139"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Email</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96%</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Research</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96%</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Browsing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97%</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Browsing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93%</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Browsing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91%</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Browsing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85%</w:t>
                  </w:r>
                </w:p>
              </w:tc>
            </w:tr>
            <w:tr w:rsidR="001E6FB8" w:rsidRPr="00E141F1" w:rsidTr="001E6FB8">
              <w:trPr>
                <w:trHeight w:val="691"/>
              </w:trPr>
              <w:tc>
                <w:tcPr>
                  <w:tcW w:w="1532" w:type="dxa"/>
                  <w:tcBorders>
                    <w:top w:val="single" w:sz="4" w:space="0" w:color="D9D9D9" w:themeColor="background1" w:themeShade="D9"/>
                    <w:bottom w:val="single" w:sz="4" w:space="0" w:color="D9D9D9" w:themeColor="background1" w:themeShade="D9"/>
                  </w:tcBorders>
                </w:tcPr>
                <w:p w:rsidR="001E6FB8" w:rsidRPr="00AD26BF" w:rsidRDefault="001E6FB8" w:rsidP="001E6FB8">
                  <w:pPr>
                    <w:spacing w:before="40" w:after="40" w:line="240" w:lineRule="auto"/>
                    <w:rPr>
                      <w:rFonts w:cs="Arial"/>
                      <w:b/>
                      <w:snapToGrid w:val="0"/>
                      <w:color w:val="00709E"/>
                      <w:sz w:val="18"/>
                      <w:szCs w:val="18"/>
                    </w:rPr>
                  </w:pPr>
                  <w:r w:rsidRPr="00AD26BF">
                    <w:rPr>
                      <w:rFonts w:cs="Arial"/>
                      <w:b/>
                      <w:snapToGrid w:val="0"/>
                      <w:color w:val="00709E"/>
                      <w:sz w:val="18"/>
                      <w:szCs w:val="18"/>
                    </w:rPr>
                    <w:t>4</w:t>
                  </w:r>
                  <w:r w:rsidRPr="00AD26BF">
                    <w:rPr>
                      <w:rFonts w:cs="Arial"/>
                      <w:b/>
                      <w:snapToGrid w:val="0"/>
                      <w:color w:val="00709E"/>
                      <w:sz w:val="18"/>
                      <w:szCs w:val="18"/>
                      <w:vertAlign w:val="superscript"/>
                    </w:rPr>
                    <w:t>th</w:t>
                  </w:r>
                  <w:r w:rsidRPr="00AD26BF">
                    <w:rPr>
                      <w:rFonts w:cs="Arial"/>
                      <w:b/>
                      <w:snapToGrid w:val="0"/>
                      <w:color w:val="00709E"/>
                      <w:sz w:val="18"/>
                      <w:szCs w:val="18"/>
                    </w:rPr>
                    <w:t xml:space="preserve"> most popular</w:t>
                  </w:r>
                </w:p>
              </w:tc>
              <w:tc>
                <w:tcPr>
                  <w:tcW w:w="1139"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Social networking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94%</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Banking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92%</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Banking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90%</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Banking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77%</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Banking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72%</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Banking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60%</w:t>
                  </w:r>
                </w:p>
              </w:tc>
            </w:tr>
            <w:tr w:rsidR="001E6FB8" w:rsidRPr="00E141F1" w:rsidTr="001E6FB8">
              <w:trPr>
                <w:trHeight w:val="644"/>
              </w:trPr>
              <w:tc>
                <w:tcPr>
                  <w:tcW w:w="1532" w:type="dxa"/>
                  <w:tcBorders>
                    <w:top w:val="single" w:sz="4" w:space="0" w:color="D9D9D9" w:themeColor="background1" w:themeShade="D9"/>
                    <w:bottom w:val="single" w:sz="4" w:space="0" w:color="D9D9D9" w:themeColor="background1" w:themeShade="D9"/>
                  </w:tcBorders>
                </w:tcPr>
                <w:p w:rsidR="001E6FB8" w:rsidRPr="00AD26BF" w:rsidRDefault="001E6FB8" w:rsidP="001E6FB8">
                  <w:pPr>
                    <w:spacing w:before="40" w:after="40" w:line="240" w:lineRule="auto"/>
                    <w:rPr>
                      <w:rFonts w:cs="Arial"/>
                      <w:b/>
                      <w:snapToGrid w:val="0"/>
                      <w:color w:val="00709E"/>
                      <w:sz w:val="18"/>
                      <w:szCs w:val="18"/>
                    </w:rPr>
                  </w:pPr>
                  <w:r w:rsidRPr="00AD26BF">
                    <w:rPr>
                      <w:rFonts w:cs="Arial"/>
                      <w:b/>
                      <w:snapToGrid w:val="0"/>
                      <w:color w:val="00709E"/>
                      <w:sz w:val="18"/>
                      <w:szCs w:val="18"/>
                    </w:rPr>
                    <w:t>5</w:t>
                  </w:r>
                  <w:r w:rsidRPr="00AD26BF">
                    <w:rPr>
                      <w:rFonts w:cs="Arial"/>
                      <w:b/>
                      <w:snapToGrid w:val="0"/>
                      <w:color w:val="00709E"/>
                      <w:sz w:val="18"/>
                      <w:szCs w:val="18"/>
                      <w:vertAlign w:val="superscript"/>
                    </w:rPr>
                    <w:t>th</w:t>
                  </w:r>
                  <w:r w:rsidRPr="00AD26BF">
                    <w:rPr>
                      <w:rFonts w:cs="Arial"/>
                      <w:b/>
                      <w:snapToGrid w:val="0"/>
                      <w:color w:val="00709E"/>
                      <w:sz w:val="18"/>
                      <w:szCs w:val="18"/>
                    </w:rPr>
                    <w:t xml:space="preserve"> most popular</w:t>
                  </w:r>
                </w:p>
              </w:tc>
              <w:tc>
                <w:tcPr>
                  <w:tcW w:w="1139"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Streaming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87%</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Social networking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82%</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Buying or selling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74%</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Buying or selling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67%</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Buying or selling</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56%</w:t>
                  </w:r>
                </w:p>
              </w:tc>
              <w:tc>
                <w:tcPr>
                  <w:tcW w:w="1388" w:type="dxa"/>
                  <w:tcBorders>
                    <w:top w:val="single" w:sz="4" w:space="0" w:color="D9D9D9" w:themeColor="background1" w:themeShade="D9"/>
                    <w:bottom w:val="single" w:sz="4" w:space="0" w:color="D9D9D9" w:themeColor="background1" w:themeShade="D9"/>
                  </w:tcBorders>
                  <w:shd w:val="clear" w:color="auto" w:fill="auto"/>
                </w:tcPr>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Using govt websites</w:t>
                  </w:r>
                </w:p>
                <w:p w:rsidR="001E6FB8" w:rsidRPr="00E141F1" w:rsidRDefault="001E6FB8" w:rsidP="001E6FB8">
                  <w:pPr>
                    <w:spacing w:before="40" w:after="40" w:line="240" w:lineRule="auto"/>
                    <w:jc w:val="right"/>
                    <w:rPr>
                      <w:rFonts w:cs="Arial"/>
                      <w:snapToGrid w:val="0"/>
                      <w:color w:val="000000"/>
                      <w:sz w:val="18"/>
                      <w:szCs w:val="18"/>
                    </w:rPr>
                  </w:pPr>
                  <w:r w:rsidRPr="00E141F1">
                    <w:rPr>
                      <w:rFonts w:cs="Arial"/>
                      <w:snapToGrid w:val="0"/>
                      <w:color w:val="000000"/>
                      <w:sz w:val="18"/>
                      <w:szCs w:val="18"/>
                    </w:rPr>
                    <w:t>46%</w:t>
                  </w:r>
                </w:p>
              </w:tc>
            </w:tr>
          </w:tbl>
          <w:p w:rsidR="001E6FB8" w:rsidRDefault="001E6FB8" w:rsidP="001E6FB8"/>
        </w:tc>
      </w:tr>
      <w:tr w:rsidR="001E6FB8" w:rsidTr="001E6FB8">
        <w:trPr>
          <w:trHeight w:val="291"/>
        </w:trPr>
        <w:tc>
          <w:tcPr>
            <w:tcW w:w="9645" w:type="dxa"/>
            <w:tcBorders>
              <w:bottom w:val="single" w:sz="2" w:space="0" w:color="505050"/>
            </w:tcBorders>
            <w:shd w:val="clear" w:color="auto" w:fill="auto"/>
          </w:tcPr>
          <w:p w:rsidR="001E6FB8" w:rsidRPr="00E141F1" w:rsidRDefault="001E6FB8" w:rsidP="001E6FB8">
            <w:pPr>
              <w:keepNext/>
              <w:keepLines/>
              <w:spacing w:before="120" w:line="240" w:lineRule="auto"/>
              <w:rPr>
                <w:rFonts w:cs="Arial"/>
                <w:i/>
                <w:sz w:val="16"/>
                <w:szCs w:val="16"/>
              </w:rPr>
            </w:pPr>
            <w:r w:rsidRPr="00E141F1">
              <w:rPr>
                <w:rFonts w:cs="Arial"/>
                <w:i/>
                <w:sz w:val="16"/>
                <w:szCs w:val="16"/>
              </w:rPr>
              <w:t xml:space="preserve">Note: Decimal points which differentiate between some activities are not shown. </w:t>
            </w:r>
          </w:p>
          <w:p w:rsidR="001E6FB8" w:rsidRDefault="001E6FB8" w:rsidP="001E6FB8">
            <w:pPr>
              <w:spacing w:after="60" w:line="240" w:lineRule="auto"/>
            </w:pPr>
            <w:r w:rsidRPr="00E141F1">
              <w:rPr>
                <w:rFonts w:cs="Arial"/>
                <w:i/>
                <w:sz w:val="16"/>
                <w:szCs w:val="16"/>
              </w:rPr>
              <w:t>Source: ACMA-commissioned research, May 2013.</w:t>
            </w:r>
          </w:p>
        </w:tc>
      </w:tr>
    </w:tbl>
    <w:p w:rsidR="001E6FB8" w:rsidRPr="00E141F1" w:rsidRDefault="001E6FB8" w:rsidP="001E6FB8">
      <w:pPr>
        <w:rPr>
          <w:rFonts w:cs="Arial"/>
          <w:snapToGrid w:val="0"/>
        </w:rPr>
      </w:pPr>
    </w:p>
    <w:p w:rsidR="001E6FB8" w:rsidRPr="00E141F1" w:rsidRDefault="001E6FB8" w:rsidP="001E6FB8">
      <w:pPr>
        <w:pStyle w:val="Heading2"/>
      </w:pPr>
      <w:bookmarkStart w:id="643" w:name="_Toc340139730"/>
      <w:bookmarkStart w:id="644" w:name="_Toc371589133"/>
      <w:bookmarkStart w:id="645" w:name="_Toc373149195"/>
      <w:r w:rsidRPr="00E141F1">
        <w:t>Confidence</w:t>
      </w:r>
      <w:bookmarkEnd w:id="643"/>
      <w:bookmarkEnd w:id="644"/>
      <w:bookmarkEnd w:id="645"/>
    </w:p>
    <w:p w:rsidR="001E6FB8" w:rsidRPr="00E141F1" w:rsidRDefault="001E6FB8" w:rsidP="001E6FB8">
      <w:pPr>
        <w:rPr>
          <w:rFonts w:cs="Arial"/>
          <w:snapToGrid w:val="0"/>
        </w:rPr>
      </w:pPr>
      <w:r w:rsidRPr="00E141F1">
        <w:rPr>
          <w:rFonts w:cs="Arial"/>
          <w:snapToGrid w:val="0"/>
        </w:rPr>
        <w:t>Australians are demonstrating an ever-increasing confidence in the digital economy. Research shows a broadening participation in a greater range of online activities, including over mobile devices, an increase in online spending and downloading of greater amounts of data. This in turn reflects an increasing level of comfort with online processes and growing trust in methods of online delivery.</w:t>
      </w:r>
    </w:p>
    <w:p w:rsidR="001E6FB8" w:rsidRPr="00E141F1" w:rsidRDefault="001E6FB8" w:rsidP="001E6FB8">
      <w:pPr>
        <w:rPr>
          <w:rFonts w:cs="Arial"/>
          <w:b/>
          <w:snapToGrid w:val="0"/>
        </w:rPr>
      </w:pPr>
    </w:p>
    <w:p w:rsidR="001E6FB8" w:rsidRPr="00E141F1" w:rsidRDefault="001E6FB8" w:rsidP="001E6FB8">
      <w:pPr>
        <w:pStyle w:val="Heading3"/>
      </w:pPr>
      <w:bookmarkStart w:id="646" w:name="_Toc340139733"/>
      <w:bookmarkStart w:id="647" w:name="_Toc371589134"/>
      <w:bookmarkStart w:id="648" w:name="_Toc373149196"/>
      <w:r w:rsidRPr="00E141F1">
        <w:t>Trust and confidence in the online environment</w:t>
      </w:r>
      <w:bookmarkEnd w:id="646"/>
      <w:bookmarkEnd w:id="647"/>
      <w:bookmarkEnd w:id="648"/>
      <w:r w:rsidRPr="00E141F1">
        <w:t xml:space="preserve"> </w:t>
      </w:r>
    </w:p>
    <w:p w:rsidR="001E6FB8" w:rsidRPr="00E141F1" w:rsidRDefault="001E6FB8" w:rsidP="001E6FB8">
      <w:pPr>
        <w:pStyle w:val="Bodysubheader"/>
        <w:rPr>
          <w:rFonts w:cs="Arial"/>
        </w:rPr>
      </w:pPr>
      <w:bookmarkStart w:id="649" w:name="_Toc339881886"/>
      <w:r w:rsidRPr="00E141F1">
        <w:rPr>
          <w:rFonts w:cs="Arial"/>
        </w:rPr>
        <w:t>Participation in the digital economy</w:t>
      </w:r>
    </w:p>
    <w:p w:rsidR="001E6FB8" w:rsidRPr="00E141F1" w:rsidRDefault="001E6FB8" w:rsidP="001E6FB8">
      <w:pPr>
        <w:rPr>
          <w:rFonts w:cs="Arial"/>
        </w:rPr>
      </w:pPr>
      <w:r w:rsidRPr="00E141F1">
        <w:rPr>
          <w:rFonts w:cs="Arial"/>
        </w:rPr>
        <w:t xml:space="preserve">Digital consumers are gaining confidence in the activities they perform online, as represented by the general increase in type and intensity of activities undertaken online. Facilitated by market factors such as increased availability of higher speed internet services and innovation in internet-enabled consumer devices such as </w:t>
      </w:r>
      <w:proofErr w:type="spellStart"/>
      <w:r w:rsidRPr="00E141F1">
        <w:rPr>
          <w:rFonts w:cs="Arial"/>
        </w:rPr>
        <w:t>smartphones</w:t>
      </w:r>
      <w:proofErr w:type="spellEnd"/>
      <w:r w:rsidRPr="00E141F1">
        <w:rPr>
          <w:rFonts w:cs="Arial"/>
        </w:rPr>
        <w:t xml:space="preserve"> and tablets, online activities are seemingly becoming an integral part of everyday Australian life. </w:t>
      </w:r>
    </w:p>
    <w:p w:rsidR="001E6FB8" w:rsidRPr="00E141F1" w:rsidRDefault="001E6FB8" w:rsidP="001E6FB8">
      <w:pPr>
        <w:rPr>
          <w:rFonts w:cs="Arial"/>
        </w:rPr>
      </w:pPr>
    </w:p>
    <w:p w:rsidR="001E6FB8" w:rsidRPr="00E141F1" w:rsidRDefault="001E6FB8" w:rsidP="001E6FB8">
      <w:pPr>
        <w:spacing w:after="80"/>
        <w:rPr>
          <w:rFonts w:cs="Arial"/>
        </w:rPr>
      </w:pPr>
      <w:r w:rsidRPr="00E141F1">
        <w:rPr>
          <w:rFonts w:cs="Arial"/>
        </w:rPr>
        <w:t>Figure 5.9 illustrates the changes in intensity of online activities between June 2008 and June 2013, with a:</w:t>
      </w:r>
    </w:p>
    <w:p w:rsidR="001E6FB8" w:rsidRPr="00E141F1" w:rsidRDefault="001E6FB8" w:rsidP="001E6FB8">
      <w:pPr>
        <w:pStyle w:val="ListBullet"/>
        <w:rPr>
          <w:rFonts w:cs="Arial"/>
        </w:rPr>
      </w:pPr>
      <w:r w:rsidRPr="00E141F1">
        <w:rPr>
          <w:rFonts w:cs="Arial"/>
        </w:rPr>
        <w:t>31 percentage point increase in the number of people undertaking five or more online activities during June</w:t>
      </w:r>
    </w:p>
    <w:p w:rsidR="001E6FB8" w:rsidRPr="00E141F1" w:rsidRDefault="001E6FB8" w:rsidP="001E6FB8">
      <w:pPr>
        <w:pStyle w:val="ListBullet"/>
        <w:rPr>
          <w:rFonts w:cs="Arial"/>
        </w:rPr>
      </w:pPr>
      <w:r w:rsidRPr="00E141F1">
        <w:rPr>
          <w:rFonts w:cs="Arial"/>
        </w:rPr>
        <w:t>20 percentage point decrease in numbers of people undertaking between one and four online activities during June</w:t>
      </w:r>
    </w:p>
    <w:p w:rsidR="001E6FB8" w:rsidRPr="00E141F1" w:rsidRDefault="001E6FB8" w:rsidP="001E6FB8">
      <w:pPr>
        <w:pStyle w:val="ListBullet"/>
        <w:spacing w:after="240"/>
        <w:rPr>
          <w:rFonts w:cs="Arial"/>
        </w:rPr>
      </w:pPr>
      <w:r w:rsidRPr="00E141F1">
        <w:rPr>
          <w:rFonts w:cs="Arial"/>
        </w:rPr>
        <w:t>10 percentage point decrease in the number of Australian not using the internet during June.</w:t>
      </w:r>
    </w:p>
    <w:tbl>
      <w:tblPr>
        <w:tblW w:w="9356" w:type="dxa"/>
        <w:tblLayout w:type="fixed"/>
        <w:tblCellMar>
          <w:left w:w="0" w:type="dxa"/>
          <w:right w:w="0" w:type="dxa"/>
        </w:tblCellMar>
        <w:tblLook w:val="01E0"/>
      </w:tblPr>
      <w:tblGrid>
        <w:gridCol w:w="9356"/>
      </w:tblGrid>
      <w:tr w:rsidR="001E6FB8" w:rsidRPr="00E141F1" w:rsidTr="001E6FB8">
        <w:trPr>
          <w:trHeight w:val="570"/>
        </w:trPr>
        <w:tc>
          <w:tcPr>
            <w:tcW w:w="9356"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 xml:space="preserve">Figure 5.9 Number of different </w:t>
            </w:r>
            <w:r w:rsidRPr="000B4953">
              <w:t>online</w:t>
            </w:r>
            <w:r w:rsidRPr="00E141F1">
              <w:rPr>
                <w:rFonts w:cs="Arial"/>
              </w:rPr>
              <w:t xml:space="preserve"> activities undertaken during June </w:t>
            </w:r>
          </w:p>
        </w:tc>
      </w:tr>
      <w:tr w:rsidR="001E6FB8" w:rsidRPr="00E141F1" w:rsidTr="001E6FB8">
        <w:trPr>
          <w:trHeight w:val="4812"/>
        </w:trPr>
        <w:tc>
          <w:tcPr>
            <w:tcW w:w="9356" w:type="dxa"/>
            <w:shd w:val="clear" w:color="auto" w:fill="auto"/>
            <w:tcMar>
              <w:left w:w="28" w:type="dxa"/>
            </w:tcMar>
          </w:tcPr>
          <w:p w:rsidR="001E6FB8" w:rsidRPr="00E141F1" w:rsidRDefault="001E6FB8" w:rsidP="001E6FB8">
            <w:pPr>
              <w:rPr>
                <w:rFonts w:cs="Arial"/>
              </w:rPr>
            </w:pPr>
            <w:r w:rsidRPr="00914DF3">
              <w:rPr>
                <w:rFonts w:cs="Arial"/>
                <w:noProof/>
              </w:rPr>
              <w:drawing>
                <wp:inline distT="0" distB="0" distL="0" distR="0">
                  <wp:extent cx="5844208" cy="3170583"/>
                  <wp:effectExtent l="0" t="0" r="0" b="0"/>
                  <wp:docPr id="230"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1E6FB8" w:rsidRPr="00E141F1" w:rsidTr="001E6FB8">
        <w:trPr>
          <w:trHeight w:val="291"/>
        </w:trPr>
        <w:tc>
          <w:tcPr>
            <w:tcW w:w="9356" w:type="dxa"/>
            <w:tcBorders>
              <w:bottom w:val="single" w:sz="2" w:space="0" w:color="505050"/>
            </w:tcBorders>
            <w:shd w:val="clear" w:color="auto" w:fill="auto"/>
          </w:tcPr>
          <w:p w:rsidR="001E6FB8" w:rsidRPr="00E141F1" w:rsidRDefault="001E6FB8" w:rsidP="001E6FB8">
            <w:pPr>
              <w:spacing w:after="60"/>
              <w:rPr>
                <w:rFonts w:cs="Arial"/>
                <w:i/>
                <w:sz w:val="16"/>
                <w:szCs w:val="16"/>
              </w:rPr>
            </w:pPr>
            <w:r w:rsidRPr="00E141F1">
              <w:rPr>
                <w:rFonts w:cs="Arial"/>
                <w:i/>
                <w:sz w:val="16"/>
                <w:szCs w:val="16"/>
              </w:rPr>
              <w:t xml:space="preserve">Source: Roy Morgan Single Source. </w:t>
            </w:r>
          </w:p>
        </w:tc>
      </w:tr>
    </w:tbl>
    <w:p w:rsidR="001E6FB8" w:rsidRPr="00E141F1" w:rsidRDefault="001E6FB8" w:rsidP="001E6FB8">
      <w:pPr>
        <w:rPr>
          <w:rFonts w:cs="Arial"/>
        </w:rPr>
      </w:pPr>
    </w:p>
    <w:p w:rsidR="001E6FB8" w:rsidRPr="00E141F1" w:rsidRDefault="001E6FB8" w:rsidP="001E6FB8">
      <w:pPr>
        <w:spacing w:after="80"/>
        <w:rPr>
          <w:rFonts w:cs="Arial"/>
          <w:snapToGrid w:val="0"/>
          <w:color w:val="000000"/>
        </w:rPr>
      </w:pPr>
      <w:r w:rsidRPr="00E141F1">
        <w:rPr>
          <w:rFonts w:cs="Arial"/>
          <w:snapToGrid w:val="0"/>
          <w:color w:val="000000"/>
        </w:rPr>
        <w:t>While 18</w:t>
      </w:r>
      <w:r>
        <w:rPr>
          <w:rFonts w:cs="Arial"/>
          <w:snapToGrid w:val="0"/>
          <w:color w:val="000000"/>
        </w:rPr>
        <w:t xml:space="preserve"> to 34-year-</w:t>
      </w:r>
      <w:r w:rsidRPr="00E141F1">
        <w:rPr>
          <w:rFonts w:cs="Arial"/>
          <w:snapToGrid w:val="0"/>
          <w:color w:val="000000"/>
        </w:rPr>
        <w:t>olds lead in terms of the number of types of internet activities performed, the increase in the number of activities performed online is not exclusive to the younger age group, with increases occurring across all age grou</w:t>
      </w:r>
      <w:r>
        <w:rPr>
          <w:rFonts w:cs="Arial"/>
          <w:snapToGrid w:val="0"/>
          <w:color w:val="000000"/>
        </w:rPr>
        <w:t>ps from June 2008 to June 2013 (</w:t>
      </w:r>
      <w:r w:rsidRPr="00E141F1">
        <w:rPr>
          <w:rFonts w:cs="Arial"/>
          <w:snapToGrid w:val="0"/>
          <w:color w:val="000000"/>
        </w:rPr>
        <w:t>Figure 5.10</w:t>
      </w:r>
      <w:r>
        <w:rPr>
          <w:rFonts w:cs="Arial"/>
          <w:snapToGrid w:val="0"/>
          <w:color w:val="000000"/>
        </w:rPr>
        <w:t>)</w:t>
      </w:r>
      <w:r w:rsidRPr="00E141F1">
        <w:rPr>
          <w:rFonts w:cs="Arial"/>
          <w:snapToGrid w:val="0"/>
          <w:color w:val="000000"/>
        </w:rPr>
        <w:t xml:space="preserve">. In particular: </w:t>
      </w:r>
    </w:p>
    <w:p w:rsidR="001E6FB8" w:rsidRPr="00E141F1" w:rsidRDefault="001E6FB8" w:rsidP="001E6FB8">
      <w:pPr>
        <w:pStyle w:val="ListBullet"/>
        <w:rPr>
          <w:rFonts w:cs="Arial"/>
        </w:rPr>
      </w:pPr>
      <w:r>
        <w:rPr>
          <w:rFonts w:cs="Arial"/>
        </w:rPr>
        <w:t>T</w:t>
      </w:r>
      <w:r w:rsidRPr="00E141F1">
        <w:rPr>
          <w:rFonts w:cs="Arial"/>
        </w:rPr>
        <w:t>he largest increases occurred in the groups performing six or more online activities</w:t>
      </w:r>
      <w:r>
        <w:rPr>
          <w:rFonts w:cs="Arial"/>
        </w:rPr>
        <w:t>.</w:t>
      </w:r>
    </w:p>
    <w:p w:rsidR="001E6FB8" w:rsidRPr="00E141F1" w:rsidRDefault="001E6FB8" w:rsidP="001E6FB8">
      <w:pPr>
        <w:pStyle w:val="ListBullet"/>
        <w:rPr>
          <w:rFonts w:cs="Arial"/>
        </w:rPr>
      </w:pPr>
      <w:r>
        <w:rPr>
          <w:rFonts w:cs="Arial"/>
        </w:rPr>
        <w:t>I</w:t>
      </w:r>
      <w:r w:rsidRPr="00E141F1">
        <w:rPr>
          <w:rFonts w:cs="Arial"/>
        </w:rPr>
        <w:t>n 2008, eight per cent of those aged 18–24 performed six or more types of online activities, with this percentage decreasing across the age groups to two per cent for those aged 65 and over. In 2013, 45 per cent of those aged 18–24 performed six or more types of</w:t>
      </w:r>
      <w:r>
        <w:rPr>
          <w:rFonts w:cs="Arial"/>
        </w:rPr>
        <w:t xml:space="preserve"> online activities, with the 25 to 34-year-</w:t>
      </w:r>
      <w:r w:rsidRPr="00E141F1">
        <w:rPr>
          <w:rFonts w:cs="Arial"/>
        </w:rPr>
        <w:t>olds surpassing this at 52</w:t>
      </w:r>
      <w:r>
        <w:rPr>
          <w:rFonts w:cs="Arial"/>
        </w:rPr>
        <w:t> </w:t>
      </w:r>
      <w:r w:rsidRPr="00E141F1">
        <w:rPr>
          <w:rFonts w:cs="Arial"/>
        </w:rPr>
        <w:t>per cent, and those aged 65 and over increasing to 16 per cent</w:t>
      </w:r>
      <w:r>
        <w:rPr>
          <w:rFonts w:cs="Arial"/>
        </w:rPr>
        <w:t>.</w:t>
      </w:r>
    </w:p>
    <w:p w:rsidR="001E6FB8" w:rsidRPr="00E141F1" w:rsidRDefault="001E6FB8" w:rsidP="001E6FB8">
      <w:pPr>
        <w:pStyle w:val="ListBullet"/>
        <w:spacing w:after="240"/>
        <w:rPr>
          <w:rFonts w:cs="Arial"/>
          <w:snapToGrid w:val="0"/>
          <w:color w:val="000000"/>
        </w:rPr>
      </w:pPr>
      <w:r>
        <w:rPr>
          <w:rFonts w:cs="Arial"/>
        </w:rPr>
        <w:t>T</w:t>
      </w:r>
      <w:r w:rsidRPr="00E141F1">
        <w:rPr>
          <w:rFonts w:cs="Arial"/>
        </w:rPr>
        <w:t>he average number of on</w:t>
      </w:r>
      <w:r>
        <w:rPr>
          <w:rFonts w:cs="Arial"/>
        </w:rPr>
        <w:t>line activities performed by 18 to 34-year-</w:t>
      </w:r>
      <w:r w:rsidRPr="00E141F1">
        <w:rPr>
          <w:rFonts w:cs="Arial"/>
        </w:rPr>
        <w:t>olds in 2008 was 3.5, increasing to 4.8 in 2013. The average number of online activities performed by those aged 65 and over increased from 2.5 to 3.5.</w:t>
      </w:r>
    </w:p>
    <w:tbl>
      <w:tblPr>
        <w:tblW w:w="8505" w:type="dxa"/>
        <w:tblLayout w:type="fixed"/>
        <w:tblCellMar>
          <w:left w:w="0" w:type="dxa"/>
          <w:right w:w="0" w:type="dxa"/>
        </w:tblCellMar>
        <w:tblLook w:val="01E0"/>
      </w:tblPr>
      <w:tblGrid>
        <w:gridCol w:w="8505"/>
      </w:tblGrid>
      <w:tr w:rsidR="001E6FB8" w:rsidRPr="00E141F1" w:rsidTr="001E6FB8">
        <w:trPr>
          <w:trHeight w:val="499"/>
        </w:trPr>
        <w:tc>
          <w:tcPr>
            <w:tcW w:w="8505" w:type="dxa"/>
            <w:tcBorders>
              <w:top w:val="single" w:sz="2" w:space="0" w:color="505050"/>
            </w:tcBorders>
            <w:shd w:val="clear" w:color="auto" w:fill="auto"/>
            <w:vAlign w:val="center"/>
          </w:tcPr>
          <w:p w:rsidR="001E6FB8" w:rsidRPr="00E141F1" w:rsidRDefault="001E6FB8" w:rsidP="001E6FB8">
            <w:pPr>
              <w:pStyle w:val="Caption"/>
              <w:keepNext/>
              <w:rPr>
                <w:rFonts w:cs="Arial"/>
              </w:rPr>
            </w:pPr>
            <w:r w:rsidRPr="00E141F1">
              <w:rPr>
                <w:rFonts w:cs="Arial"/>
              </w:rPr>
              <w:t xml:space="preserve">Figure 5.10 Intensity of online </w:t>
            </w:r>
            <w:r w:rsidRPr="000B4953">
              <w:t>activities</w:t>
            </w:r>
            <w:r w:rsidRPr="00E141F1">
              <w:rPr>
                <w:rFonts w:cs="Arial"/>
              </w:rPr>
              <w:t xml:space="preserve"> by age</w:t>
            </w:r>
          </w:p>
        </w:tc>
      </w:tr>
      <w:tr w:rsidR="001E6FB8" w:rsidRPr="00E141F1" w:rsidTr="001E6FB8">
        <w:trPr>
          <w:trHeight w:val="5449"/>
        </w:trPr>
        <w:tc>
          <w:tcPr>
            <w:tcW w:w="8505" w:type="dxa"/>
            <w:shd w:val="clear" w:color="auto" w:fill="auto"/>
          </w:tcPr>
          <w:p w:rsidR="001E6FB8" w:rsidRPr="00E141F1" w:rsidRDefault="001E6FB8" w:rsidP="001E6FB8">
            <w:pPr>
              <w:keepNext/>
              <w:keepLines/>
              <w:rPr>
                <w:rFonts w:cs="Arial"/>
                <w:i/>
                <w:sz w:val="16"/>
                <w:szCs w:val="16"/>
              </w:rPr>
            </w:pPr>
            <w:r>
              <w:rPr>
                <w:noProof/>
              </w:rPr>
              <w:drawing>
                <wp:inline distT="0" distB="0" distL="0" distR="0">
                  <wp:extent cx="4895850" cy="6994070"/>
                  <wp:effectExtent l="19050" t="0" r="0" b="0"/>
                  <wp:docPr id="34" name="Picture 34" descr="C:\Users\bduhigg\AppData\Local\Microsoft\Windows\Temporary Internet Files\Content.Word\Figure 5.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duhigg\AppData\Local\Microsoft\Windows\Temporary Internet Files\Content.Word\Figure 5.10.emf"/>
                          <pic:cNvPicPr>
                            <a:picLocks noChangeAspect="1" noChangeArrowheads="1"/>
                          </pic:cNvPicPr>
                        </pic:nvPicPr>
                        <pic:blipFill>
                          <a:blip r:embed="rId93" cstate="print"/>
                          <a:srcRect l="1011" t="43729" r="16405" b="44298"/>
                          <a:stretch>
                            <a:fillRect/>
                          </a:stretch>
                        </pic:blipFill>
                        <pic:spPr bwMode="auto">
                          <a:xfrm>
                            <a:off x="0" y="0"/>
                            <a:ext cx="4898801" cy="6998286"/>
                          </a:xfrm>
                          <a:prstGeom prst="rect">
                            <a:avLst/>
                          </a:prstGeom>
                          <a:noFill/>
                          <a:ln w="9525">
                            <a:noFill/>
                            <a:miter lim="800000"/>
                            <a:headEnd/>
                            <a:tailEnd/>
                          </a:ln>
                        </pic:spPr>
                      </pic:pic>
                    </a:graphicData>
                  </a:graphic>
                </wp:inline>
              </w:drawing>
            </w:r>
          </w:p>
        </w:tc>
      </w:tr>
      <w:tr w:rsidR="001E6FB8" w:rsidRPr="00E141F1" w:rsidTr="001E6FB8">
        <w:trPr>
          <w:trHeight w:val="450"/>
        </w:trPr>
        <w:tc>
          <w:tcPr>
            <w:tcW w:w="8505" w:type="dxa"/>
            <w:tcBorders>
              <w:bottom w:val="single" w:sz="2" w:space="0" w:color="505050"/>
            </w:tcBorders>
            <w:shd w:val="clear" w:color="auto" w:fill="auto"/>
          </w:tcPr>
          <w:p w:rsidR="001E6FB8" w:rsidRPr="00E141F1" w:rsidRDefault="001E6FB8" w:rsidP="001E6FB8">
            <w:pPr>
              <w:keepNext/>
              <w:keepLines/>
              <w:spacing w:line="240" w:lineRule="auto"/>
              <w:rPr>
                <w:rFonts w:cs="Arial"/>
                <w:i/>
                <w:sz w:val="16"/>
                <w:szCs w:val="16"/>
              </w:rPr>
            </w:pPr>
            <w:r w:rsidRPr="00E141F1">
              <w:rPr>
                <w:rFonts w:cs="Arial"/>
                <w:i/>
                <w:sz w:val="16"/>
                <w:szCs w:val="16"/>
              </w:rPr>
              <w:t xml:space="preserve">Note: Percentages ≤2 are not marked in this figure. </w:t>
            </w:r>
          </w:p>
          <w:p w:rsidR="001E6FB8" w:rsidRPr="00E141F1" w:rsidRDefault="001E6FB8" w:rsidP="001E6FB8">
            <w:pPr>
              <w:keepNext/>
              <w:keepLines/>
              <w:spacing w:after="60" w:line="240" w:lineRule="auto"/>
              <w:rPr>
                <w:rFonts w:cs="Arial"/>
              </w:rPr>
            </w:pPr>
            <w:r w:rsidRPr="00E141F1">
              <w:rPr>
                <w:rFonts w:cs="Arial"/>
                <w:i/>
                <w:sz w:val="16"/>
                <w:szCs w:val="16"/>
              </w:rPr>
              <w:t>Source: Roy Morgan Single Source.</w:t>
            </w:r>
          </w:p>
        </w:tc>
      </w:tr>
    </w:tbl>
    <w:p w:rsidR="001E6FB8" w:rsidRPr="00E141F1" w:rsidRDefault="001E6FB8" w:rsidP="001E6FB8">
      <w:pPr>
        <w:rPr>
          <w:rFonts w:cs="Arial"/>
        </w:rPr>
      </w:pPr>
    </w:p>
    <w:p w:rsidR="001E6FB8" w:rsidRPr="00E141F1" w:rsidRDefault="001E6FB8" w:rsidP="001E6FB8">
      <w:pPr>
        <w:pStyle w:val="Bodysubheader"/>
        <w:rPr>
          <w:rFonts w:cs="Arial"/>
        </w:rPr>
      </w:pPr>
      <w:r w:rsidRPr="00E141F1">
        <w:rPr>
          <w:rFonts w:cs="Arial"/>
        </w:rPr>
        <w:t>Activities performed online via mobile phones and computers</w:t>
      </w:r>
    </w:p>
    <w:p w:rsidR="001E6FB8" w:rsidRPr="00E141F1" w:rsidRDefault="001E6FB8" w:rsidP="001E6FB8">
      <w:pPr>
        <w:spacing w:after="80"/>
        <w:rPr>
          <w:rFonts w:cs="Arial"/>
        </w:rPr>
      </w:pPr>
      <w:r w:rsidRPr="00E141F1">
        <w:rPr>
          <w:rFonts w:cs="Arial"/>
        </w:rPr>
        <w:t xml:space="preserve">Online participation has changed significantly during the period June 2008 to June 2013. Many more Australians are using their mobile phones to access online content, with the difference between the level of online activities being performed on computers and on mobile phones reducing (Figure 5.11). In proportional terms: </w:t>
      </w:r>
    </w:p>
    <w:p w:rsidR="001E6FB8" w:rsidRPr="00E141F1" w:rsidRDefault="001E6FB8" w:rsidP="001E6FB8">
      <w:pPr>
        <w:pStyle w:val="ListBullet"/>
        <w:rPr>
          <w:rFonts w:cs="Arial"/>
        </w:rPr>
      </w:pPr>
      <w:r w:rsidRPr="00E141F1">
        <w:rPr>
          <w:rFonts w:cs="Arial"/>
        </w:rPr>
        <w:t>communications activities and research and information activities continue to remain the top two online activities performed on mobile phones and computers</w:t>
      </w:r>
    </w:p>
    <w:p w:rsidR="001E6FB8" w:rsidRPr="00E141F1" w:rsidRDefault="001E6FB8" w:rsidP="001E6FB8">
      <w:pPr>
        <w:pStyle w:val="ListBullet"/>
        <w:rPr>
          <w:rFonts w:cs="Arial"/>
        </w:rPr>
      </w:pPr>
      <w:r w:rsidRPr="00E141F1">
        <w:rPr>
          <w:rFonts w:cs="Arial"/>
        </w:rPr>
        <w:t>while use of mobile phones for online banking and financial transactions and for shopping has increased significantly over the period, the level of activity is still considerably lower than that being undertaken online via computers</w:t>
      </w:r>
    </w:p>
    <w:p w:rsidR="001E6FB8" w:rsidRPr="00E141F1" w:rsidRDefault="001E6FB8" w:rsidP="001E6FB8">
      <w:pPr>
        <w:pStyle w:val="ListBullet"/>
        <w:rPr>
          <w:rFonts w:cs="Arial"/>
        </w:rPr>
      </w:pPr>
      <w:r w:rsidRPr="00E141F1">
        <w:rPr>
          <w:rFonts w:cs="Arial"/>
        </w:rPr>
        <w:t>blogging and online community activities performed via mobile phones have surpassed those performed on computers</w:t>
      </w:r>
    </w:p>
    <w:p w:rsidR="001E6FB8" w:rsidRPr="00E141F1" w:rsidRDefault="001E6FB8" w:rsidP="001E6FB8">
      <w:pPr>
        <w:pStyle w:val="ListBullet"/>
        <w:spacing w:after="240"/>
        <w:rPr>
          <w:rFonts w:cs="Arial"/>
        </w:rPr>
      </w:pPr>
      <w:r w:rsidRPr="00E141F1">
        <w:rPr>
          <w:rFonts w:cs="Arial"/>
        </w:rPr>
        <w:t xml:space="preserve">use of mobile phones to go online for entertainment and amusement purposes has increased significantly to now be virtually as prevalent as using computers. </w:t>
      </w:r>
    </w:p>
    <w:tbl>
      <w:tblPr>
        <w:tblW w:w="9781" w:type="dxa"/>
        <w:tblLayout w:type="fixed"/>
        <w:tblCellMar>
          <w:left w:w="0" w:type="dxa"/>
          <w:right w:w="0" w:type="dxa"/>
        </w:tblCellMar>
        <w:tblLook w:val="01E0"/>
      </w:tblPr>
      <w:tblGrid>
        <w:gridCol w:w="9781"/>
      </w:tblGrid>
      <w:tr w:rsidR="001E6FB8" w:rsidRPr="00E141F1" w:rsidTr="001E6FB8">
        <w:trPr>
          <w:trHeight w:val="570"/>
        </w:trPr>
        <w:tc>
          <w:tcPr>
            <w:tcW w:w="9781" w:type="dxa"/>
            <w:tcBorders>
              <w:top w:val="single" w:sz="2" w:space="0" w:color="505050"/>
            </w:tcBorders>
            <w:shd w:val="clear" w:color="auto" w:fill="auto"/>
            <w:vAlign w:val="center"/>
          </w:tcPr>
          <w:p w:rsidR="001E6FB8" w:rsidRPr="00E141F1" w:rsidRDefault="001E6FB8" w:rsidP="001E6FB8">
            <w:pPr>
              <w:pStyle w:val="Caption"/>
              <w:rPr>
                <w:rFonts w:cs="Arial"/>
              </w:rPr>
            </w:pPr>
            <w:bookmarkStart w:id="650" w:name="_Toc340139734"/>
            <w:bookmarkStart w:id="651" w:name="_Toc271555791"/>
            <w:bookmarkStart w:id="652" w:name="_Toc277159498"/>
            <w:r w:rsidRPr="00E141F1">
              <w:rPr>
                <w:rFonts w:cs="Arial"/>
              </w:rPr>
              <w:t xml:space="preserve">Figure 5.11 Online </w:t>
            </w:r>
            <w:r w:rsidRPr="000B4953">
              <w:t>activities</w:t>
            </w:r>
            <w:r w:rsidRPr="00E141F1">
              <w:rPr>
                <w:rFonts w:cs="Arial"/>
              </w:rPr>
              <w:t xml:space="preserve"> undertaken by device </w:t>
            </w:r>
          </w:p>
        </w:tc>
      </w:tr>
      <w:tr w:rsidR="001E6FB8" w:rsidRPr="00E141F1" w:rsidTr="001E6FB8">
        <w:trPr>
          <w:trHeight w:val="3086"/>
        </w:trPr>
        <w:tc>
          <w:tcPr>
            <w:tcW w:w="9781" w:type="dxa"/>
            <w:shd w:val="clear" w:color="auto" w:fill="auto"/>
            <w:tcMar>
              <w:left w:w="28" w:type="dxa"/>
            </w:tcMar>
          </w:tcPr>
          <w:tbl>
            <w:tblPr>
              <w:tblStyle w:val="TableGrid"/>
              <w:tblW w:w="9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59"/>
              <w:gridCol w:w="248"/>
              <w:gridCol w:w="2900"/>
              <w:gridCol w:w="219"/>
              <w:gridCol w:w="3544"/>
            </w:tblGrid>
            <w:tr w:rsidR="001E6FB8" w:rsidRPr="00E141F1" w:rsidTr="001E6FB8">
              <w:trPr>
                <w:trHeight w:val="215"/>
              </w:trPr>
              <w:tc>
                <w:tcPr>
                  <w:tcW w:w="2807" w:type="dxa"/>
                  <w:gridSpan w:val="2"/>
                </w:tcPr>
                <w:p w:rsidR="001E6FB8" w:rsidRPr="00E141F1" w:rsidRDefault="001E6FB8" w:rsidP="001E6FB8">
                  <w:pPr>
                    <w:rPr>
                      <w:rFonts w:cs="Arial"/>
                      <w:sz w:val="18"/>
                      <w:szCs w:val="18"/>
                    </w:rPr>
                  </w:pPr>
                </w:p>
              </w:tc>
              <w:tc>
                <w:tcPr>
                  <w:tcW w:w="3119" w:type="dxa"/>
                  <w:gridSpan w:val="2"/>
                </w:tcPr>
                <w:p w:rsidR="001E6FB8" w:rsidRPr="00E141F1" w:rsidRDefault="001E6FB8" w:rsidP="001E6FB8">
                  <w:pPr>
                    <w:rPr>
                      <w:rFonts w:cs="Arial"/>
                      <w:sz w:val="18"/>
                      <w:szCs w:val="18"/>
                    </w:rPr>
                  </w:pPr>
                  <w:r w:rsidRPr="00E141F1">
                    <w:rPr>
                      <w:rFonts w:cs="Arial"/>
                      <w:sz w:val="18"/>
                      <w:szCs w:val="18"/>
                    </w:rPr>
                    <w:t>June 2008</w:t>
                  </w:r>
                </w:p>
              </w:tc>
              <w:tc>
                <w:tcPr>
                  <w:tcW w:w="3544" w:type="dxa"/>
                </w:tcPr>
                <w:p w:rsidR="001E6FB8" w:rsidRPr="00E141F1" w:rsidRDefault="001E6FB8" w:rsidP="001E6FB8">
                  <w:pPr>
                    <w:rPr>
                      <w:rFonts w:cs="Arial"/>
                      <w:sz w:val="18"/>
                      <w:szCs w:val="18"/>
                    </w:rPr>
                  </w:pPr>
                  <w:r w:rsidRPr="00E141F1">
                    <w:rPr>
                      <w:rFonts w:cs="Arial"/>
                      <w:sz w:val="18"/>
                      <w:szCs w:val="18"/>
                    </w:rPr>
                    <w:t>June 2013</w:t>
                  </w:r>
                </w:p>
              </w:tc>
            </w:tr>
            <w:tr w:rsidR="001E6FB8" w:rsidRPr="00E141F1" w:rsidTr="001E6FB8">
              <w:trPr>
                <w:trHeight w:val="3731"/>
              </w:trPr>
              <w:tc>
                <w:tcPr>
                  <w:tcW w:w="2559" w:type="dxa"/>
                </w:tcPr>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r w:rsidRPr="00E141F1">
                    <w:rPr>
                      <w:rFonts w:cs="Arial"/>
                      <w:sz w:val="18"/>
                      <w:szCs w:val="18"/>
                    </w:rPr>
                    <w:t>Communication (email/IM/VoIP)</w:t>
                  </w: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r w:rsidRPr="00E141F1">
                    <w:rPr>
                      <w:rFonts w:cs="Arial"/>
                      <w:sz w:val="18"/>
                      <w:szCs w:val="18"/>
                    </w:rPr>
                    <w:t xml:space="preserve">Research and </w:t>
                  </w:r>
                  <w:r w:rsidRPr="00E141F1">
                    <w:rPr>
                      <w:rFonts w:cs="Arial"/>
                      <w:sz w:val="18"/>
                      <w:szCs w:val="18"/>
                    </w:rPr>
                    <w:br/>
                    <w:t>information</w:t>
                  </w:r>
                  <w:r>
                    <w:rPr>
                      <w:rFonts w:cs="Arial"/>
                      <w:sz w:val="18"/>
                      <w:szCs w:val="18"/>
                    </w:rPr>
                    <w:t xml:space="preserve"> </w:t>
                  </w: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r w:rsidRPr="00E141F1">
                    <w:rPr>
                      <w:rFonts w:cs="Arial"/>
                      <w:sz w:val="18"/>
                      <w:szCs w:val="18"/>
                    </w:rPr>
                    <w:t xml:space="preserve">General browsing/surfing </w:t>
                  </w: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r w:rsidRPr="00E141F1">
                    <w:rPr>
                      <w:rFonts w:cs="Arial"/>
                      <w:sz w:val="18"/>
                      <w:szCs w:val="18"/>
                    </w:rPr>
                    <w:t>Banking and finance</w:t>
                  </w:r>
                  <w:r>
                    <w:rPr>
                      <w:rFonts w:cs="Arial"/>
                      <w:sz w:val="18"/>
                      <w:szCs w:val="18"/>
                    </w:rPr>
                    <w:t>—</w:t>
                  </w:r>
                  <w:r w:rsidRPr="00E141F1">
                    <w:rPr>
                      <w:rFonts w:cs="Arial"/>
                      <w:sz w:val="18"/>
                      <w:szCs w:val="18"/>
                    </w:rPr>
                    <w:t>transactions</w:t>
                  </w: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rPr>
                      <w:rFonts w:cs="Arial"/>
                      <w:sz w:val="18"/>
                      <w:szCs w:val="18"/>
                    </w:rPr>
                  </w:pPr>
                </w:p>
                <w:p w:rsidR="001E6FB8" w:rsidRPr="00E141F1" w:rsidRDefault="001E6FB8" w:rsidP="001E6FB8">
                  <w:pPr>
                    <w:spacing w:line="240" w:lineRule="auto"/>
                    <w:jc w:val="right"/>
                    <w:rPr>
                      <w:rFonts w:cs="Arial"/>
                      <w:sz w:val="18"/>
                      <w:szCs w:val="18"/>
                    </w:rPr>
                  </w:pPr>
                  <w:r w:rsidRPr="00E141F1">
                    <w:rPr>
                      <w:rFonts w:cs="Arial"/>
                      <w:sz w:val="18"/>
                      <w:szCs w:val="18"/>
                    </w:rPr>
                    <w:t>Banking and finance</w:t>
                  </w:r>
                  <w:r>
                    <w:rPr>
                      <w:rFonts w:cs="Arial"/>
                      <w:sz w:val="18"/>
                      <w:szCs w:val="18"/>
                    </w:rPr>
                    <w:t>—</w:t>
                  </w:r>
                  <w:r w:rsidRPr="00E141F1">
                    <w:rPr>
                      <w:rFonts w:cs="Arial"/>
                      <w:sz w:val="18"/>
                      <w:szCs w:val="18"/>
                    </w:rPr>
                    <w:br/>
                    <w:t>non transactional</w:t>
                  </w:r>
                  <w:r w:rsidRPr="00E141F1">
                    <w:rPr>
                      <w:rFonts w:cs="Arial"/>
                      <w:i/>
                      <w:sz w:val="18"/>
                      <w:szCs w:val="18"/>
                    </w:rPr>
                    <w:t>†</w:t>
                  </w: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r w:rsidRPr="00E141F1">
                    <w:rPr>
                      <w:rFonts w:cs="Arial"/>
                      <w:sz w:val="18"/>
                      <w:szCs w:val="18"/>
                    </w:rPr>
                    <w:t>Entertainment and amusement</w:t>
                  </w: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r w:rsidRPr="00E141F1">
                    <w:rPr>
                      <w:rFonts w:cs="Arial"/>
                      <w:sz w:val="18"/>
                      <w:szCs w:val="18"/>
                    </w:rPr>
                    <w:t>Buying/selling/shopping</w:t>
                  </w:r>
                  <w:r>
                    <w:rPr>
                      <w:rFonts w:cs="Arial"/>
                      <w:sz w:val="18"/>
                      <w:szCs w:val="18"/>
                    </w:rPr>
                    <w:t>—</w:t>
                  </w:r>
                  <w:r w:rsidRPr="00E141F1">
                    <w:rPr>
                      <w:rFonts w:cs="Arial"/>
                      <w:sz w:val="18"/>
                      <w:szCs w:val="18"/>
                    </w:rPr>
                    <w:br/>
                    <w:t>transactions</w:t>
                  </w: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r w:rsidRPr="00E141F1">
                    <w:rPr>
                      <w:rFonts w:cs="Arial"/>
                      <w:sz w:val="18"/>
                      <w:szCs w:val="18"/>
                    </w:rPr>
                    <w:t>Buying/selling/shopping</w:t>
                  </w:r>
                  <w:r>
                    <w:rPr>
                      <w:rFonts w:cs="Arial"/>
                      <w:sz w:val="18"/>
                      <w:szCs w:val="18"/>
                    </w:rPr>
                    <w:t>—</w:t>
                  </w:r>
                  <w:r>
                    <w:rPr>
                      <w:rFonts w:cs="Arial"/>
                      <w:sz w:val="18"/>
                      <w:szCs w:val="18"/>
                    </w:rPr>
                    <w:br/>
                    <w:t>non-</w:t>
                  </w:r>
                  <w:r w:rsidRPr="00E141F1">
                    <w:rPr>
                      <w:rFonts w:cs="Arial"/>
                      <w:sz w:val="18"/>
                      <w:szCs w:val="18"/>
                    </w:rPr>
                    <w:t>transactional</w:t>
                  </w:r>
                  <w:r w:rsidRPr="00E141F1">
                    <w:rPr>
                      <w:rFonts w:cs="Arial"/>
                      <w:sz w:val="18"/>
                      <w:szCs w:val="18"/>
                      <w:vertAlign w:val="superscript"/>
                    </w:rPr>
                    <w:t>§</w:t>
                  </w: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p>
                <w:p w:rsidR="001E6FB8" w:rsidRPr="00E141F1" w:rsidRDefault="001E6FB8" w:rsidP="001E6FB8">
                  <w:pPr>
                    <w:spacing w:line="240" w:lineRule="auto"/>
                    <w:jc w:val="right"/>
                    <w:rPr>
                      <w:rFonts w:cs="Arial"/>
                      <w:sz w:val="18"/>
                      <w:szCs w:val="18"/>
                    </w:rPr>
                  </w:pPr>
                  <w:r w:rsidRPr="00E141F1">
                    <w:rPr>
                      <w:rFonts w:cs="Arial"/>
                      <w:sz w:val="18"/>
                      <w:szCs w:val="18"/>
                    </w:rPr>
                    <w:t>Blogs and online communities</w:t>
                  </w:r>
                </w:p>
              </w:tc>
              <w:tc>
                <w:tcPr>
                  <w:tcW w:w="3148" w:type="dxa"/>
                  <w:gridSpan w:val="2"/>
                </w:tcPr>
                <w:p w:rsidR="001E6FB8" w:rsidRPr="00E141F1" w:rsidRDefault="001E6FB8" w:rsidP="001E6FB8">
                  <w:pPr>
                    <w:rPr>
                      <w:rFonts w:cs="Arial"/>
                      <w:sz w:val="18"/>
                      <w:szCs w:val="18"/>
                    </w:rPr>
                  </w:pPr>
                  <w:r w:rsidRPr="00A34E69">
                    <w:rPr>
                      <w:rFonts w:cs="Arial"/>
                      <w:noProof/>
                      <w:sz w:val="18"/>
                      <w:szCs w:val="18"/>
                    </w:rPr>
                    <w:drawing>
                      <wp:inline distT="0" distB="0" distL="0" distR="0">
                        <wp:extent cx="1888435" cy="5754756"/>
                        <wp:effectExtent l="0" t="0" r="0" b="0"/>
                        <wp:docPr id="248" name="Chart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421002" w:rsidRPr="00421002">
                    <w:rPr>
                      <w:rFonts w:cs="Arial"/>
                      <w:noProof/>
                      <w:sz w:val="18"/>
                      <w:szCs w:val="18"/>
                      <w:lang w:val="en-US" w:eastAsia="zh-TW"/>
                    </w:rPr>
                    <w:pict>
                      <v:shape id="_x0000_s1030" type="#_x0000_t202" style="position:absolute;margin-left:6.05pt;margin-top:200.75pt;width:41.75pt;height:24.5pt;z-index:251667456;mso-height-percent:200;mso-position-horizontal-relative:text;mso-position-vertical-relative:text;mso-height-percent:200;mso-width-relative:margin;mso-height-relative:margin" stroked="f">
                        <v:textbox style="mso-next-textbox:#_x0000_s1030;mso-fit-shape-to-text:t">
                          <w:txbxContent>
                            <w:p w:rsidR="00E41F33" w:rsidRDefault="00E41F33" w:rsidP="001E6FB8">
                              <w:r>
                                <w:t>— *</w:t>
                              </w:r>
                            </w:p>
                          </w:txbxContent>
                        </v:textbox>
                      </v:shape>
                    </w:pict>
                  </w:r>
                </w:p>
              </w:tc>
              <w:tc>
                <w:tcPr>
                  <w:tcW w:w="3763" w:type="dxa"/>
                  <w:gridSpan w:val="2"/>
                </w:tcPr>
                <w:p w:rsidR="001E6FB8" w:rsidRPr="00E141F1" w:rsidRDefault="001E6FB8" w:rsidP="001E6FB8">
                  <w:pPr>
                    <w:rPr>
                      <w:rFonts w:cs="Arial"/>
                      <w:sz w:val="18"/>
                      <w:szCs w:val="18"/>
                    </w:rPr>
                  </w:pPr>
                  <w:r w:rsidRPr="00A34E69">
                    <w:rPr>
                      <w:rFonts w:cs="Arial"/>
                      <w:noProof/>
                    </w:rPr>
                    <w:drawing>
                      <wp:inline distT="0" distB="0" distL="0" distR="0">
                        <wp:extent cx="2117035" cy="5754756"/>
                        <wp:effectExtent l="0" t="0" r="0" b="0"/>
                        <wp:docPr id="251" name="Chart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bl>
          <w:p w:rsidR="001E6FB8" w:rsidRPr="00E141F1" w:rsidRDefault="001E6FB8" w:rsidP="001E6FB8">
            <w:pPr>
              <w:rPr>
                <w:rFonts w:cs="Arial"/>
              </w:rPr>
            </w:pPr>
          </w:p>
        </w:tc>
      </w:tr>
      <w:tr w:rsidR="001E6FB8" w:rsidRPr="00E141F1" w:rsidTr="001E6FB8">
        <w:trPr>
          <w:trHeight w:val="291"/>
        </w:trPr>
        <w:tc>
          <w:tcPr>
            <w:tcW w:w="9781" w:type="dxa"/>
            <w:tcBorders>
              <w:bottom w:val="single" w:sz="2" w:space="0" w:color="505050"/>
            </w:tcBorders>
            <w:shd w:val="clear" w:color="auto" w:fill="auto"/>
          </w:tcPr>
          <w:p w:rsidR="001E6FB8" w:rsidRPr="00E141F1" w:rsidRDefault="001E6FB8" w:rsidP="001E6FB8">
            <w:pPr>
              <w:jc w:val="center"/>
              <w:rPr>
                <w:rFonts w:cs="Arial"/>
                <w:sz w:val="18"/>
                <w:szCs w:val="18"/>
              </w:rPr>
            </w:pPr>
            <w:r w:rsidRPr="00E141F1">
              <w:rPr>
                <w:rFonts w:cs="Arial"/>
                <w:sz w:val="18"/>
                <w:szCs w:val="18"/>
              </w:rPr>
              <w:t>% of people using a device to access the internet</w:t>
            </w:r>
          </w:p>
          <w:p w:rsidR="001E6FB8" w:rsidRPr="00E141F1" w:rsidRDefault="001E6FB8" w:rsidP="001E6FB8">
            <w:pPr>
              <w:keepNext/>
              <w:keepLines/>
              <w:spacing w:before="240" w:line="240" w:lineRule="auto"/>
              <w:rPr>
                <w:rFonts w:cs="Arial"/>
                <w:i/>
                <w:sz w:val="16"/>
                <w:szCs w:val="16"/>
              </w:rPr>
            </w:pPr>
            <w:r>
              <w:rPr>
                <w:rFonts w:cs="Arial"/>
                <w:i/>
                <w:sz w:val="16"/>
                <w:szCs w:val="16"/>
              </w:rPr>
              <w:t>*</w:t>
            </w:r>
            <w:r w:rsidRPr="00E141F1">
              <w:rPr>
                <w:rFonts w:cs="Arial"/>
                <w:i/>
                <w:sz w:val="16"/>
                <w:szCs w:val="16"/>
              </w:rPr>
              <w:t xml:space="preserve">Data not available prior to October 2010. </w:t>
            </w:r>
          </w:p>
          <w:p w:rsidR="001E6FB8" w:rsidRPr="00E141F1" w:rsidRDefault="001E6FB8" w:rsidP="001E6FB8">
            <w:pPr>
              <w:keepNext/>
              <w:keepLines/>
              <w:spacing w:line="240" w:lineRule="auto"/>
              <w:rPr>
                <w:rFonts w:cs="Arial"/>
                <w:i/>
                <w:sz w:val="16"/>
                <w:szCs w:val="16"/>
              </w:rPr>
            </w:pPr>
            <w:r w:rsidRPr="008A4E9C">
              <w:rPr>
                <w:rFonts w:cs="Arial"/>
                <w:i/>
                <w:sz w:val="16"/>
                <w:szCs w:val="16"/>
                <w:vertAlign w:val="superscript"/>
              </w:rPr>
              <w:t>†</w:t>
            </w:r>
            <w:r w:rsidRPr="00E141F1">
              <w:rPr>
                <w:rFonts w:cs="Arial"/>
                <w:i/>
                <w:sz w:val="16"/>
                <w:szCs w:val="16"/>
              </w:rPr>
              <w:t>Includes checking balances, viewing statements, checking/applying for financial products, checking home loan rates and locating ATMs.</w:t>
            </w:r>
          </w:p>
          <w:p w:rsidR="001E6FB8" w:rsidRPr="00E141F1" w:rsidRDefault="001E6FB8" w:rsidP="001E6FB8">
            <w:pPr>
              <w:keepNext/>
              <w:keepLines/>
              <w:spacing w:line="240" w:lineRule="auto"/>
              <w:rPr>
                <w:rFonts w:cs="Arial"/>
                <w:i/>
                <w:sz w:val="16"/>
                <w:szCs w:val="16"/>
              </w:rPr>
            </w:pPr>
            <w:r w:rsidRPr="008A4E9C">
              <w:rPr>
                <w:rFonts w:cs="Arial"/>
                <w:i/>
                <w:sz w:val="16"/>
                <w:szCs w:val="16"/>
                <w:vertAlign w:val="superscript"/>
              </w:rPr>
              <w:t>‡</w:t>
            </w:r>
            <w:r w:rsidRPr="00E141F1">
              <w:rPr>
                <w:rFonts w:cs="Arial"/>
                <w:i/>
                <w:sz w:val="16"/>
                <w:szCs w:val="16"/>
              </w:rPr>
              <w:t>Some sub-categories not captured prior to October 2010 due to changes in methodology.</w:t>
            </w:r>
          </w:p>
          <w:p w:rsidR="001E6FB8" w:rsidRPr="00E141F1" w:rsidRDefault="001E6FB8" w:rsidP="001E6FB8">
            <w:pPr>
              <w:keepNext/>
              <w:keepLines/>
              <w:spacing w:line="240" w:lineRule="auto"/>
              <w:rPr>
                <w:rFonts w:cs="Arial"/>
                <w:i/>
                <w:sz w:val="16"/>
                <w:szCs w:val="16"/>
              </w:rPr>
            </w:pPr>
            <w:r w:rsidRPr="008A4E9C">
              <w:rPr>
                <w:rFonts w:cs="Arial"/>
                <w:i/>
                <w:sz w:val="16"/>
                <w:szCs w:val="16"/>
                <w:vertAlign w:val="superscript"/>
              </w:rPr>
              <w:t>§</w:t>
            </w:r>
            <w:r w:rsidRPr="00E141F1">
              <w:rPr>
                <w:rFonts w:cs="Arial"/>
                <w:i/>
                <w:sz w:val="16"/>
                <w:szCs w:val="16"/>
              </w:rPr>
              <w:t>Refers to researching products, excluding transactional activities.</w:t>
            </w:r>
          </w:p>
          <w:p w:rsidR="001E6FB8" w:rsidRPr="00E141F1" w:rsidRDefault="001E6FB8" w:rsidP="001E6FB8">
            <w:pPr>
              <w:keepNext/>
              <w:keepLines/>
              <w:spacing w:after="60" w:line="240" w:lineRule="auto"/>
              <w:rPr>
                <w:rFonts w:cs="Arial"/>
              </w:rPr>
            </w:pPr>
            <w:r w:rsidRPr="00E141F1">
              <w:rPr>
                <w:rFonts w:cs="Arial"/>
                <w:i/>
                <w:sz w:val="16"/>
                <w:szCs w:val="16"/>
              </w:rPr>
              <w:t>Base: People aged 18 years and over. Source: Roy Morgan Single Source.</w:t>
            </w:r>
          </w:p>
        </w:tc>
      </w:tr>
    </w:tbl>
    <w:p w:rsidR="001E6FB8" w:rsidRDefault="001E6FB8" w:rsidP="001E6FB8"/>
    <w:p w:rsidR="001E6FB8" w:rsidRPr="00E141F1" w:rsidRDefault="001E6FB8" w:rsidP="001E6FB8">
      <w:pPr>
        <w:pStyle w:val="Bodysubheader"/>
        <w:keepNext/>
        <w:rPr>
          <w:rFonts w:cs="Arial"/>
        </w:rPr>
      </w:pPr>
      <w:r w:rsidRPr="00E141F1">
        <w:rPr>
          <w:rFonts w:cs="Arial"/>
        </w:rPr>
        <w:t>International trends—</w:t>
      </w:r>
      <w:proofErr w:type="spellStart"/>
      <w:r w:rsidRPr="00E141F1">
        <w:rPr>
          <w:rFonts w:cs="Arial"/>
        </w:rPr>
        <w:t>smartphone</w:t>
      </w:r>
      <w:proofErr w:type="spellEnd"/>
      <w:r w:rsidRPr="00E141F1">
        <w:rPr>
          <w:rFonts w:cs="Arial"/>
        </w:rPr>
        <w:t xml:space="preserve"> take-up and online participation</w:t>
      </w:r>
    </w:p>
    <w:p w:rsidR="001E6FB8" w:rsidRDefault="001E6FB8" w:rsidP="001E6FB8">
      <w:pPr>
        <w:rPr>
          <w:rFonts w:cs="Arial"/>
        </w:rPr>
      </w:pPr>
      <w:r w:rsidRPr="00E141F1">
        <w:rPr>
          <w:rFonts w:cs="Arial"/>
        </w:rPr>
        <w:t xml:space="preserve">ACMA research shows that market factors such as the rapid adoption of </w:t>
      </w:r>
      <w:proofErr w:type="spellStart"/>
      <w:r w:rsidRPr="00E141F1">
        <w:rPr>
          <w:rFonts w:cs="Arial"/>
        </w:rPr>
        <w:t>smartphones</w:t>
      </w:r>
      <w:proofErr w:type="spellEnd"/>
      <w:r w:rsidRPr="00E141F1">
        <w:rPr>
          <w:rFonts w:cs="Arial"/>
        </w:rPr>
        <w:t xml:space="preserve">, the growth in use of mobile applications and the availability of more generous and affordable data allowances have been significant contributors to the general increase in online </w:t>
      </w:r>
      <w:r w:rsidRPr="00B46727">
        <w:t>activities performed via mobiles.</w:t>
      </w:r>
      <w:r w:rsidRPr="00B46727">
        <w:rPr>
          <w:vertAlign w:val="superscript"/>
        </w:rPr>
        <w:endnoteReference w:id="61"/>
      </w:r>
      <w:r w:rsidRPr="00B46727">
        <w:t xml:space="preserve"> Developments in Australia also reflect trends internationally. For example, research shows that </w:t>
      </w:r>
      <w:proofErr w:type="spellStart"/>
      <w:r w:rsidRPr="00B46727">
        <w:t>smartphone</w:t>
      </w:r>
      <w:proofErr w:type="spellEnd"/>
      <w:r w:rsidRPr="00B46727">
        <w:t xml:space="preserve"> users in the UK were more likely to access the internet via their mobile and carry out a greater variety of mobile phone internet activities than other mobile phone</w:t>
      </w:r>
      <w:r w:rsidRPr="00E141F1">
        <w:rPr>
          <w:rFonts w:cs="Arial"/>
        </w:rPr>
        <w:t xml:space="preserve"> internet users</w:t>
      </w:r>
      <w:r>
        <w:rPr>
          <w:rFonts w:cs="Arial"/>
        </w:rPr>
        <w:t>.</w:t>
      </w:r>
      <w:r w:rsidRPr="00E141F1">
        <w:rPr>
          <w:rStyle w:val="EndnoteReference"/>
          <w:rFonts w:cs="Arial"/>
        </w:rPr>
        <w:endnoteReference w:id="62"/>
      </w:r>
      <w:r w:rsidRPr="00E141F1">
        <w:rPr>
          <w:rStyle w:val="EndnoteReference"/>
          <w:rFonts w:cs="Arial"/>
        </w:rPr>
        <w:t xml:space="preserve"> </w:t>
      </w:r>
    </w:p>
    <w:p w:rsidR="001E6FB8" w:rsidRPr="00E141F1" w:rsidRDefault="001E6FB8" w:rsidP="001E6FB8"/>
    <w:p w:rsidR="001E6FB8" w:rsidRPr="00081121" w:rsidRDefault="001E6FB8" w:rsidP="001E6FB8">
      <w:pPr>
        <w:pStyle w:val="Heading2"/>
      </w:pPr>
      <w:bookmarkStart w:id="653" w:name="_Toc371589135"/>
      <w:bookmarkStart w:id="654" w:name="_Toc373149197"/>
      <w:r w:rsidRPr="00E141F1">
        <w:t>Impacts</w:t>
      </w:r>
      <w:bookmarkEnd w:id="650"/>
      <w:bookmarkEnd w:id="653"/>
      <w:bookmarkEnd w:id="654"/>
    </w:p>
    <w:bookmarkEnd w:id="651"/>
    <w:bookmarkEnd w:id="652"/>
    <w:p w:rsidR="001E6FB8" w:rsidRPr="00E141F1" w:rsidRDefault="001E6FB8" w:rsidP="001E6FB8">
      <w:pPr>
        <w:rPr>
          <w:rFonts w:cs="Arial"/>
        </w:rPr>
      </w:pPr>
      <w:r w:rsidRPr="00E141F1">
        <w:rPr>
          <w:rFonts w:cs="Arial"/>
          <w:snapToGrid w:val="0"/>
          <w:color w:val="000000"/>
        </w:rPr>
        <w:t>The internet has facilitated changes in the way consumers undertake every day social and economic activities</w:t>
      </w:r>
      <w:r w:rsidRPr="00E141F1">
        <w:rPr>
          <w:rFonts w:cs="Arial"/>
        </w:rPr>
        <w:t xml:space="preserve">. As participation in the digital economy broadens, the internet is increasingly both a provider of new opportunities for </w:t>
      </w:r>
      <w:r>
        <w:rPr>
          <w:rFonts w:cs="Arial"/>
        </w:rPr>
        <w:t>many</w:t>
      </w:r>
      <w:r w:rsidRPr="00E141F1">
        <w:rPr>
          <w:rFonts w:cs="Arial"/>
        </w:rPr>
        <w:t xml:space="preserve"> Australian businesses and a challenge to the traditional business models of others. This section examines some of the more prominent impacts of the internet.</w:t>
      </w:r>
    </w:p>
    <w:p w:rsidR="001E6FB8" w:rsidRPr="00E141F1" w:rsidRDefault="001E6FB8" w:rsidP="001E6FB8">
      <w:pPr>
        <w:rPr>
          <w:rFonts w:cs="Arial"/>
        </w:rPr>
      </w:pPr>
    </w:p>
    <w:p w:rsidR="001E6FB8" w:rsidRPr="00E141F1" w:rsidRDefault="001E6FB8" w:rsidP="001E6FB8">
      <w:pPr>
        <w:pStyle w:val="Heading3"/>
      </w:pPr>
      <w:bookmarkStart w:id="655" w:name="_Toc271555792"/>
      <w:bookmarkStart w:id="656" w:name="_Toc277159499"/>
      <w:bookmarkStart w:id="657" w:name="_Toc339881888"/>
      <w:bookmarkStart w:id="658" w:name="_Toc371589136"/>
      <w:bookmarkStart w:id="659" w:name="_Toc373149198"/>
      <w:r w:rsidRPr="00E141F1">
        <w:t>Growth of e-commerce</w:t>
      </w:r>
      <w:bookmarkEnd w:id="655"/>
      <w:bookmarkEnd w:id="656"/>
      <w:bookmarkEnd w:id="657"/>
      <w:bookmarkEnd w:id="658"/>
      <w:bookmarkEnd w:id="659"/>
      <w:r w:rsidRPr="00E141F1">
        <w:t xml:space="preserve"> </w:t>
      </w:r>
    </w:p>
    <w:p w:rsidR="001E6FB8" w:rsidRPr="00E141F1" w:rsidRDefault="001E6FB8" w:rsidP="001E6FB8">
      <w:pPr>
        <w:rPr>
          <w:rFonts w:cs="Arial"/>
        </w:rPr>
      </w:pPr>
      <w:r w:rsidRPr="00E141F1">
        <w:rPr>
          <w:rFonts w:cs="Arial"/>
        </w:rPr>
        <w:t xml:space="preserve">Revenue derived by Australian businesses from the sale of goods and services </w:t>
      </w:r>
      <w:bookmarkStart w:id="660" w:name="OLE_LINK48"/>
      <w:bookmarkStart w:id="661" w:name="OLE_LINK49"/>
      <w:r w:rsidRPr="00E141F1">
        <w:rPr>
          <w:rFonts w:cs="Arial"/>
        </w:rPr>
        <w:t>online is continuing to increase, demonstrating the ongoing significance of e-commerce to the digital economy. The latest available data from the ABS shows that Australian businesses generated an estimated $237 billion in revenue from the online sales of goods and services during 2011–12, a 25 per cent increase over 2010–11 and a 193</w:t>
      </w:r>
      <w:r>
        <w:rPr>
          <w:rFonts w:cs="Arial"/>
        </w:rPr>
        <w:t> </w:t>
      </w:r>
      <w:r w:rsidRPr="00E141F1">
        <w:rPr>
          <w:rFonts w:cs="Arial"/>
        </w:rPr>
        <w:t xml:space="preserve">per cent increase over 2007–08 (Figure 5.12). </w:t>
      </w:r>
    </w:p>
    <w:p w:rsidR="001E6FB8" w:rsidRPr="00E141F1" w:rsidRDefault="001E6FB8" w:rsidP="001E6FB8">
      <w:pPr>
        <w:rPr>
          <w:rFonts w:cs="Arial"/>
        </w:rPr>
      </w:pPr>
    </w:p>
    <w:tbl>
      <w:tblPr>
        <w:tblW w:w="8789" w:type="dxa"/>
        <w:tblLayout w:type="fixed"/>
        <w:tblCellMar>
          <w:left w:w="0" w:type="dxa"/>
          <w:right w:w="0" w:type="dxa"/>
        </w:tblCellMar>
        <w:tblLook w:val="01E0"/>
      </w:tblPr>
      <w:tblGrid>
        <w:gridCol w:w="8789"/>
      </w:tblGrid>
      <w:tr w:rsidR="001E6FB8" w:rsidRPr="00E141F1" w:rsidTr="001E6FB8">
        <w:trPr>
          <w:trHeight w:val="570"/>
        </w:trPr>
        <w:tc>
          <w:tcPr>
            <w:tcW w:w="8789" w:type="dxa"/>
            <w:tcBorders>
              <w:top w:val="single" w:sz="2" w:space="0" w:color="505050"/>
            </w:tcBorders>
            <w:shd w:val="clear" w:color="auto" w:fill="auto"/>
            <w:vAlign w:val="center"/>
          </w:tcPr>
          <w:bookmarkEnd w:id="660"/>
          <w:bookmarkEnd w:id="661"/>
          <w:p w:rsidR="001E6FB8" w:rsidRPr="00E141F1" w:rsidRDefault="001E6FB8" w:rsidP="001E6FB8">
            <w:pPr>
              <w:pStyle w:val="Caption"/>
              <w:rPr>
                <w:rFonts w:cs="Arial"/>
              </w:rPr>
            </w:pPr>
            <w:r w:rsidRPr="00E141F1">
              <w:rPr>
                <w:rFonts w:cs="Arial"/>
              </w:rPr>
              <w:t xml:space="preserve">Figure 5.12 Value of internet commerce, Australia </w:t>
            </w:r>
          </w:p>
        </w:tc>
      </w:tr>
      <w:tr w:rsidR="001E6FB8" w:rsidRPr="00E141F1" w:rsidTr="001E6FB8">
        <w:trPr>
          <w:trHeight w:val="4346"/>
        </w:trPr>
        <w:tc>
          <w:tcPr>
            <w:tcW w:w="8789" w:type="dxa"/>
            <w:shd w:val="clear" w:color="auto" w:fill="auto"/>
            <w:tcMar>
              <w:left w:w="28" w:type="dxa"/>
            </w:tcMar>
          </w:tcPr>
          <w:p w:rsidR="001E6FB8" w:rsidRPr="00E141F1" w:rsidRDefault="001E6FB8" w:rsidP="001E6FB8">
            <w:pPr>
              <w:rPr>
                <w:rFonts w:cs="Arial"/>
                <w:szCs w:val="20"/>
              </w:rPr>
            </w:pPr>
            <w:r w:rsidRPr="00A34E69">
              <w:rPr>
                <w:rFonts w:cs="Arial"/>
                <w:noProof/>
                <w:szCs w:val="20"/>
              </w:rPr>
              <w:drawing>
                <wp:inline distT="0" distB="0" distL="0" distR="0">
                  <wp:extent cx="5406887" cy="2713382"/>
                  <wp:effectExtent l="0" t="0" r="0" b="0"/>
                  <wp:docPr id="273" name="Chart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1E6FB8" w:rsidRPr="00E141F1" w:rsidTr="001E6FB8">
        <w:trPr>
          <w:trHeight w:val="291"/>
        </w:trPr>
        <w:tc>
          <w:tcPr>
            <w:tcW w:w="8789" w:type="dxa"/>
            <w:tcBorders>
              <w:bottom w:val="single" w:sz="2" w:space="0" w:color="505050"/>
            </w:tcBorders>
            <w:shd w:val="clear" w:color="auto" w:fill="auto"/>
          </w:tcPr>
          <w:p w:rsidR="001E6FB8" w:rsidRPr="00E141F1" w:rsidRDefault="001E6FB8" w:rsidP="001E6FB8">
            <w:pPr>
              <w:spacing w:line="240" w:lineRule="auto"/>
              <w:rPr>
                <w:rFonts w:cs="Arial"/>
                <w:i/>
                <w:sz w:val="16"/>
                <w:szCs w:val="16"/>
              </w:rPr>
            </w:pPr>
            <w:r w:rsidRPr="00E141F1">
              <w:rPr>
                <w:rFonts w:cs="Arial"/>
                <w:i/>
                <w:sz w:val="16"/>
                <w:szCs w:val="16"/>
              </w:rPr>
              <w:t xml:space="preserve">Note: ABS defines internet e-commerce as the purchase/order of goods and services online regardless of whether or not the purchases were paid for online. </w:t>
            </w:r>
          </w:p>
          <w:p w:rsidR="001E6FB8" w:rsidRPr="00E141F1" w:rsidRDefault="001E6FB8" w:rsidP="001E6FB8">
            <w:pPr>
              <w:spacing w:after="60" w:line="240" w:lineRule="auto"/>
              <w:rPr>
                <w:rFonts w:cs="Arial"/>
                <w:bCs/>
                <w:color w:val="4D4D4F"/>
                <w:kern w:val="32"/>
                <w:szCs w:val="20"/>
              </w:rPr>
            </w:pPr>
            <w:r w:rsidRPr="00E141F1">
              <w:rPr>
                <w:rFonts w:cs="Arial"/>
                <w:i/>
                <w:sz w:val="16"/>
                <w:szCs w:val="16"/>
              </w:rPr>
              <w:t xml:space="preserve">Source: ABS, </w:t>
            </w:r>
            <w:r w:rsidRPr="00B46727">
              <w:rPr>
                <w:rFonts w:cs="Arial"/>
                <w:i/>
                <w:sz w:val="16"/>
                <w:szCs w:val="16"/>
              </w:rPr>
              <w:t>8166.0—Summary of IT Use and Innovation in Australian Business, 2011–12</w:t>
            </w:r>
            <w:r w:rsidRPr="00E141F1">
              <w:rPr>
                <w:rFonts w:cs="Arial"/>
                <w:i/>
                <w:sz w:val="16"/>
                <w:szCs w:val="16"/>
              </w:rPr>
              <w:t>, June 2013.</w:t>
            </w:r>
          </w:p>
        </w:tc>
      </w:tr>
    </w:tbl>
    <w:p w:rsidR="001E6FB8" w:rsidRPr="00E141F1" w:rsidRDefault="001E6FB8" w:rsidP="001E6FB8">
      <w:pPr>
        <w:rPr>
          <w:rFonts w:cs="Arial"/>
        </w:rPr>
      </w:pPr>
    </w:p>
    <w:p w:rsidR="001E6FB8" w:rsidRPr="00E141F1" w:rsidRDefault="001E6FB8" w:rsidP="001E6FB8">
      <w:pPr>
        <w:rPr>
          <w:rFonts w:cs="Arial"/>
        </w:rPr>
      </w:pPr>
      <w:r w:rsidRPr="00E141F1">
        <w:rPr>
          <w:rFonts w:cs="Arial"/>
        </w:rPr>
        <w:t xml:space="preserve">A large number of Australians—an </w:t>
      </w:r>
      <w:r>
        <w:rPr>
          <w:rFonts w:cs="Arial"/>
        </w:rPr>
        <w:t>estimated 13.67 million people—</w:t>
      </w:r>
      <w:r w:rsidRPr="00E141F1">
        <w:rPr>
          <w:rFonts w:cs="Arial"/>
        </w:rPr>
        <w:t>continue to undertake online transactional activities. These include banking, paying bills, buying and/or selling goods and services. This is an increase of eight per cent in the 12</w:t>
      </w:r>
      <w:r>
        <w:rPr>
          <w:rFonts w:cs="Arial"/>
        </w:rPr>
        <w:t> </w:t>
      </w:r>
      <w:r w:rsidRPr="00E141F1">
        <w:rPr>
          <w:rFonts w:cs="Arial"/>
        </w:rPr>
        <w:t>months to May 2013.</w:t>
      </w:r>
      <w:r w:rsidRPr="00E141F1">
        <w:rPr>
          <w:rStyle w:val="EndnoteReference"/>
          <w:rFonts w:cs="Arial"/>
        </w:rPr>
        <w:endnoteReference w:id="63"/>
      </w:r>
    </w:p>
    <w:p w:rsidR="001E6FB8" w:rsidRPr="00E141F1" w:rsidRDefault="001E6FB8" w:rsidP="001E6FB8">
      <w:pPr>
        <w:rPr>
          <w:rFonts w:cs="Arial"/>
          <w:snapToGrid w:val="0"/>
          <w:color w:val="000000"/>
        </w:rPr>
      </w:pPr>
    </w:p>
    <w:p w:rsidR="001E6FB8" w:rsidRDefault="001E6FB8" w:rsidP="001E6FB8">
      <w:pPr>
        <w:spacing w:line="240" w:lineRule="auto"/>
        <w:rPr>
          <w:rFonts w:cs="Arial"/>
          <w:b/>
          <w:i/>
        </w:rPr>
      </w:pPr>
      <w:r>
        <w:rPr>
          <w:rFonts w:cs="Arial"/>
        </w:rPr>
        <w:br w:type="page"/>
      </w:r>
    </w:p>
    <w:p w:rsidR="001E6FB8" w:rsidRPr="00E141F1" w:rsidRDefault="001E6FB8" w:rsidP="001E6FB8">
      <w:pPr>
        <w:pStyle w:val="Bodysubheader"/>
        <w:rPr>
          <w:rFonts w:cs="Arial"/>
        </w:rPr>
      </w:pPr>
      <w:r w:rsidRPr="00E141F1">
        <w:rPr>
          <w:rFonts w:cs="Arial"/>
        </w:rPr>
        <w:t>International trends—growth in online shopping</w:t>
      </w:r>
    </w:p>
    <w:p w:rsidR="001E6FB8" w:rsidRPr="00E141F1" w:rsidRDefault="001E6FB8" w:rsidP="001E6FB8">
      <w:pPr>
        <w:rPr>
          <w:rFonts w:cs="Arial"/>
          <w:snapToGrid w:val="0"/>
        </w:rPr>
      </w:pPr>
      <w:r w:rsidRPr="00E141F1">
        <w:rPr>
          <w:rFonts w:cs="Arial"/>
          <w:snapToGrid w:val="0"/>
        </w:rPr>
        <w:t xml:space="preserve">The significant growth in the numbers of Australians shopping online and the value of e-commerce in Australia is comparable with international experience. For example, Figure 5.13 shows that in 2011 Australians were second only to the UK (out of 19 countries in the survey) in terms of their average annual expenditure on online purchases. </w:t>
      </w:r>
    </w:p>
    <w:p w:rsidR="001E6FB8" w:rsidRPr="00E141F1" w:rsidRDefault="001E6FB8" w:rsidP="001E6FB8">
      <w:pPr>
        <w:rPr>
          <w:rFonts w:cs="Arial"/>
          <w:snapToGrid w:val="0"/>
        </w:rPr>
      </w:pPr>
    </w:p>
    <w:tbl>
      <w:tblPr>
        <w:tblW w:w="8789" w:type="dxa"/>
        <w:tblLayout w:type="fixed"/>
        <w:tblCellMar>
          <w:left w:w="0" w:type="dxa"/>
          <w:right w:w="0" w:type="dxa"/>
        </w:tblCellMar>
        <w:tblLook w:val="01E0"/>
      </w:tblPr>
      <w:tblGrid>
        <w:gridCol w:w="8789"/>
      </w:tblGrid>
      <w:tr w:rsidR="001E6FB8" w:rsidRPr="00E141F1" w:rsidTr="001E6FB8">
        <w:trPr>
          <w:trHeight w:val="570"/>
        </w:trPr>
        <w:tc>
          <w:tcPr>
            <w:tcW w:w="8789" w:type="dxa"/>
            <w:tcBorders>
              <w:top w:val="single" w:sz="2" w:space="0" w:color="505050"/>
            </w:tcBorders>
            <w:shd w:val="clear" w:color="auto" w:fill="auto"/>
            <w:vAlign w:val="center"/>
          </w:tcPr>
          <w:p w:rsidR="001E6FB8" w:rsidRPr="00E141F1" w:rsidRDefault="001E6FB8" w:rsidP="001E6FB8">
            <w:pPr>
              <w:pStyle w:val="Caption"/>
              <w:rPr>
                <w:rFonts w:cs="Arial"/>
              </w:rPr>
            </w:pPr>
            <w:r w:rsidRPr="00E141F1">
              <w:rPr>
                <w:rFonts w:cs="Arial"/>
              </w:rPr>
              <w:t xml:space="preserve">Figure 5.13 Average </w:t>
            </w:r>
            <w:r w:rsidRPr="000B4953">
              <w:t>annual</w:t>
            </w:r>
            <w:r w:rsidRPr="00E141F1">
              <w:rPr>
                <w:rFonts w:cs="Arial"/>
              </w:rPr>
              <w:t xml:space="preserve"> expenditure on online purchases</w:t>
            </w:r>
          </w:p>
        </w:tc>
      </w:tr>
      <w:tr w:rsidR="001E6FB8" w:rsidRPr="00E141F1" w:rsidTr="001E6FB8">
        <w:trPr>
          <w:trHeight w:val="4346"/>
        </w:trPr>
        <w:tc>
          <w:tcPr>
            <w:tcW w:w="8789" w:type="dxa"/>
            <w:shd w:val="clear" w:color="auto" w:fill="auto"/>
            <w:tcMar>
              <w:left w:w="28" w:type="dxa"/>
            </w:tcMar>
          </w:tcPr>
          <w:p w:rsidR="001E6FB8" w:rsidRPr="00E141F1" w:rsidRDefault="001E6FB8" w:rsidP="001E6FB8">
            <w:pPr>
              <w:rPr>
                <w:rFonts w:cs="Arial"/>
                <w:sz w:val="18"/>
                <w:szCs w:val="18"/>
              </w:rPr>
            </w:pPr>
            <w:r w:rsidRPr="00F5370D">
              <w:rPr>
                <w:rFonts w:cs="Arial"/>
                <w:noProof/>
                <w:sz w:val="18"/>
                <w:szCs w:val="18"/>
              </w:rPr>
              <w:drawing>
                <wp:inline distT="0" distB="0" distL="0" distR="0">
                  <wp:extent cx="5565913" cy="3548269"/>
                  <wp:effectExtent l="0" t="0" r="0" b="0"/>
                  <wp:docPr id="279"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1E6FB8" w:rsidRPr="00E141F1" w:rsidTr="001E6FB8">
        <w:trPr>
          <w:trHeight w:val="291"/>
        </w:trPr>
        <w:tc>
          <w:tcPr>
            <w:tcW w:w="8789" w:type="dxa"/>
            <w:tcBorders>
              <w:bottom w:val="single" w:sz="2" w:space="0" w:color="505050"/>
            </w:tcBorders>
            <w:shd w:val="clear" w:color="auto" w:fill="auto"/>
          </w:tcPr>
          <w:p w:rsidR="001E6FB8" w:rsidRPr="00B46727" w:rsidRDefault="001E6FB8" w:rsidP="001E6FB8">
            <w:pPr>
              <w:spacing w:before="120" w:after="60" w:line="240" w:lineRule="auto"/>
              <w:rPr>
                <w:sz w:val="16"/>
                <w:szCs w:val="16"/>
              </w:rPr>
            </w:pPr>
            <w:r w:rsidRPr="00D065B6">
              <w:rPr>
                <w:rFonts w:cs="Arial"/>
                <w:i/>
                <w:sz w:val="16"/>
                <w:szCs w:val="16"/>
              </w:rPr>
              <w:t xml:space="preserve">Source: </w:t>
            </w:r>
            <w:proofErr w:type="spellStart"/>
            <w:r w:rsidRPr="00D065B6">
              <w:rPr>
                <w:rFonts w:cs="Arial"/>
                <w:i/>
                <w:sz w:val="16"/>
                <w:szCs w:val="16"/>
              </w:rPr>
              <w:t>Ofco</w:t>
            </w:r>
            <w:r>
              <w:rPr>
                <w:rFonts w:cs="Arial"/>
                <w:i/>
                <w:sz w:val="16"/>
                <w:szCs w:val="16"/>
              </w:rPr>
              <w:t>m</w:t>
            </w:r>
            <w:proofErr w:type="spellEnd"/>
            <w:r>
              <w:rPr>
                <w:rFonts w:cs="Arial"/>
                <w:i/>
                <w:sz w:val="16"/>
                <w:szCs w:val="16"/>
              </w:rPr>
              <w:t>, Value of B2C e-commerce per head, 2007–</w:t>
            </w:r>
            <w:r w:rsidRPr="00B46727">
              <w:rPr>
                <w:rFonts w:cs="Arial"/>
                <w:i/>
                <w:sz w:val="16"/>
                <w:szCs w:val="16"/>
              </w:rPr>
              <w:t>2011</w:t>
            </w:r>
            <w:r>
              <w:rPr>
                <w:rFonts w:cs="Arial"/>
                <w:i/>
                <w:sz w:val="16"/>
                <w:szCs w:val="16"/>
              </w:rPr>
              <w:t xml:space="preserve">, </w:t>
            </w:r>
            <w:r w:rsidRPr="00B46727">
              <w:rPr>
                <w:i/>
                <w:sz w:val="16"/>
                <w:szCs w:val="16"/>
              </w:rPr>
              <w:t>http://stakeholders.ofcom.org.uk/market-data-research/market-data/communications-market-reports/cmr12/international/7.08</w:t>
            </w:r>
            <w:r>
              <w:rPr>
                <w:i/>
                <w:sz w:val="16"/>
                <w:szCs w:val="16"/>
              </w:rPr>
              <w:t>.</w:t>
            </w:r>
            <w:r w:rsidRPr="00A97570">
              <w:rPr>
                <w:sz w:val="16"/>
                <w:szCs w:val="16"/>
              </w:rPr>
              <w:t xml:space="preserve"> </w:t>
            </w:r>
          </w:p>
        </w:tc>
      </w:tr>
    </w:tbl>
    <w:p w:rsidR="001E6FB8" w:rsidRPr="00E141F1" w:rsidRDefault="001E6FB8" w:rsidP="001E6FB8">
      <w:pPr>
        <w:rPr>
          <w:rFonts w:cs="Arial"/>
          <w:snapToGrid w:val="0"/>
        </w:rPr>
      </w:pPr>
    </w:p>
    <w:p w:rsidR="001E6FB8" w:rsidRPr="00E141F1" w:rsidRDefault="001E6FB8" w:rsidP="001E6FB8">
      <w:pPr>
        <w:pStyle w:val="Heading3"/>
      </w:pPr>
      <w:bookmarkStart w:id="662" w:name="_Toc339881889"/>
      <w:bookmarkStart w:id="663" w:name="_Toc371589137"/>
      <w:bookmarkStart w:id="664" w:name="_Toc373149199"/>
      <w:bookmarkStart w:id="665" w:name="_Toc270968484"/>
      <w:bookmarkStart w:id="666" w:name="_Toc271555794"/>
      <w:bookmarkStart w:id="667" w:name="_Toc277159501"/>
      <w:r w:rsidRPr="00E141F1">
        <w:t>Increasing volumes of data being downloaded</w:t>
      </w:r>
      <w:bookmarkEnd w:id="662"/>
      <w:bookmarkEnd w:id="663"/>
      <w:bookmarkEnd w:id="664"/>
      <w:r w:rsidRPr="00E141F1">
        <w:t xml:space="preserve"> </w:t>
      </w:r>
      <w:bookmarkEnd w:id="665"/>
      <w:bookmarkEnd w:id="666"/>
      <w:bookmarkEnd w:id="667"/>
    </w:p>
    <w:p w:rsidR="001E6FB8" w:rsidRPr="00E141F1" w:rsidRDefault="001E6FB8" w:rsidP="001E6FB8">
      <w:pPr>
        <w:rPr>
          <w:rFonts w:cs="Arial"/>
        </w:rPr>
      </w:pPr>
      <w:r w:rsidRPr="00E141F1">
        <w:rPr>
          <w:rFonts w:cs="Arial"/>
        </w:rPr>
        <w:t>As outlined in Chapter 1, the volume of data downloaded by Australian internet subscribers continues to increase dramatically, with 676,898 terabytes downloaded during the June quarter of 2013, an increase of 59 per cent in relation to the June quarter of 2012.</w:t>
      </w:r>
      <w:r w:rsidRPr="00E141F1">
        <w:rPr>
          <w:rStyle w:val="EndnoteReference"/>
          <w:rFonts w:cs="Arial"/>
        </w:rPr>
        <w:endnoteReference w:id="64"/>
      </w:r>
      <w:r w:rsidRPr="00E141F1">
        <w:rPr>
          <w:rFonts w:cs="Arial"/>
        </w:rPr>
        <w:t xml:space="preserve"> While growth in the volume of data downloaded reflects that users are participating more intensely in online activities, it also indicates the increased availability and popularity of online content. </w:t>
      </w:r>
    </w:p>
    <w:p w:rsidR="001E6FB8" w:rsidRPr="00E141F1" w:rsidRDefault="001E6FB8" w:rsidP="001E6FB8">
      <w:pPr>
        <w:rPr>
          <w:rFonts w:cs="Arial"/>
        </w:rPr>
      </w:pPr>
    </w:p>
    <w:p w:rsidR="001E6FB8" w:rsidRPr="00E141F1" w:rsidRDefault="001E6FB8" w:rsidP="001E6FB8">
      <w:pPr>
        <w:rPr>
          <w:rFonts w:cs="Arial"/>
        </w:rPr>
      </w:pPr>
      <w:r w:rsidRPr="00E141F1">
        <w:rPr>
          <w:rFonts w:cs="Arial"/>
        </w:rPr>
        <w:t>In the six months to May 2013, an estimated 11.27 million Australians aged 18 years and over accessed some form of content online for entertainment purposes, an increase of 14 per cent in relation to the six months to May 2012.</w:t>
      </w:r>
      <w:r w:rsidRPr="00E141F1">
        <w:rPr>
          <w:rStyle w:val="EndnoteReference"/>
          <w:rFonts w:cs="Arial"/>
        </w:rPr>
        <w:endnoteReference w:id="65"/>
      </w:r>
      <w:r w:rsidRPr="00E141F1">
        <w:rPr>
          <w:rFonts w:cs="Arial"/>
        </w:rPr>
        <w:t xml:space="preserve"> </w:t>
      </w:r>
    </w:p>
    <w:p w:rsidR="001E6FB8" w:rsidRPr="00E141F1" w:rsidRDefault="001E6FB8" w:rsidP="001E6FB8">
      <w:pPr>
        <w:rPr>
          <w:rFonts w:cs="Arial"/>
        </w:rPr>
      </w:pPr>
    </w:p>
    <w:p w:rsidR="001E6FB8" w:rsidRPr="00E141F1" w:rsidRDefault="001E6FB8" w:rsidP="001E6FB8">
      <w:pPr>
        <w:pStyle w:val="Heading3"/>
      </w:pPr>
      <w:bookmarkStart w:id="668" w:name="_Toc271555795"/>
      <w:bookmarkStart w:id="669" w:name="_Toc277159502"/>
      <w:bookmarkStart w:id="670" w:name="_Toc339881890"/>
      <w:bookmarkStart w:id="671" w:name="_Toc371589138"/>
      <w:bookmarkStart w:id="672" w:name="_Toc373149200"/>
      <w:bookmarkEnd w:id="649"/>
      <w:r w:rsidRPr="00E141F1">
        <w:t>Changing behaviours</w:t>
      </w:r>
      <w:bookmarkEnd w:id="668"/>
      <w:bookmarkEnd w:id="669"/>
      <w:bookmarkEnd w:id="670"/>
      <w:bookmarkEnd w:id="671"/>
      <w:bookmarkEnd w:id="672"/>
      <w:r w:rsidRPr="00E141F1">
        <w:t xml:space="preserve"> </w:t>
      </w:r>
    </w:p>
    <w:p w:rsidR="001E6FB8" w:rsidRPr="00E141F1" w:rsidRDefault="001E6FB8" w:rsidP="001E6FB8">
      <w:pPr>
        <w:rPr>
          <w:rFonts w:cs="Arial"/>
          <w:snapToGrid w:val="0"/>
        </w:rPr>
      </w:pPr>
      <w:r w:rsidRPr="00E141F1">
        <w:rPr>
          <w:rFonts w:cs="Arial"/>
          <w:snapToGrid w:val="0"/>
        </w:rPr>
        <w:t>As consumers grow more confident accessing services and interacting online, they also exhibit changes in the way they undertake traditional day-to-</w:t>
      </w:r>
      <w:r>
        <w:rPr>
          <w:rFonts w:cs="Arial"/>
          <w:snapToGrid w:val="0"/>
        </w:rPr>
        <w:t>day activities. Some examples</w:t>
      </w:r>
      <w:r w:rsidRPr="00E141F1">
        <w:rPr>
          <w:rFonts w:cs="Arial"/>
          <w:snapToGrid w:val="0"/>
        </w:rPr>
        <w:t xml:space="preserve"> </w:t>
      </w:r>
      <w:r>
        <w:rPr>
          <w:rFonts w:cs="Arial"/>
          <w:snapToGrid w:val="0"/>
        </w:rPr>
        <w:t>follow</w:t>
      </w:r>
      <w:r w:rsidRPr="00E141F1">
        <w:rPr>
          <w:rFonts w:cs="Arial"/>
          <w:snapToGrid w:val="0"/>
        </w:rPr>
        <w:t>:</w:t>
      </w:r>
    </w:p>
    <w:p w:rsidR="001E6FB8" w:rsidRPr="00E141F1" w:rsidRDefault="001E6FB8" w:rsidP="001E6FB8">
      <w:pPr>
        <w:rPr>
          <w:rFonts w:cs="Arial"/>
          <w:snapToGrid w:val="0"/>
        </w:rPr>
      </w:pPr>
    </w:p>
    <w:p w:rsidR="001E6FB8" w:rsidRDefault="001E6FB8" w:rsidP="001E6FB8">
      <w:pPr>
        <w:spacing w:line="240" w:lineRule="auto"/>
        <w:rPr>
          <w:rFonts w:cs="Arial"/>
          <w:b/>
          <w:i/>
        </w:rPr>
      </w:pPr>
      <w:r>
        <w:rPr>
          <w:rFonts w:cs="Arial"/>
        </w:rPr>
        <w:br w:type="page"/>
      </w:r>
    </w:p>
    <w:p w:rsidR="001E6FB8" w:rsidRPr="00C20D36" w:rsidRDefault="001E6FB8" w:rsidP="001E6FB8">
      <w:pPr>
        <w:pStyle w:val="Bodysubheader"/>
        <w:rPr>
          <w:rFonts w:cs="Arial"/>
        </w:rPr>
      </w:pPr>
      <w:r w:rsidRPr="00C20D36">
        <w:rPr>
          <w:rFonts w:cs="Arial"/>
        </w:rPr>
        <w:t>Changing communication preferences</w:t>
      </w:r>
    </w:p>
    <w:p w:rsidR="001E6FB8" w:rsidRPr="00E141F1" w:rsidRDefault="001E6FB8" w:rsidP="001E6FB8">
      <w:pPr>
        <w:pStyle w:val="ListBullet"/>
        <w:rPr>
          <w:rFonts w:cs="Arial"/>
          <w:snapToGrid w:val="0"/>
        </w:rPr>
      </w:pPr>
      <w:r w:rsidRPr="00E141F1">
        <w:rPr>
          <w:rFonts w:cs="Arial"/>
          <w:snapToGrid w:val="0"/>
        </w:rPr>
        <w:t>Traditional global telephone traffic grew three per cent to 317 billion minutes, while VoIP traffic grew 25 per cent to 150 billion minutes during 2012.</w:t>
      </w:r>
      <w:r w:rsidRPr="00E141F1">
        <w:rPr>
          <w:rStyle w:val="EndnoteReference"/>
          <w:rFonts w:cs="Arial"/>
          <w:snapToGrid w:val="0"/>
          <w:color w:val="000000"/>
        </w:rPr>
        <w:endnoteReference w:id="66"/>
      </w:r>
      <w:r w:rsidRPr="00E141F1">
        <w:rPr>
          <w:rFonts w:cs="Arial"/>
          <w:snapToGrid w:val="0"/>
        </w:rPr>
        <w:t xml:space="preserve"> In addition, 5.33 million Australians went online to make video calls in the six months to May 2013.</w:t>
      </w:r>
    </w:p>
    <w:p w:rsidR="001E6FB8" w:rsidRPr="00E141F1" w:rsidRDefault="001E6FB8" w:rsidP="001E6FB8">
      <w:pPr>
        <w:pStyle w:val="ListBullet"/>
        <w:spacing w:after="240"/>
        <w:rPr>
          <w:rFonts w:cs="Arial"/>
          <w:snapToGrid w:val="0"/>
        </w:rPr>
      </w:pPr>
      <w:r w:rsidRPr="00E141F1">
        <w:rPr>
          <w:rFonts w:cs="Arial"/>
          <w:snapToGrid w:val="0"/>
        </w:rPr>
        <w:t>10.40 million Aus</w:t>
      </w:r>
      <w:r>
        <w:rPr>
          <w:rFonts w:cs="Arial"/>
          <w:snapToGrid w:val="0"/>
        </w:rPr>
        <w:t xml:space="preserve">tralians went online for social </w:t>
      </w:r>
      <w:r w:rsidRPr="00E141F1">
        <w:rPr>
          <w:rFonts w:cs="Arial"/>
          <w:snapToGrid w:val="0"/>
        </w:rPr>
        <w:t>networking purposes in the six months to May 2013, a 10 per cent increase over the 9.42 million doing so in the six months to May 2012. Nearly 1.55 million adult Australians identified online social networking as their most used communications channel in the six months to May 2013, compared to 1.16 million during the six months to May 2012, a 34 per</w:t>
      </w:r>
      <w:r>
        <w:rPr>
          <w:rFonts w:cs="Arial"/>
          <w:snapToGrid w:val="0"/>
        </w:rPr>
        <w:t> </w:t>
      </w:r>
      <w:r w:rsidRPr="00E141F1">
        <w:rPr>
          <w:rFonts w:cs="Arial"/>
          <w:snapToGrid w:val="0"/>
        </w:rPr>
        <w:t>cent increase.</w:t>
      </w:r>
    </w:p>
    <w:p w:rsidR="001E6FB8" w:rsidRPr="00C20D36" w:rsidRDefault="001E6FB8" w:rsidP="001E6FB8">
      <w:pPr>
        <w:pStyle w:val="Bodysubheader"/>
        <w:rPr>
          <w:rFonts w:cs="Arial"/>
        </w:rPr>
      </w:pPr>
      <w:r w:rsidRPr="00C20D36">
        <w:rPr>
          <w:rFonts w:cs="Arial"/>
        </w:rPr>
        <w:t>Growth in professional online video content services</w:t>
      </w:r>
    </w:p>
    <w:p w:rsidR="001E6FB8" w:rsidRPr="00E141F1" w:rsidRDefault="001E6FB8" w:rsidP="001E6FB8">
      <w:pPr>
        <w:pStyle w:val="ListBullet"/>
        <w:rPr>
          <w:rFonts w:cs="Arial"/>
          <w:snapToGrid w:val="0"/>
        </w:rPr>
      </w:pPr>
      <w:r>
        <w:rPr>
          <w:rFonts w:cs="Arial"/>
          <w:snapToGrid w:val="0"/>
        </w:rPr>
        <w:t xml:space="preserve">Users of professional </w:t>
      </w:r>
      <w:r w:rsidRPr="00E141F1">
        <w:rPr>
          <w:rFonts w:cs="Arial"/>
          <w:snapToGrid w:val="0"/>
        </w:rPr>
        <w:t xml:space="preserve">services, such as catch-up TV, IPTV and video-on-demand, increased by 52 per cent to 7.86 million people in the 12 months to May 2013. </w:t>
      </w:r>
    </w:p>
    <w:p w:rsidR="001E6FB8" w:rsidRPr="00E141F1" w:rsidRDefault="001E6FB8" w:rsidP="001E6FB8">
      <w:pPr>
        <w:pStyle w:val="ListBullet"/>
        <w:rPr>
          <w:rFonts w:cs="Arial"/>
          <w:snapToGrid w:val="0"/>
        </w:rPr>
      </w:pPr>
      <w:r w:rsidRPr="00E141F1">
        <w:rPr>
          <w:rFonts w:cs="Arial"/>
          <w:snapToGrid w:val="0"/>
        </w:rPr>
        <w:t>Changes to the way people are accessing video content is reflected in growth of the availability of online video content services—</w:t>
      </w:r>
      <w:r>
        <w:rPr>
          <w:rFonts w:cs="Arial"/>
          <w:snapToGrid w:val="0"/>
        </w:rPr>
        <w:t>f</w:t>
      </w:r>
      <w:r w:rsidRPr="00E141F1">
        <w:rPr>
          <w:rFonts w:cs="Arial"/>
          <w:snapToGrid w:val="0"/>
        </w:rPr>
        <w:t xml:space="preserve">or example, </w:t>
      </w:r>
      <w:proofErr w:type="spellStart"/>
      <w:r w:rsidRPr="00E141F1">
        <w:rPr>
          <w:rFonts w:cs="Arial"/>
          <w:snapToGrid w:val="0"/>
        </w:rPr>
        <w:t>Quickflix</w:t>
      </w:r>
      <w:proofErr w:type="spellEnd"/>
      <w:r w:rsidRPr="00E141F1">
        <w:rPr>
          <w:rFonts w:cs="Arial"/>
          <w:snapToGrid w:val="0"/>
        </w:rPr>
        <w:t xml:space="preserve"> reported a growth of 17 per cent to its customer base at December 2012</w:t>
      </w:r>
      <w:r>
        <w:rPr>
          <w:rFonts w:cs="Arial"/>
          <w:snapToGrid w:val="0"/>
        </w:rPr>
        <w:t>;</w:t>
      </w:r>
      <w:r w:rsidRPr="00E141F1">
        <w:rPr>
          <w:rStyle w:val="EndnoteReference"/>
          <w:rFonts w:cs="Arial"/>
          <w:snapToGrid w:val="0"/>
          <w:color w:val="000000"/>
        </w:rPr>
        <w:endnoteReference w:id="67"/>
      </w:r>
      <w:r w:rsidRPr="00E141F1">
        <w:rPr>
          <w:rFonts w:cs="Arial"/>
          <w:snapToGrid w:val="0"/>
        </w:rPr>
        <w:t xml:space="preserve"> Hoyts is expanding its business model to offer video-on-demand services in addition to its cinema, DVD rental and screen advertising operations.</w:t>
      </w:r>
      <w:r w:rsidRPr="00E141F1">
        <w:rPr>
          <w:rStyle w:val="EndnoteReference"/>
          <w:rFonts w:cs="Arial"/>
          <w:snapToGrid w:val="0"/>
          <w:color w:val="000000"/>
        </w:rPr>
        <w:endnoteReference w:id="68"/>
      </w:r>
      <w:r w:rsidRPr="00E141F1">
        <w:rPr>
          <w:rFonts w:cs="Arial"/>
          <w:snapToGrid w:val="0"/>
        </w:rPr>
        <w:t xml:space="preserve"> In addition, traditional free-to-air broadcasters continue to increase the range of content available to users of their online catch-up services. </w:t>
      </w:r>
    </w:p>
    <w:p w:rsidR="001E6FB8" w:rsidRPr="00E141F1" w:rsidRDefault="001E6FB8" w:rsidP="001E6FB8">
      <w:pPr>
        <w:pStyle w:val="ListBullet"/>
        <w:spacing w:after="240"/>
        <w:rPr>
          <w:rFonts w:cs="Arial"/>
          <w:snapToGrid w:val="0"/>
        </w:rPr>
      </w:pPr>
      <w:r w:rsidRPr="00E141F1">
        <w:rPr>
          <w:rFonts w:cs="Arial"/>
          <w:snapToGrid w:val="0"/>
        </w:rPr>
        <w:t>Five million Australians accessed online radio stations in the six months to May 2013, a six per cent increase compared to 4.70 million in the six months to May 2012.</w:t>
      </w:r>
    </w:p>
    <w:p w:rsidR="001E6FB8" w:rsidRPr="00C20D36" w:rsidRDefault="001E6FB8" w:rsidP="001E6FB8">
      <w:pPr>
        <w:pStyle w:val="Bodysubheader"/>
        <w:rPr>
          <w:rFonts w:cs="Arial"/>
        </w:rPr>
      </w:pPr>
      <w:r w:rsidRPr="00C20D36">
        <w:rPr>
          <w:rFonts w:cs="Arial"/>
        </w:rPr>
        <w:t>Changing the way we work</w:t>
      </w:r>
    </w:p>
    <w:p w:rsidR="001E6FB8" w:rsidRPr="00E141F1" w:rsidRDefault="001E6FB8" w:rsidP="001E6FB8">
      <w:pPr>
        <w:pStyle w:val="ListBullet"/>
        <w:spacing w:after="240"/>
        <w:rPr>
          <w:rFonts w:cs="Arial"/>
          <w:snapToGrid w:val="0"/>
        </w:rPr>
      </w:pPr>
      <w:r w:rsidRPr="00E141F1">
        <w:rPr>
          <w:rFonts w:cs="Arial"/>
          <w:snapToGrid w:val="0"/>
        </w:rPr>
        <w:t>Digital workers—people using the internet to work away from their main place of employment—comprise 51 per cent of the total number of employed people in Australia, an estimated 5.64 million Australians aged 18 years and over at May 2013.</w:t>
      </w:r>
      <w:r w:rsidRPr="00E141F1">
        <w:rPr>
          <w:rStyle w:val="EndnoteReference"/>
          <w:rFonts w:cs="Arial"/>
          <w:snapToGrid w:val="0"/>
          <w:color w:val="000000"/>
        </w:rPr>
        <w:endnoteReference w:id="69"/>
      </w:r>
      <w:r w:rsidRPr="008A4E9C">
        <w:rPr>
          <w:rFonts w:cs="Arial"/>
          <w:snapToGrid w:val="0"/>
          <w:vertAlign w:val="superscript"/>
        </w:rPr>
        <w:t>,</w:t>
      </w:r>
      <w:r>
        <w:rPr>
          <w:rStyle w:val="EndnoteReference"/>
          <w:rFonts w:cs="Arial"/>
          <w:snapToGrid w:val="0"/>
        </w:rPr>
        <w:endnoteReference w:id="70"/>
      </w:r>
      <w:r w:rsidRPr="00E141F1">
        <w:rPr>
          <w:rFonts w:cs="Arial"/>
          <w:snapToGrid w:val="0"/>
        </w:rPr>
        <w:t xml:space="preserve"> This development reflects growing acceptance of working arrangements such as </w:t>
      </w:r>
      <w:proofErr w:type="spellStart"/>
      <w:r w:rsidRPr="00E141F1">
        <w:rPr>
          <w:rFonts w:cs="Arial"/>
          <w:snapToGrid w:val="0"/>
        </w:rPr>
        <w:t>teleworking</w:t>
      </w:r>
      <w:proofErr w:type="spellEnd"/>
      <w:r w:rsidRPr="00E141F1">
        <w:rPr>
          <w:rFonts w:cs="Arial"/>
          <w:snapToGrid w:val="0"/>
        </w:rPr>
        <w:t xml:space="preserve"> and the potential for similar flexible working arrangements to reduce operating costs, retain skilled staff and improve general productivity.</w:t>
      </w:r>
    </w:p>
    <w:p w:rsidR="001E6FB8" w:rsidRPr="00C20D36" w:rsidRDefault="001E6FB8" w:rsidP="001E6FB8">
      <w:pPr>
        <w:pStyle w:val="Bodysubheader"/>
        <w:rPr>
          <w:rFonts w:cs="Arial"/>
        </w:rPr>
      </w:pPr>
      <w:r w:rsidRPr="00C20D36">
        <w:rPr>
          <w:rFonts w:cs="Arial"/>
        </w:rPr>
        <w:t>Shifting to cloud-based service delivery</w:t>
      </w:r>
    </w:p>
    <w:p w:rsidR="001E6FB8" w:rsidRPr="00E141F1" w:rsidRDefault="001E6FB8" w:rsidP="001E6FB8">
      <w:pPr>
        <w:pStyle w:val="ListBullet"/>
        <w:spacing w:after="240"/>
        <w:rPr>
          <w:rFonts w:cs="Arial"/>
          <w:snapToGrid w:val="0"/>
        </w:rPr>
      </w:pPr>
      <w:r w:rsidRPr="00E141F1">
        <w:rPr>
          <w:rFonts w:cs="Arial"/>
          <w:snapToGrid w:val="0"/>
        </w:rPr>
        <w:t>The move to personal cloud services has emerged as a result of increasing network capacity and the use of multiple devices to access the internet. ACMA research shows 14.00 million Australians used a cloud service (including email and social-networking services) in the six months to May 2013, an 11 per cent increase compared to 12.57 million using these services in the six months to May 2012.</w:t>
      </w:r>
      <w:r w:rsidRPr="00E141F1">
        <w:rPr>
          <w:rStyle w:val="EndnoteReference"/>
          <w:rFonts w:cs="Arial"/>
          <w:snapToGrid w:val="0"/>
          <w:color w:val="000000"/>
        </w:rPr>
        <w:endnoteReference w:id="71"/>
      </w:r>
      <w:r>
        <w:rPr>
          <w:rFonts w:cs="Arial"/>
          <w:snapToGrid w:val="0"/>
        </w:rPr>
        <w:t xml:space="preserve"> </w:t>
      </w:r>
    </w:p>
    <w:p w:rsidR="001E6FB8" w:rsidRPr="00C20D36" w:rsidRDefault="001E6FB8" w:rsidP="001E6FB8">
      <w:pPr>
        <w:pStyle w:val="Bodysubheader"/>
        <w:rPr>
          <w:rFonts w:cs="Arial"/>
        </w:rPr>
      </w:pPr>
      <w:r w:rsidRPr="00C20D36">
        <w:rPr>
          <w:rFonts w:cs="Arial"/>
        </w:rPr>
        <w:t>Interacting with government</w:t>
      </w:r>
    </w:p>
    <w:p w:rsidR="001E6FB8" w:rsidRPr="00E141F1" w:rsidRDefault="001E6FB8" w:rsidP="001E6FB8">
      <w:pPr>
        <w:rPr>
          <w:rFonts w:cs="Arial"/>
          <w:snapToGrid w:val="0"/>
        </w:rPr>
      </w:pPr>
      <w:r w:rsidRPr="00E141F1">
        <w:rPr>
          <w:rFonts w:cs="Arial"/>
          <w:snapToGrid w:val="0"/>
        </w:rPr>
        <w:t>On the back of ACMA research, which shows that 82 per cent of Australians internet users at June 2012 expect to deal with business and government online</w:t>
      </w:r>
      <w:r w:rsidRPr="00E141F1">
        <w:rPr>
          <w:rStyle w:val="EndnoteReference"/>
          <w:rFonts w:cs="Arial"/>
          <w:snapToGrid w:val="0"/>
          <w:color w:val="000000"/>
        </w:rPr>
        <w:endnoteReference w:id="72"/>
      </w:r>
      <w:r w:rsidRPr="00E141F1">
        <w:rPr>
          <w:rFonts w:cs="Arial"/>
          <w:snapToGrid w:val="0"/>
        </w:rPr>
        <w:t>, 8.95 million people accessed government (local, state and federal) services online in the six months to May 2013. This is a seven per cent increase from the 8.39 million people accessing e-government services in the six months to May 2012.</w:t>
      </w:r>
    </w:p>
    <w:p w:rsidR="001E6FB8" w:rsidRDefault="001E6FB8" w:rsidP="001E6FB8">
      <w:pPr>
        <w:spacing w:line="240" w:lineRule="auto"/>
        <w:rPr>
          <w:rFonts w:cs="Arial"/>
          <w:snapToGrid w:val="0"/>
        </w:rPr>
      </w:pPr>
      <w:r>
        <w:rPr>
          <w:rFonts w:cs="Arial"/>
          <w:snapToGrid w:val="0"/>
        </w:rPr>
        <w:br w:type="page"/>
      </w:r>
    </w:p>
    <w:p w:rsidR="001E6FB8" w:rsidRPr="00FB79D3" w:rsidRDefault="001E6FB8" w:rsidP="001E6FB8">
      <w:pPr>
        <w:rPr>
          <w:rFonts w:cs="Arial"/>
          <w:snapToGrid w:val="0"/>
          <w:sz w:val="8"/>
          <w:szCs w:val="8"/>
        </w:rPr>
      </w:pPr>
    </w:p>
    <w:p w:rsidR="001E6FB8" w:rsidRDefault="001E6FB8" w:rsidP="001E6FB8">
      <w:pPr>
        <w:rPr>
          <w:rFonts w:cs="Arial"/>
          <w:snapToGrid w:val="0"/>
        </w:rPr>
        <w:sectPr w:rsidR="001E6FB8" w:rsidSect="001E6FB8">
          <w:endnotePr>
            <w:numFmt w:val="decimal"/>
            <w:numRestart w:val="eachSect"/>
          </w:endnotePr>
          <w:pgSz w:w="11906" w:h="16838" w:code="9"/>
          <w:pgMar w:top="1945" w:right="3101" w:bottom="868" w:left="1134" w:header="709" w:footer="119" w:gutter="0"/>
          <w:cols w:space="708"/>
          <w:docGrid w:linePitch="360"/>
        </w:sectPr>
      </w:pPr>
    </w:p>
    <w:p w:rsidR="001E6FB8" w:rsidRPr="00E141F1" w:rsidRDefault="001E6FB8" w:rsidP="001E6FB8">
      <w:pPr>
        <w:pStyle w:val="Heading1"/>
      </w:pPr>
      <w:bookmarkStart w:id="673" w:name="_Toc341428451"/>
      <w:bookmarkStart w:id="674" w:name="_Toc371589139"/>
      <w:bookmarkStart w:id="675" w:name="_Toc373149201"/>
      <w:r w:rsidRPr="00E141F1">
        <w:t>Glossary</w:t>
      </w:r>
      <w:bookmarkEnd w:id="673"/>
      <w:bookmarkEnd w:id="674"/>
      <w:bookmarkEnd w:id="675"/>
    </w:p>
    <w:p w:rsidR="001E6FB8" w:rsidRPr="00E141F1" w:rsidRDefault="001E6FB8" w:rsidP="001E6FB8">
      <w:pPr>
        <w:spacing w:after="60"/>
        <w:rPr>
          <w:rFonts w:cs="Arial"/>
          <w:b/>
        </w:rPr>
      </w:pPr>
      <w:r w:rsidRPr="00E141F1">
        <w:rPr>
          <w:rFonts w:cs="Arial"/>
          <w:b/>
        </w:rPr>
        <w:t>2G—second generation mobile telecommunications</w:t>
      </w:r>
    </w:p>
    <w:p w:rsidR="001E6FB8" w:rsidRPr="00E141F1" w:rsidRDefault="001E6FB8" w:rsidP="001E6FB8">
      <w:r w:rsidRPr="00E141F1">
        <w:t xml:space="preserve">Mobile telecommunications services that use digital techniques, providing voice communications and a relatively low transmission rate for data. </w:t>
      </w:r>
    </w:p>
    <w:p w:rsidR="001E6FB8" w:rsidRPr="00E141F1" w:rsidRDefault="001E6FB8" w:rsidP="001E6FB8">
      <w:pPr>
        <w:autoSpaceDE w:val="0"/>
        <w:autoSpaceDN w:val="0"/>
        <w:adjustRightInd w:val="0"/>
        <w:spacing w:line="240" w:lineRule="auto"/>
        <w:rPr>
          <w:rFonts w:cs="Arial"/>
          <w:color w:val="4D4D4F"/>
          <w:szCs w:val="20"/>
        </w:rPr>
      </w:pPr>
    </w:p>
    <w:p w:rsidR="001E6FB8" w:rsidRPr="00E141F1" w:rsidRDefault="001E6FB8" w:rsidP="001E6FB8">
      <w:pPr>
        <w:spacing w:after="60"/>
        <w:rPr>
          <w:rFonts w:cs="Arial"/>
          <w:b/>
        </w:rPr>
      </w:pPr>
      <w:r w:rsidRPr="00E141F1">
        <w:rPr>
          <w:rFonts w:cs="Arial"/>
          <w:b/>
        </w:rPr>
        <w:t>3G—third generation mobile telecommunications</w:t>
      </w:r>
    </w:p>
    <w:p w:rsidR="001E6FB8" w:rsidRPr="00B46727" w:rsidRDefault="001E6FB8" w:rsidP="001E6FB8">
      <w:r w:rsidRPr="00B46727">
        <w:t xml:space="preserve">Broadband mobile telecommunications services supporting both voice channels, and IP-based video and data services. </w:t>
      </w:r>
    </w:p>
    <w:p w:rsidR="001E6FB8" w:rsidRPr="00E141F1" w:rsidRDefault="001E6FB8" w:rsidP="001E6FB8">
      <w:pPr>
        <w:autoSpaceDE w:val="0"/>
        <w:autoSpaceDN w:val="0"/>
        <w:adjustRightInd w:val="0"/>
        <w:spacing w:line="240" w:lineRule="auto"/>
        <w:rPr>
          <w:rFonts w:cs="Arial"/>
          <w:color w:val="4D4D4F"/>
          <w:szCs w:val="20"/>
        </w:rPr>
      </w:pPr>
    </w:p>
    <w:p w:rsidR="001E6FB8" w:rsidRPr="00E141F1" w:rsidRDefault="001E6FB8" w:rsidP="001E6FB8">
      <w:pPr>
        <w:spacing w:after="60"/>
        <w:rPr>
          <w:rFonts w:cs="Arial"/>
          <w:b/>
        </w:rPr>
      </w:pPr>
      <w:r w:rsidRPr="00E141F1">
        <w:rPr>
          <w:rFonts w:cs="Arial"/>
          <w:b/>
        </w:rPr>
        <w:t>4G—forth generation mobile telecommunications</w:t>
      </w:r>
    </w:p>
    <w:p w:rsidR="001E6FB8" w:rsidRPr="00E141F1" w:rsidRDefault="001E6FB8" w:rsidP="001E6FB8">
      <w:pPr>
        <w:autoSpaceDE w:val="0"/>
        <w:autoSpaceDN w:val="0"/>
        <w:adjustRightInd w:val="0"/>
        <w:spacing w:line="240" w:lineRule="auto"/>
        <w:rPr>
          <w:rFonts w:cs="Arial"/>
          <w:color w:val="4D4D4F"/>
          <w:szCs w:val="20"/>
        </w:rPr>
      </w:pPr>
      <w:r w:rsidRPr="00B46727">
        <w:t>Enhanced broadband mobile telecommunications services supporting voice, video and data services over an all IP network</w:t>
      </w:r>
      <w:r w:rsidRPr="00E141F1">
        <w:rPr>
          <w:rFonts w:cs="Arial"/>
          <w:color w:val="4D4D4F"/>
          <w:szCs w:val="20"/>
        </w:rPr>
        <w:t xml:space="preserve">. </w:t>
      </w:r>
    </w:p>
    <w:p w:rsidR="001E6FB8" w:rsidRPr="00E141F1" w:rsidRDefault="001E6FB8" w:rsidP="001E6FB8">
      <w:pPr>
        <w:autoSpaceDE w:val="0"/>
        <w:autoSpaceDN w:val="0"/>
        <w:adjustRightInd w:val="0"/>
        <w:spacing w:line="240" w:lineRule="auto"/>
        <w:rPr>
          <w:rFonts w:cs="Arial"/>
          <w:color w:val="4D4D4F"/>
          <w:szCs w:val="20"/>
        </w:rPr>
      </w:pPr>
    </w:p>
    <w:p w:rsidR="001E6FB8" w:rsidRPr="00E141F1" w:rsidRDefault="001E6FB8" w:rsidP="001E6FB8">
      <w:pPr>
        <w:spacing w:after="60"/>
        <w:rPr>
          <w:rFonts w:cs="Arial"/>
          <w:b/>
          <w:color w:val="4D4D4F"/>
        </w:rPr>
      </w:pPr>
      <w:r w:rsidRPr="00E141F1">
        <w:rPr>
          <w:rFonts w:cs="Arial"/>
          <w:b/>
          <w:bCs/>
        </w:rPr>
        <w:t>ABC</w:t>
      </w:r>
      <w:r w:rsidRPr="00B46727">
        <w:rPr>
          <w:rFonts w:cs="Arial"/>
          <w:b/>
          <w:color w:val="4D4D4F"/>
        </w:rPr>
        <w:t>—</w:t>
      </w:r>
      <w:r w:rsidRPr="00B46727">
        <w:rPr>
          <w:rFonts w:cs="Arial"/>
          <w:b/>
        </w:rPr>
        <w:t>Australian Broadcasting Corporation</w:t>
      </w:r>
    </w:p>
    <w:p w:rsidR="001E6FB8" w:rsidRPr="00B46727" w:rsidRDefault="001E6FB8" w:rsidP="001E6FB8">
      <w:r w:rsidRPr="00B46727">
        <w:t>Free-to-air national broadcaster of ABC radio and television channels, as well as online services, funded by the Australian Government.</w:t>
      </w:r>
    </w:p>
    <w:p w:rsidR="001E6FB8" w:rsidRPr="00E141F1" w:rsidRDefault="001E6FB8" w:rsidP="001E6FB8">
      <w:pPr>
        <w:autoSpaceDE w:val="0"/>
        <w:autoSpaceDN w:val="0"/>
        <w:adjustRightInd w:val="0"/>
        <w:spacing w:line="240" w:lineRule="auto"/>
        <w:rPr>
          <w:rFonts w:cs="Arial"/>
          <w:color w:val="4D4D4F"/>
          <w:szCs w:val="20"/>
        </w:rPr>
      </w:pPr>
    </w:p>
    <w:p w:rsidR="001E6FB8" w:rsidRPr="00E141F1" w:rsidRDefault="001E6FB8" w:rsidP="001E6FB8">
      <w:pPr>
        <w:spacing w:after="60"/>
        <w:rPr>
          <w:rFonts w:cs="Arial"/>
          <w:b/>
          <w:color w:val="4D4D4F"/>
        </w:rPr>
      </w:pPr>
      <w:r w:rsidRPr="00E141F1">
        <w:rPr>
          <w:rFonts w:cs="Arial"/>
          <w:b/>
        </w:rPr>
        <w:t>ABS</w:t>
      </w:r>
      <w:r w:rsidRPr="00B46727">
        <w:rPr>
          <w:rFonts w:cs="Arial"/>
          <w:b/>
        </w:rPr>
        <w:t>—</w:t>
      </w:r>
      <w:r w:rsidRPr="00B46727">
        <w:rPr>
          <w:rFonts w:cs="Arial"/>
          <w:b/>
          <w:szCs w:val="20"/>
        </w:rPr>
        <w:t>Australian Bureau of Statistics</w:t>
      </w:r>
    </w:p>
    <w:p w:rsidR="001E6FB8" w:rsidRPr="00B46727" w:rsidRDefault="001E6FB8" w:rsidP="001E6FB8">
      <w:r w:rsidRPr="00B46727">
        <w:t>Commonwealth body responsible for collecting, analysing and publishing Australian demographic data.</w:t>
      </w:r>
    </w:p>
    <w:p w:rsidR="001E6FB8" w:rsidRPr="00E141F1" w:rsidRDefault="001E6FB8" w:rsidP="001E6FB8">
      <w:pPr>
        <w:autoSpaceDE w:val="0"/>
        <w:autoSpaceDN w:val="0"/>
        <w:adjustRightInd w:val="0"/>
        <w:spacing w:line="240" w:lineRule="auto"/>
        <w:rPr>
          <w:rFonts w:cs="Arial"/>
          <w:color w:val="4D4D4F"/>
          <w:szCs w:val="20"/>
        </w:rPr>
      </w:pPr>
    </w:p>
    <w:p w:rsidR="001E6FB8" w:rsidRPr="00E141F1" w:rsidRDefault="001E6FB8" w:rsidP="001E6FB8">
      <w:pPr>
        <w:spacing w:after="60"/>
        <w:rPr>
          <w:rFonts w:cs="Arial"/>
          <w:b/>
        </w:rPr>
      </w:pPr>
      <w:r w:rsidRPr="00E141F1">
        <w:rPr>
          <w:rFonts w:cs="Arial"/>
          <w:b/>
        </w:rPr>
        <w:t>ACCC</w:t>
      </w:r>
      <w:r w:rsidRPr="00B46727">
        <w:rPr>
          <w:rFonts w:cs="Arial"/>
          <w:b/>
        </w:rPr>
        <w:t>—</w:t>
      </w:r>
      <w:r w:rsidRPr="00B46727">
        <w:rPr>
          <w:rFonts w:cs="Arial"/>
          <w:b/>
          <w:szCs w:val="20"/>
        </w:rPr>
        <w:t>Australian Competition and Consumer Commission</w:t>
      </w:r>
    </w:p>
    <w:p w:rsidR="001E6FB8" w:rsidRPr="00B46727" w:rsidRDefault="001E6FB8" w:rsidP="001E6FB8">
      <w:r w:rsidRPr="00B46727">
        <w:t xml:space="preserve">Commonwealth regulatory body with responsibilities derived from the </w:t>
      </w:r>
      <w:r w:rsidRPr="00B46727">
        <w:rPr>
          <w:i/>
        </w:rPr>
        <w:t>Competition and Consumer Act 2010</w:t>
      </w:r>
      <w:r w:rsidRPr="00B46727">
        <w:t xml:space="preserve"> (formerly the </w:t>
      </w:r>
      <w:r w:rsidRPr="00B46727">
        <w:rPr>
          <w:i/>
        </w:rPr>
        <w:t>Trade Practices Act 1974</w:t>
      </w:r>
      <w:r w:rsidRPr="00B46727">
        <w:t>).</w:t>
      </w:r>
    </w:p>
    <w:p w:rsidR="001E6FB8" w:rsidRPr="00E141F1" w:rsidRDefault="001E6FB8" w:rsidP="001E6FB8">
      <w:pPr>
        <w:autoSpaceDE w:val="0"/>
        <w:autoSpaceDN w:val="0"/>
        <w:adjustRightInd w:val="0"/>
        <w:spacing w:line="240" w:lineRule="auto"/>
        <w:rPr>
          <w:rFonts w:cs="Arial"/>
          <w:b/>
          <w:bCs/>
          <w:color w:val="4D4D4F"/>
          <w:szCs w:val="20"/>
        </w:rPr>
      </w:pPr>
    </w:p>
    <w:p w:rsidR="001E6FB8" w:rsidRPr="00E141F1" w:rsidRDefault="001E6FB8" w:rsidP="001E6FB8">
      <w:pPr>
        <w:spacing w:after="60"/>
        <w:rPr>
          <w:rFonts w:cs="Arial"/>
          <w:b/>
          <w:color w:val="4D4D4F"/>
          <w:szCs w:val="20"/>
        </w:rPr>
      </w:pPr>
      <w:r w:rsidRPr="00E141F1">
        <w:rPr>
          <w:rFonts w:cs="Arial"/>
          <w:b/>
        </w:rPr>
        <w:t>ACE</w:t>
      </w:r>
      <w:r w:rsidRPr="00B46727">
        <w:rPr>
          <w:rFonts w:cs="Arial"/>
          <w:b/>
        </w:rPr>
        <w:t>—</w:t>
      </w:r>
      <w:r w:rsidRPr="00B46727">
        <w:rPr>
          <w:rFonts w:cs="Arial"/>
          <w:b/>
          <w:szCs w:val="20"/>
        </w:rPr>
        <w:t>Australian Communication Exchange</w:t>
      </w:r>
    </w:p>
    <w:p w:rsidR="001E6FB8" w:rsidRPr="00B46727" w:rsidRDefault="001E6FB8" w:rsidP="001E6FB8">
      <w:r w:rsidRPr="00B46727">
        <w:t xml:space="preserve">A national non-for-profit organisation that currently provides the relay component of the National Relay Service. </w:t>
      </w:r>
    </w:p>
    <w:p w:rsidR="001E6FB8" w:rsidRPr="00E141F1" w:rsidRDefault="001E6FB8" w:rsidP="001E6FB8">
      <w:pPr>
        <w:autoSpaceDE w:val="0"/>
        <w:autoSpaceDN w:val="0"/>
        <w:adjustRightInd w:val="0"/>
        <w:spacing w:line="240" w:lineRule="auto"/>
        <w:rPr>
          <w:rFonts w:cs="Arial"/>
          <w:b/>
          <w:bCs/>
          <w:color w:val="4D4D4F"/>
          <w:szCs w:val="20"/>
        </w:rPr>
      </w:pPr>
    </w:p>
    <w:p w:rsidR="001E6FB8" w:rsidRPr="00E141F1" w:rsidRDefault="001E6FB8" w:rsidP="001E6FB8">
      <w:pPr>
        <w:autoSpaceDE w:val="0"/>
        <w:autoSpaceDN w:val="0"/>
        <w:adjustRightInd w:val="0"/>
        <w:spacing w:line="240" w:lineRule="auto"/>
        <w:outlineLvl w:val="0"/>
        <w:rPr>
          <w:rFonts w:cs="Arial"/>
          <w:b/>
          <w:bCs/>
          <w:color w:val="4D4D4F"/>
          <w:szCs w:val="20"/>
        </w:rPr>
      </w:pPr>
      <w:r w:rsidRPr="00E141F1">
        <w:rPr>
          <w:rFonts w:cs="Arial"/>
          <w:b/>
          <w:bCs/>
          <w:szCs w:val="26"/>
        </w:rPr>
        <w:t>ACMA—</w:t>
      </w:r>
      <w:r w:rsidRPr="00B46727">
        <w:rPr>
          <w:rFonts w:cs="Arial"/>
          <w:b/>
          <w:szCs w:val="20"/>
        </w:rPr>
        <w:t>Australian Communications and Media Authority</w:t>
      </w:r>
    </w:p>
    <w:p w:rsidR="001E6FB8" w:rsidRPr="00E141F1" w:rsidRDefault="001E6FB8" w:rsidP="001E6FB8">
      <w:r w:rsidRPr="00E141F1">
        <w:t xml:space="preserve">Commonwealth regulatory authority for broadcasting, online content, </w:t>
      </w:r>
      <w:proofErr w:type="spellStart"/>
      <w:r w:rsidRPr="00E141F1">
        <w:t>radiocommunications</w:t>
      </w:r>
      <w:proofErr w:type="spellEnd"/>
      <w:r w:rsidRPr="00E141F1">
        <w:t xml:space="preserve"> and telecommunications, with responsibilities under the </w:t>
      </w:r>
      <w:r w:rsidRPr="00E141F1">
        <w:rPr>
          <w:i/>
          <w:iCs/>
        </w:rPr>
        <w:t>Broadcasting Services Act 1992</w:t>
      </w:r>
      <w:r w:rsidRPr="00E141F1">
        <w:t xml:space="preserve">, the </w:t>
      </w:r>
      <w:proofErr w:type="spellStart"/>
      <w:r w:rsidRPr="00E141F1">
        <w:rPr>
          <w:i/>
          <w:iCs/>
        </w:rPr>
        <w:t>Radiocommunications</w:t>
      </w:r>
      <w:proofErr w:type="spellEnd"/>
      <w:r w:rsidRPr="00E141F1">
        <w:rPr>
          <w:i/>
          <w:iCs/>
        </w:rPr>
        <w:t xml:space="preserve"> Act 1992</w:t>
      </w:r>
      <w:r w:rsidRPr="00E141F1">
        <w:t xml:space="preserve">, the </w:t>
      </w:r>
      <w:r w:rsidRPr="00E141F1">
        <w:rPr>
          <w:i/>
          <w:iCs/>
        </w:rPr>
        <w:t xml:space="preserve">Telecommunications Act 1997 </w:t>
      </w:r>
      <w:r w:rsidRPr="00E141F1">
        <w:t>and related Acts. Established on 1 July 2005 following a merger of the Australian Communications Authority and the Australian Broadcasting Authority.</w:t>
      </w:r>
    </w:p>
    <w:p w:rsidR="001E6FB8" w:rsidRPr="00E141F1" w:rsidRDefault="001E6FB8" w:rsidP="001E6FB8">
      <w:pPr>
        <w:autoSpaceDE w:val="0"/>
        <w:autoSpaceDN w:val="0"/>
        <w:adjustRightInd w:val="0"/>
        <w:spacing w:line="240" w:lineRule="auto"/>
        <w:rPr>
          <w:rFonts w:cs="Arial"/>
          <w:color w:val="4D4D4F"/>
          <w:szCs w:val="20"/>
        </w:rPr>
      </w:pPr>
    </w:p>
    <w:p w:rsidR="001E6FB8" w:rsidRPr="00E141F1" w:rsidRDefault="001E6FB8" w:rsidP="001E6FB8">
      <w:pPr>
        <w:autoSpaceDE w:val="0"/>
        <w:autoSpaceDN w:val="0"/>
        <w:adjustRightInd w:val="0"/>
        <w:spacing w:line="240" w:lineRule="auto"/>
        <w:outlineLvl w:val="0"/>
        <w:rPr>
          <w:rFonts w:cs="Arial"/>
          <w:b/>
          <w:bCs/>
          <w:szCs w:val="26"/>
        </w:rPr>
      </w:pPr>
      <w:r w:rsidRPr="00E141F1">
        <w:rPr>
          <w:rFonts w:cs="Arial"/>
          <w:b/>
          <w:bCs/>
          <w:szCs w:val="26"/>
        </w:rPr>
        <w:t>ADSL—asymmetric digital subscriber line</w:t>
      </w:r>
    </w:p>
    <w:p w:rsidR="001E6FB8" w:rsidRPr="00E141F1" w:rsidRDefault="001E6FB8" w:rsidP="001E6FB8">
      <w:r w:rsidRPr="00E141F1">
        <w:t xml:space="preserve">A transmission technology that enables high-speed data services to be delivered over a twisted pair copper line, typically with a download speed in excess of 256 </w:t>
      </w:r>
      <w:proofErr w:type="spellStart"/>
      <w:r w:rsidRPr="00E141F1">
        <w:t>kbit</w:t>
      </w:r>
      <w:proofErr w:type="spellEnd"/>
      <w:r w:rsidRPr="00E141F1">
        <w:t>/s, but with a lower upload data speed.</w:t>
      </w:r>
    </w:p>
    <w:p w:rsidR="001E6FB8" w:rsidRPr="00E141F1" w:rsidRDefault="001E6FB8" w:rsidP="001E6FB8">
      <w:pPr>
        <w:autoSpaceDE w:val="0"/>
        <w:autoSpaceDN w:val="0"/>
        <w:adjustRightInd w:val="0"/>
        <w:spacing w:line="240" w:lineRule="auto"/>
        <w:rPr>
          <w:rFonts w:cs="Arial"/>
          <w:color w:val="4D4D4F"/>
          <w:szCs w:val="20"/>
        </w:rPr>
      </w:pPr>
    </w:p>
    <w:p w:rsidR="001E6FB8" w:rsidRPr="00E141F1" w:rsidRDefault="001E6FB8" w:rsidP="001E6FB8">
      <w:pPr>
        <w:autoSpaceDE w:val="0"/>
        <w:autoSpaceDN w:val="0"/>
        <w:adjustRightInd w:val="0"/>
        <w:spacing w:line="240" w:lineRule="auto"/>
        <w:outlineLvl w:val="0"/>
        <w:rPr>
          <w:rFonts w:cs="Arial"/>
          <w:b/>
          <w:bCs/>
          <w:szCs w:val="26"/>
        </w:rPr>
      </w:pPr>
      <w:r w:rsidRPr="00E141F1">
        <w:rPr>
          <w:rFonts w:cs="Arial"/>
          <w:b/>
          <w:bCs/>
          <w:szCs w:val="26"/>
        </w:rPr>
        <w:t xml:space="preserve">ADSL2 </w:t>
      </w:r>
    </w:p>
    <w:p w:rsidR="001E6FB8" w:rsidRPr="00E141F1" w:rsidRDefault="001E6FB8" w:rsidP="001E6FB8">
      <w:r w:rsidRPr="00E141F1">
        <w:t>Allows for increased line speeds and new power-saving elements, and extends the reach of the original ADSL specification.</w:t>
      </w:r>
    </w:p>
    <w:p w:rsidR="001E6FB8" w:rsidRPr="00E141F1" w:rsidRDefault="001E6FB8" w:rsidP="001E6FB8">
      <w:pPr>
        <w:autoSpaceDE w:val="0"/>
        <w:autoSpaceDN w:val="0"/>
        <w:adjustRightInd w:val="0"/>
        <w:spacing w:line="240" w:lineRule="auto"/>
        <w:rPr>
          <w:rFonts w:cs="Arial"/>
          <w:color w:val="4D4D4F"/>
          <w:szCs w:val="20"/>
        </w:rPr>
      </w:pPr>
    </w:p>
    <w:p w:rsidR="001E6FB8" w:rsidRPr="00E141F1" w:rsidRDefault="001E6FB8" w:rsidP="001E6FB8">
      <w:pPr>
        <w:autoSpaceDE w:val="0"/>
        <w:autoSpaceDN w:val="0"/>
        <w:adjustRightInd w:val="0"/>
        <w:spacing w:line="240" w:lineRule="auto"/>
        <w:outlineLvl w:val="0"/>
        <w:rPr>
          <w:rFonts w:cs="Arial"/>
          <w:b/>
          <w:bCs/>
          <w:szCs w:val="26"/>
        </w:rPr>
      </w:pPr>
      <w:r w:rsidRPr="00E141F1">
        <w:rPr>
          <w:rFonts w:cs="Arial"/>
          <w:b/>
          <w:bCs/>
          <w:szCs w:val="26"/>
        </w:rPr>
        <w:t xml:space="preserve">ADSL2+ </w:t>
      </w:r>
    </w:p>
    <w:p w:rsidR="001E6FB8" w:rsidRPr="00E141F1" w:rsidRDefault="001E6FB8" w:rsidP="001E6FB8">
      <w:r w:rsidRPr="00E141F1">
        <w:t>This revised version of ADSL2 enables increased speeds by increasing the frequency range used on the twisted pair copper line.</w:t>
      </w:r>
    </w:p>
    <w:p w:rsidR="001E6FB8" w:rsidRPr="00E141F1" w:rsidRDefault="001E6FB8" w:rsidP="001E6FB8">
      <w:pPr>
        <w:autoSpaceDE w:val="0"/>
        <w:autoSpaceDN w:val="0"/>
        <w:adjustRightInd w:val="0"/>
        <w:spacing w:line="240" w:lineRule="auto"/>
        <w:outlineLvl w:val="0"/>
        <w:rPr>
          <w:rFonts w:cs="Arial"/>
          <w:color w:val="4D4D4F"/>
          <w:szCs w:val="20"/>
        </w:rPr>
      </w:pPr>
    </w:p>
    <w:p w:rsidR="001E6FB8" w:rsidRPr="00E141F1" w:rsidRDefault="001E6FB8" w:rsidP="001E6FB8">
      <w:pPr>
        <w:autoSpaceDE w:val="0"/>
        <w:autoSpaceDN w:val="0"/>
        <w:adjustRightInd w:val="0"/>
        <w:spacing w:line="240" w:lineRule="auto"/>
        <w:outlineLvl w:val="0"/>
        <w:rPr>
          <w:rFonts w:cs="Arial"/>
          <w:b/>
          <w:bCs/>
          <w:color w:val="4D4D4F"/>
          <w:szCs w:val="20"/>
        </w:rPr>
      </w:pPr>
      <w:r w:rsidRPr="00E141F1">
        <w:rPr>
          <w:rFonts w:cs="Arial"/>
          <w:b/>
          <w:bCs/>
          <w:szCs w:val="26"/>
        </w:rPr>
        <w:t>AFP</w:t>
      </w:r>
      <w:r w:rsidRPr="00B46727">
        <w:rPr>
          <w:rFonts w:cs="Arial"/>
          <w:b/>
          <w:bCs/>
          <w:szCs w:val="26"/>
        </w:rPr>
        <w:t>—</w:t>
      </w:r>
      <w:r w:rsidRPr="00B46727">
        <w:rPr>
          <w:rFonts w:cs="Arial"/>
          <w:b/>
          <w:szCs w:val="20"/>
        </w:rPr>
        <w:t>Australian Federal Police</w:t>
      </w:r>
    </w:p>
    <w:p w:rsidR="001E6FB8" w:rsidRPr="00E141F1" w:rsidRDefault="001E6FB8" w:rsidP="001E6FB8">
      <w:r w:rsidRPr="00E141F1">
        <w:t>Australia’s national police force. The ACMA works with the AFP on email spam and illegal internet content such as child pornography that is hosted outside Australia.</w:t>
      </w:r>
    </w:p>
    <w:p w:rsidR="001E6FB8" w:rsidRPr="00E141F1" w:rsidRDefault="001E6FB8" w:rsidP="001E6FB8"/>
    <w:p w:rsidR="001E6FB8" w:rsidRPr="00B46727" w:rsidRDefault="001E6FB8" w:rsidP="001E6FB8">
      <w:pPr>
        <w:autoSpaceDE w:val="0"/>
        <w:autoSpaceDN w:val="0"/>
        <w:adjustRightInd w:val="0"/>
        <w:spacing w:line="240" w:lineRule="auto"/>
        <w:outlineLvl w:val="0"/>
        <w:rPr>
          <w:rFonts w:cs="Arial"/>
          <w:b/>
          <w:bCs/>
          <w:color w:val="4D4D4F"/>
          <w:szCs w:val="20"/>
        </w:rPr>
      </w:pPr>
      <w:r w:rsidRPr="00B46727">
        <w:rPr>
          <w:rFonts w:cs="Arial"/>
          <w:b/>
          <w:bCs/>
          <w:szCs w:val="26"/>
        </w:rPr>
        <w:t>AISI—</w:t>
      </w:r>
      <w:r w:rsidRPr="00B46727">
        <w:rPr>
          <w:rFonts w:cs="Arial"/>
          <w:b/>
          <w:szCs w:val="20"/>
        </w:rPr>
        <w:t>Australian Internet Security Initiative</w:t>
      </w:r>
    </w:p>
    <w:p w:rsidR="001E6FB8" w:rsidRPr="00E141F1" w:rsidRDefault="001E6FB8" w:rsidP="001E6FB8">
      <w:r w:rsidRPr="00E141F1">
        <w:t>Collects data on computers that are operating as zombies, analyses this data and provides free daily reports to participating Australian internet service providers (ISPs) on the zombie computers operating on their networks.</w:t>
      </w:r>
    </w:p>
    <w:p w:rsidR="001E6FB8" w:rsidRPr="00E141F1" w:rsidRDefault="001E6FB8" w:rsidP="001E6FB8">
      <w:pPr>
        <w:autoSpaceDE w:val="0"/>
        <w:autoSpaceDN w:val="0"/>
        <w:adjustRightInd w:val="0"/>
        <w:spacing w:line="240" w:lineRule="auto"/>
        <w:rPr>
          <w:rFonts w:cs="Arial"/>
          <w:color w:val="4D4D4F"/>
          <w:szCs w:val="20"/>
        </w:rPr>
      </w:pPr>
    </w:p>
    <w:p w:rsidR="001E6FB8" w:rsidRPr="00B46727" w:rsidRDefault="001E6FB8" w:rsidP="001E6FB8">
      <w:pPr>
        <w:keepNext/>
        <w:autoSpaceDE w:val="0"/>
        <w:autoSpaceDN w:val="0"/>
        <w:adjustRightInd w:val="0"/>
        <w:spacing w:line="240" w:lineRule="auto"/>
        <w:rPr>
          <w:rFonts w:cs="Arial"/>
          <w:b/>
          <w:color w:val="4D4D4F"/>
          <w:szCs w:val="20"/>
        </w:rPr>
      </w:pPr>
      <w:r w:rsidRPr="00B46727">
        <w:rPr>
          <w:rFonts w:cs="Arial"/>
          <w:b/>
          <w:bCs/>
          <w:szCs w:val="26"/>
        </w:rPr>
        <w:t>AMTA—</w:t>
      </w:r>
      <w:r w:rsidRPr="00B46727">
        <w:rPr>
          <w:rFonts w:cs="Arial"/>
          <w:b/>
          <w:szCs w:val="20"/>
        </w:rPr>
        <w:t>Australian Mobile Telecommunications Association</w:t>
      </w:r>
    </w:p>
    <w:p w:rsidR="001E6FB8" w:rsidRPr="00E141F1" w:rsidRDefault="001E6FB8" w:rsidP="001E6FB8">
      <w:r w:rsidRPr="00E141F1">
        <w:t>Association of mobile industry suppliers and manufacturers.</w:t>
      </w:r>
    </w:p>
    <w:p w:rsidR="001E6FB8" w:rsidRPr="00E141F1" w:rsidRDefault="001E6FB8" w:rsidP="001E6FB8">
      <w:pPr>
        <w:autoSpaceDE w:val="0"/>
        <w:autoSpaceDN w:val="0"/>
        <w:adjustRightInd w:val="0"/>
        <w:spacing w:line="240" w:lineRule="auto"/>
        <w:rPr>
          <w:rFonts w:cs="Arial"/>
          <w:color w:val="4D4D4F"/>
          <w:szCs w:val="20"/>
        </w:rPr>
      </w:pPr>
    </w:p>
    <w:p w:rsidR="001E6FB8" w:rsidRPr="00B46727" w:rsidRDefault="001E6FB8" w:rsidP="001E6FB8">
      <w:pPr>
        <w:autoSpaceDE w:val="0"/>
        <w:autoSpaceDN w:val="0"/>
        <w:adjustRightInd w:val="0"/>
        <w:spacing w:line="240" w:lineRule="auto"/>
        <w:rPr>
          <w:rFonts w:cs="Arial"/>
          <w:b/>
          <w:bCs/>
          <w:color w:val="4D4D4F"/>
          <w:szCs w:val="20"/>
        </w:rPr>
      </w:pPr>
      <w:proofErr w:type="spellStart"/>
      <w:r w:rsidRPr="00B46727">
        <w:rPr>
          <w:rFonts w:cs="Arial"/>
          <w:b/>
          <w:bCs/>
          <w:szCs w:val="26"/>
        </w:rPr>
        <w:t>auDA—</w:t>
      </w:r>
      <w:r w:rsidRPr="00B46727">
        <w:rPr>
          <w:rFonts w:cs="Arial"/>
          <w:b/>
          <w:szCs w:val="20"/>
        </w:rPr>
        <w:t>.au</w:t>
      </w:r>
      <w:proofErr w:type="spellEnd"/>
      <w:r w:rsidRPr="00B46727">
        <w:rPr>
          <w:rFonts w:cs="Arial"/>
          <w:b/>
          <w:szCs w:val="20"/>
        </w:rPr>
        <w:t xml:space="preserve"> Domain Administration</w:t>
      </w:r>
    </w:p>
    <w:p w:rsidR="001E6FB8" w:rsidRPr="00E141F1" w:rsidRDefault="001E6FB8" w:rsidP="001E6FB8">
      <w:r w:rsidRPr="00E141F1">
        <w:t>Organisation established to develop an effective self-regulatory regime for internet domain names in Australia.</w:t>
      </w:r>
    </w:p>
    <w:p w:rsidR="001E6FB8" w:rsidRPr="00E141F1" w:rsidRDefault="001E6FB8" w:rsidP="001E6FB8"/>
    <w:p w:rsidR="001E6FB8" w:rsidRPr="00E141F1" w:rsidRDefault="001E6FB8" w:rsidP="001E6FB8">
      <w:pPr>
        <w:rPr>
          <w:b/>
          <w:bCs/>
          <w:szCs w:val="26"/>
        </w:rPr>
      </w:pPr>
      <w:r w:rsidRPr="00E141F1">
        <w:rPr>
          <w:b/>
          <w:bCs/>
          <w:szCs w:val="26"/>
        </w:rPr>
        <w:t>ARPU—average revenue per user</w:t>
      </w:r>
    </w:p>
    <w:p w:rsidR="001E6FB8" w:rsidRPr="00E141F1" w:rsidRDefault="001E6FB8" w:rsidP="001E6FB8">
      <w:pPr>
        <w:rPr>
          <w:b/>
          <w:bCs/>
        </w:rPr>
      </w:pPr>
      <w:r w:rsidRPr="00E141F1">
        <w:t>Income that is calculated by dividing a provider’s total revenue by the number of subscribers or communications devices to that network.</w:t>
      </w:r>
    </w:p>
    <w:p w:rsidR="001E6FB8" w:rsidRPr="00E141F1" w:rsidRDefault="001E6FB8" w:rsidP="001E6FB8">
      <w:pPr>
        <w:rPr>
          <w:b/>
          <w:bCs/>
        </w:rPr>
      </w:pPr>
    </w:p>
    <w:p w:rsidR="001E6FB8" w:rsidRPr="00E141F1" w:rsidRDefault="001E6FB8" w:rsidP="001E6FB8">
      <w:pPr>
        <w:rPr>
          <w:b/>
          <w:bCs/>
          <w:szCs w:val="26"/>
        </w:rPr>
      </w:pPr>
      <w:r w:rsidRPr="00E141F1">
        <w:rPr>
          <w:b/>
          <w:bCs/>
          <w:szCs w:val="26"/>
        </w:rPr>
        <w:t xml:space="preserve">bandwidth </w:t>
      </w:r>
    </w:p>
    <w:p w:rsidR="001E6FB8" w:rsidRPr="00E141F1" w:rsidRDefault="001E6FB8" w:rsidP="001E6FB8">
      <w:r w:rsidRPr="00E141F1">
        <w:t xml:space="preserve">The range of frequencies available to be occupied by signals. In </w:t>
      </w:r>
      <w:proofErr w:type="spellStart"/>
      <w:r w:rsidRPr="00E141F1">
        <w:t>analog</w:t>
      </w:r>
      <w:proofErr w:type="spellEnd"/>
      <w:r w:rsidRPr="00E141F1">
        <w:t xml:space="preserve"> systems it is measured in hertz (Hz) and in digital systems in bits per second (bit/s). Generally, the higher the bandwidth, the greater the amount of information that can be transmitted in a given period.</w:t>
      </w:r>
    </w:p>
    <w:p w:rsidR="001E6FB8" w:rsidRPr="00E141F1" w:rsidRDefault="001E6FB8" w:rsidP="001E6FB8"/>
    <w:p w:rsidR="001E6FB8" w:rsidRPr="00E141F1" w:rsidRDefault="001E6FB8" w:rsidP="001E6FB8">
      <w:pPr>
        <w:rPr>
          <w:b/>
          <w:bCs/>
          <w:szCs w:val="26"/>
        </w:rPr>
      </w:pPr>
      <w:r w:rsidRPr="00E141F1">
        <w:rPr>
          <w:b/>
          <w:bCs/>
          <w:szCs w:val="26"/>
        </w:rPr>
        <w:t>bit/s—bits per second</w:t>
      </w:r>
    </w:p>
    <w:p w:rsidR="001E6FB8" w:rsidRPr="00E141F1" w:rsidRDefault="001E6FB8" w:rsidP="001E6FB8">
      <w:r w:rsidRPr="00E141F1">
        <w:t xml:space="preserve">Rate of transfer of data. See also </w:t>
      </w:r>
      <w:proofErr w:type="spellStart"/>
      <w:r w:rsidRPr="00E141F1">
        <w:rPr>
          <w:b/>
        </w:rPr>
        <w:t>Gbit</w:t>
      </w:r>
      <w:proofErr w:type="spellEnd"/>
      <w:r w:rsidRPr="00E141F1">
        <w:rPr>
          <w:b/>
        </w:rPr>
        <w:t>/s</w:t>
      </w:r>
      <w:r w:rsidRPr="00E141F1">
        <w:t xml:space="preserve">, </w:t>
      </w:r>
      <w:proofErr w:type="spellStart"/>
      <w:r w:rsidRPr="00E141F1">
        <w:rPr>
          <w:b/>
        </w:rPr>
        <w:t>kbit</w:t>
      </w:r>
      <w:proofErr w:type="spellEnd"/>
      <w:r w:rsidRPr="00E141F1">
        <w:rPr>
          <w:b/>
        </w:rPr>
        <w:t>/s</w:t>
      </w:r>
      <w:r w:rsidRPr="00E141F1">
        <w:t xml:space="preserve">, </w:t>
      </w:r>
      <w:proofErr w:type="spellStart"/>
      <w:r w:rsidRPr="00E141F1">
        <w:rPr>
          <w:b/>
        </w:rPr>
        <w:t>Mbit</w:t>
      </w:r>
      <w:proofErr w:type="spellEnd"/>
      <w:r w:rsidRPr="00E141F1">
        <w:rPr>
          <w:b/>
        </w:rPr>
        <w:t>/s</w:t>
      </w:r>
      <w:r w:rsidRPr="00E141F1">
        <w:t>.</w:t>
      </w:r>
    </w:p>
    <w:p w:rsidR="001E6FB8" w:rsidRPr="00E141F1" w:rsidRDefault="001E6FB8" w:rsidP="001E6FB8"/>
    <w:p w:rsidR="001E6FB8" w:rsidRPr="00E141F1" w:rsidRDefault="001E6FB8" w:rsidP="001E6FB8">
      <w:pPr>
        <w:rPr>
          <w:b/>
          <w:bCs/>
          <w:szCs w:val="26"/>
        </w:rPr>
      </w:pPr>
      <w:r w:rsidRPr="00E141F1">
        <w:rPr>
          <w:b/>
          <w:bCs/>
          <w:szCs w:val="26"/>
        </w:rPr>
        <w:t xml:space="preserve">broadband </w:t>
      </w:r>
    </w:p>
    <w:p w:rsidR="001E6FB8" w:rsidRPr="00E141F1" w:rsidRDefault="001E6FB8" w:rsidP="001E6FB8">
      <w:r w:rsidRPr="00E141F1">
        <w:t>Typically defined as internet access with a download speed of greater or equal to 256</w:t>
      </w:r>
      <w:r>
        <w:t> </w:t>
      </w:r>
      <w:proofErr w:type="spellStart"/>
      <w:r w:rsidRPr="00E141F1">
        <w:t>kbit</w:t>
      </w:r>
      <w:proofErr w:type="spellEnd"/>
      <w:r w:rsidRPr="00E141F1">
        <w:t>/s. Broadband is implemented through a range of technologies such as optical fibre, DSL, HFC cable, mobile broadband, fixed wireless and satellite. Broadband is an ‘always-on’ technology which does not tie up a telephone line exclusively for data.</w:t>
      </w:r>
    </w:p>
    <w:p w:rsidR="001E6FB8" w:rsidRPr="00E141F1" w:rsidRDefault="001E6FB8" w:rsidP="001E6FB8">
      <w:r>
        <w:t xml:space="preserve"> </w:t>
      </w:r>
      <w:r w:rsidRPr="00E141F1">
        <w:t xml:space="preserve"> </w:t>
      </w:r>
    </w:p>
    <w:p w:rsidR="001E6FB8" w:rsidRPr="00E141F1" w:rsidRDefault="001E6FB8" w:rsidP="001E6FB8">
      <w:pPr>
        <w:rPr>
          <w:b/>
          <w:bCs/>
          <w:szCs w:val="26"/>
        </w:rPr>
      </w:pPr>
      <w:r w:rsidRPr="00E141F1">
        <w:rPr>
          <w:b/>
          <w:bCs/>
          <w:szCs w:val="26"/>
        </w:rPr>
        <w:t>BSB—broadcasting services bands</w:t>
      </w:r>
    </w:p>
    <w:p w:rsidR="001E6FB8" w:rsidRPr="00E141F1" w:rsidRDefault="001E6FB8" w:rsidP="001E6FB8">
      <w:r w:rsidRPr="00E141F1">
        <w:t>Parts of the radiofrequency spectrum dedicated to broadcasting services.</w:t>
      </w:r>
    </w:p>
    <w:p w:rsidR="001E6FB8" w:rsidRPr="00E141F1" w:rsidRDefault="001E6FB8" w:rsidP="001E6FB8">
      <w:pPr>
        <w:rPr>
          <w:b/>
          <w:bCs/>
        </w:rPr>
      </w:pPr>
    </w:p>
    <w:p w:rsidR="001E6FB8" w:rsidRPr="00E141F1" w:rsidRDefault="001E6FB8" w:rsidP="001E6FB8">
      <w:pPr>
        <w:rPr>
          <w:b/>
          <w:bCs/>
          <w:szCs w:val="26"/>
        </w:rPr>
      </w:pPr>
      <w:r w:rsidRPr="00E141F1">
        <w:rPr>
          <w:b/>
          <w:bCs/>
          <w:szCs w:val="26"/>
        </w:rPr>
        <w:t xml:space="preserve">carrier </w:t>
      </w:r>
    </w:p>
    <w:p w:rsidR="001E6FB8" w:rsidRPr="00E141F1" w:rsidRDefault="001E6FB8" w:rsidP="001E6FB8">
      <w:r w:rsidRPr="00E141F1">
        <w:t xml:space="preserve">The holder of a telecommunications carrier licence in force under the </w:t>
      </w:r>
      <w:r w:rsidRPr="00E141F1">
        <w:rPr>
          <w:i/>
          <w:iCs/>
        </w:rPr>
        <w:t>Telecommunications Act 1997</w:t>
      </w:r>
      <w:r w:rsidRPr="00E141F1">
        <w:t>.</w:t>
      </w:r>
    </w:p>
    <w:p w:rsidR="001E6FB8" w:rsidRPr="00E141F1" w:rsidRDefault="001E6FB8" w:rsidP="001E6FB8"/>
    <w:p w:rsidR="001E6FB8" w:rsidRPr="00E141F1" w:rsidRDefault="001E6FB8" w:rsidP="001E6FB8">
      <w:pPr>
        <w:rPr>
          <w:b/>
          <w:bCs/>
          <w:szCs w:val="26"/>
        </w:rPr>
      </w:pPr>
      <w:r w:rsidRPr="00E141F1">
        <w:rPr>
          <w:b/>
          <w:bCs/>
          <w:szCs w:val="26"/>
        </w:rPr>
        <w:t>catch-up TV</w:t>
      </w:r>
    </w:p>
    <w:p w:rsidR="001E6FB8" w:rsidRPr="00E141F1" w:rsidRDefault="001E6FB8" w:rsidP="001E6FB8">
      <w:pPr>
        <w:rPr>
          <w:bCs/>
        </w:rPr>
      </w:pPr>
      <w:r w:rsidRPr="00E141F1">
        <w:rPr>
          <w:bCs/>
        </w:rPr>
        <w:t xml:space="preserve">Internet service typically provided on free-to-air and subscription broadcasters’ websites enabling users to watch a recent episode of a television program over the internet for a limited period of time. </w:t>
      </w:r>
    </w:p>
    <w:p w:rsidR="001E6FB8" w:rsidRPr="00E141F1" w:rsidRDefault="001E6FB8" w:rsidP="001E6FB8">
      <w:pPr>
        <w:rPr>
          <w:b/>
          <w:bCs/>
        </w:rPr>
      </w:pPr>
    </w:p>
    <w:p w:rsidR="001E6FB8" w:rsidRPr="00E141F1" w:rsidRDefault="001E6FB8" w:rsidP="001E6FB8">
      <w:pPr>
        <w:rPr>
          <w:b/>
          <w:bCs/>
          <w:szCs w:val="26"/>
        </w:rPr>
      </w:pPr>
      <w:r w:rsidRPr="00E141F1">
        <w:rPr>
          <w:b/>
          <w:bCs/>
          <w:szCs w:val="26"/>
        </w:rPr>
        <w:t>CEASA—Commercial Economic Advisory Service of Australia</w:t>
      </w:r>
    </w:p>
    <w:p w:rsidR="001E6FB8" w:rsidRPr="00E141F1" w:rsidRDefault="001E6FB8" w:rsidP="001E6FB8">
      <w:r w:rsidRPr="00E141F1">
        <w:t>An information research company specialising in media, economic, marketing and advertising research, surveys and publications.</w:t>
      </w:r>
    </w:p>
    <w:p w:rsidR="001E6FB8" w:rsidRPr="00E141F1" w:rsidRDefault="001E6FB8" w:rsidP="001E6FB8"/>
    <w:p w:rsidR="001E6FB8" w:rsidRPr="00E141F1" w:rsidRDefault="001E6FB8" w:rsidP="001E6FB8">
      <w:pPr>
        <w:rPr>
          <w:b/>
          <w:bCs/>
          <w:szCs w:val="26"/>
        </w:rPr>
      </w:pPr>
      <w:r w:rsidRPr="00E141F1">
        <w:rPr>
          <w:b/>
          <w:bCs/>
          <w:szCs w:val="26"/>
        </w:rPr>
        <w:t>cloud computing</w:t>
      </w:r>
    </w:p>
    <w:p w:rsidR="001E6FB8" w:rsidRPr="00E141F1" w:rsidRDefault="001E6FB8" w:rsidP="001E6FB8">
      <w:r w:rsidRPr="00E141F1">
        <w:t>Internet-based computing where data and applications are hosted online, stored on remote servers and available to clients on demand through broadband internet-enabled devices.</w:t>
      </w:r>
    </w:p>
    <w:p w:rsidR="001E6FB8" w:rsidRPr="00E141F1" w:rsidRDefault="001E6FB8" w:rsidP="001E6FB8">
      <w:pPr>
        <w:rPr>
          <w:b/>
          <w:bCs/>
        </w:rPr>
      </w:pPr>
    </w:p>
    <w:p w:rsidR="001E6FB8" w:rsidRPr="00E141F1" w:rsidRDefault="001E6FB8" w:rsidP="001E6FB8">
      <w:pPr>
        <w:rPr>
          <w:b/>
          <w:bCs/>
        </w:rPr>
      </w:pPr>
      <w:r w:rsidRPr="00B46727">
        <w:rPr>
          <w:rFonts w:cs="Arial"/>
          <w:b/>
          <w:szCs w:val="20"/>
        </w:rPr>
        <w:t>Communications Alliance</w:t>
      </w:r>
      <w:r w:rsidRPr="00E141F1">
        <w:t xml:space="preserve"> </w:t>
      </w:r>
      <w:r w:rsidRPr="00E141F1">
        <w:rPr>
          <w:b/>
          <w:bCs/>
          <w:szCs w:val="26"/>
        </w:rPr>
        <w:t>(CA)</w:t>
      </w:r>
    </w:p>
    <w:p w:rsidR="001E6FB8" w:rsidRPr="00E141F1" w:rsidRDefault="001E6FB8" w:rsidP="001E6FB8">
      <w:r w:rsidRPr="00E141F1">
        <w:t>Industry organisation formed on 1 September 2006 from the merger of the Australian Communications Industry Forum (ACIF) and the Service Providers Association Network (SPAN).</w:t>
      </w:r>
    </w:p>
    <w:p w:rsidR="001E6FB8" w:rsidRPr="00E141F1" w:rsidRDefault="001E6FB8" w:rsidP="001E6FB8"/>
    <w:p w:rsidR="001E6FB8" w:rsidRDefault="001E6FB8" w:rsidP="001E6FB8">
      <w:pPr>
        <w:keepNext/>
        <w:pageBreakBefore/>
        <w:rPr>
          <w:b/>
          <w:bCs/>
          <w:szCs w:val="26"/>
        </w:rPr>
      </w:pPr>
      <w:r w:rsidRPr="00E141F1">
        <w:rPr>
          <w:b/>
          <w:bCs/>
          <w:szCs w:val="26"/>
        </w:rPr>
        <w:t>CSG—Customer Service Guarantee</w:t>
      </w:r>
    </w:p>
    <w:p w:rsidR="001E6FB8" w:rsidRPr="00E141F1" w:rsidRDefault="001E6FB8" w:rsidP="001E6FB8">
      <w:r w:rsidRPr="00E141F1">
        <w:t>Standard providing for financial compensation to customers where requirements set out in the CSG Standard are not met.</w:t>
      </w:r>
    </w:p>
    <w:p w:rsidR="001E6FB8" w:rsidRPr="00E141F1" w:rsidRDefault="001E6FB8" w:rsidP="001E6FB8"/>
    <w:p w:rsidR="001E6FB8" w:rsidRPr="00E141F1" w:rsidRDefault="001E6FB8" w:rsidP="001E6FB8">
      <w:pPr>
        <w:rPr>
          <w:b/>
          <w:bCs/>
          <w:szCs w:val="26"/>
        </w:rPr>
      </w:pPr>
      <w:r w:rsidRPr="00E141F1">
        <w:rPr>
          <w:b/>
          <w:bCs/>
          <w:szCs w:val="26"/>
        </w:rPr>
        <w:t>CSP—carriage service provider</w:t>
      </w:r>
    </w:p>
    <w:p w:rsidR="001E6FB8" w:rsidRPr="00E141F1" w:rsidRDefault="001E6FB8" w:rsidP="001E6FB8">
      <w:r w:rsidRPr="00E141F1">
        <w:t xml:space="preserve">Person supplying or proposing to supply certain carriage services to a customer, including a commercial entity acquiring telecommunications capacity or services from a carrier for resale to a third party. Under the </w:t>
      </w:r>
      <w:r w:rsidRPr="00E141F1">
        <w:rPr>
          <w:i/>
          <w:iCs/>
        </w:rPr>
        <w:t xml:space="preserve">Telecommunications Act 1997, </w:t>
      </w:r>
      <w:r w:rsidRPr="00E141F1">
        <w:t>internet and pay TV service providers fall within the definition of carriage service providers.</w:t>
      </w:r>
    </w:p>
    <w:p w:rsidR="001E6FB8" w:rsidRPr="00E141F1" w:rsidRDefault="001E6FB8" w:rsidP="001E6FB8"/>
    <w:p w:rsidR="001E6FB8" w:rsidRPr="00E141F1" w:rsidRDefault="001E6FB8" w:rsidP="001E6FB8">
      <w:pPr>
        <w:rPr>
          <w:b/>
          <w:bCs/>
        </w:rPr>
      </w:pPr>
      <w:r w:rsidRPr="00E141F1">
        <w:rPr>
          <w:b/>
          <w:bCs/>
          <w:szCs w:val="26"/>
        </w:rPr>
        <w:t>CTS—Children’s Television Standards</w:t>
      </w:r>
    </w:p>
    <w:p w:rsidR="001E6FB8" w:rsidRPr="00E141F1" w:rsidRDefault="001E6FB8" w:rsidP="001E6FB8">
      <w:r w:rsidRPr="00E141F1">
        <w:t>Standards designed to provide access for children (aged under 14 years) to quality television programs made specifically for them. The standards regulate timing and scheduling of children’s programs and content of adjacent programming.</w:t>
      </w:r>
    </w:p>
    <w:p w:rsidR="001E6FB8" w:rsidRPr="00E141F1" w:rsidRDefault="001E6FB8" w:rsidP="001E6FB8">
      <w:pPr>
        <w:rPr>
          <w:b/>
          <w:bCs/>
        </w:rPr>
      </w:pPr>
    </w:p>
    <w:p w:rsidR="001E6FB8" w:rsidRPr="00E141F1" w:rsidRDefault="001E6FB8" w:rsidP="001E6FB8">
      <w:pPr>
        <w:rPr>
          <w:b/>
          <w:bCs/>
          <w:szCs w:val="26"/>
        </w:rPr>
      </w:pPr>
      <w:proofErr w:type="spellStart"/>
      <w:r w:rsidRPr="00E141F1">
        <w:rPr>
          <w:b/>
          <w:bCs/>
          <w:szCs w:val="26"/>
        </w:rPr>
        <w:t>datacasting</w:t>
      </w:r>
      <w:proofErr w:type="spellEnd"/>
      <w:r w:rsidRPr="00E141F1">
        <w:rPr>
          <w:b/>
          <w:bCs/>
          <w:szCs w:val="26"/>
        </w:rPr>
        <w:t xml:space="preserve"> </w:t>
      </w:r>
    </w:p>
    <w:p w:rsidR="001E6FB8" w:rsidRPr="00E141F1" w:rsidRDefault="001E6FB8" w:rsidP="001E6FB8">
      <w:r w:rsidRPr="00E141F1">
        <w:t>A service that delivers content in the form of text, data, speech, music or other sounds, visual images, or any other form or combinations of forms, where delivery uses the BSB.</w:t>
      </w:r>
    </w:p>
    <w:p w:rsidR="001E6FB8" w:rsidRPr="00E141F1" w:rsidRDefault="001E6FB8" w:rsidP="001E6FB8"/>
    <w:p w:rsidR="001E6FB8" w:rsidRPr="00E141F1" w:rsidRDefault="001E6FB8" w:rsidP="001E6FB8">
      <w:pPr>
        <w:rPr>
          <w:b/>
          <w:bCs/>
          <w:szCs w:val="26"/>
        </w:rPr>
      </w:pPr>
      <w:r w:rsidRPr="00E141F1">
        <w:rPr>
          <w:b/>
          <w:bCs/>
          <w:szCs w:val="26"/>
        </w:rPr>
        <w:t xml:space="preserve">data rate </w:t>
      </w:r>
    </w:p>
    <w:p w:rsidR="001E6FB8" w:rsidRPr="00E141F1" w:rsidRDefault="001E6FB8" w:rsidP="001E6FB8">
      <w:r w:rsidRPr="00E141F1">
        <w:t>Volume of data able to be transmitted over a given period of time. Data rates are usually measured in bits per second.</w:t>
      </w:r>
    </w:p>
    <w:p w:rsidR="001E6FB8" w:rsidRPr="00E141F1" w:rsidRDefault="001E6FB8" w:rsidP="001E6FB8"/>
    <w:p w:rsidR="001E6FB8" w:rsidRPr="00E141F1" w:rsidRDefault="001E6FB8" w:rsidP="001E6FB8">
      <w:pPr>
        <w:rPr>
          <w:b/>
          <w:bCs/>
          <w:szCs w:val="26"/>
        </w:rPr>
      </w:pPr>
      <w:r w:rsidRPr="00E141F1">
        <w:rPr>
          <w:b/>
          <w:bCs/>
          <w:szCs w:val="26"/>
        </w:rPr>
        <w:t xml:space="preserve">data traffic </w:t>
      </w:r>
    </w:p>
    <w:p w:rsidR="001E6FB8" w:rsidRPr="00E141F1" w:rsidRDefault="001E6FB8" w:rsidP="001E6FB8">
      <w:r w:rsidRPr="00E141F1">
        <w:t>Volume of data transferred in both directions between a customer and his or her ISP. Data traffic is measured in bytes.</w:t>
      </w:r>
    </w:p>
    <w:p w:rsidR="001E6FB8" w:rsidRPr="00E141F1" w:rsidRDefault="001E6FB8" w:rsidP="001E6FB8"/>
    <w:p w:rsidR="001E6FB8" w:rsidRPr="005403A3" w:rsidRDefault="001E6FB8" w:rsidP="001E6FB8">
      <w:pPr>
        <w:rPr>
          <w:b/>
          <w:bCs/>
        </w:rPr>
      </w:pPr>
      <w:r w:rsidRPr="005403A3">
        <w:rPr>
          <w:b/>
          <w:bCs/>
          <w:szCs w:val="26"/>
        </w:rPr>
        <w:t>DBCDE—</w:t>
      </w:r>
      <w:r w:rsidRPr="005403A3">
        <w:rPr>
          <w:rFonts w:cs="Arial"/>
          <w:b/>
          <w:szCs w:val="20"/>
        </w:rPr>
        <w:t>Department of Broadband, Communications and the Digital Economy (now Department of Communications)</w:t>
      </w:r>
    </w:p>
    <w:p w:rsidR="001E6FB8" w:rsidRPr="00E141F1" w:rsidRDefault="001E6FB8" w:rsidP="001E6FB8">
      <w:r w:rsidRPr="00E141F1">
        <w:t>Commonwealth department responsible for, among other things, communications policy.</w:t>
      </w:r>
    </w:p>
    <w:p w:rsidR="001E6FB8" w:rsidRPr="00E141F1" w:rsidRDefault="001E6FB8" w:rsidP="001E6FB8"/>
    <w:p w:rsidR="001E6FB8" w:rsidRPr="00E141F1" w:rsidRDefault="001E6FB8" w:rsidP="001E6FB8">
      <w:pPr>
        <w:rPr>
          <w:b/>
          <w:bCs/>
          <w:i/>
          <w:iCs/>
        </w:rPr>
      </w:pPr>
      <w:r w:rsidRPr="00E141F1">
        <w:rPr>
          <w:b/>
          <w:bCs/>
          <w:szCs w:val="26"/>
        </w:rPr>
        <w:t>DDA</w:t>
      </w:r>
      <w:r w:rsidRPr="007D29A3">
        <w:rPr>
          <w:b/>
          <w:bCs/>
          <w:szCs w:val="26"/>
        </w:rPr>
        <w:t>—</w:t>
      </w:r>
      <w:r w:rsidRPr="007D29A3">
        <w:rPr>
          <w:rFonts w:cs="Arial"/>
          <w:b/>
          <w:i/>
          <w:szCs w:val="20"/>
        </w:rPr>
        <w:t>Disability Discrimination Act 1992</w:t>
      </w:r>
    </w:p>
    <w:p w:rsidR="001E6FB8" w:rsidRPr="00E141F1" w:rsidRDefault="001E6FB8" w:rsidP="001E6FB8">
      <w:r w:rsidRPr="00E141F1">
        <w:t>Commonwealth legislation that makes discrimination on account of one’s disability unlawful.</w:t>
      </w:r>
    </w:p>
    <w:p w:rsidR="001E6FB8" w:rsidRPr="00E141F1" w:rsidRDefault="001E6FB8" w:rsidP="001E6FB8"/>
    <w:p w:rsidR="001E6FB8" w:rsidRPr="00E141F1" w:rsidRDefault="001E6FB8" w:rsidP="001E6FB8">
      <w:pPr>
        <w:rPr>
          <w:b/>
          <w:bCs/>
          <w:szCs w:val="26"/>
        </w:rPr>
      </w:pPr>
      <w:r w:rsidRPr="00E141F1">
        <w:rPr>
          <w:b/>
          <w:bCs/>
          <w:szCs w:val="26"/>
        </w:rPr>
        <w:t>DEP—Disability Equipment Program</w:t>
      </w:r>
    </w:p>
    <w:p w:rsidR="001E6FB8" w:rsidRPr="00E141F1" w:rsidRDefault="001E6FB8" w:rsidP="001E6FB8">
      <w:r w:rsidRPr="00E141F1">
        <w:t>A program for supplying people with disabilities with telecommunications equipment.</w:t>
      </w:r>
    </w:p>
    <w:p w:rsidR="001E6FB8" w:rsidRPr="00E141F1" w:rsidRDefault="001E6FB8" w:rsidP="001E6FB8"/>
    <w:p w:rsidR="001E6FB8" w:rsidRPr="00E141F1" w:rsidRDefault="001E6FB8" w:rsidP="001E6FB8">
      <w:pPr>
        <w:rPr>
          <w:b/>
          <w:bCs/>
          <w:szCs w:val="26"/>
        </w:rPr>
      </w:pPr>
      <w:r w:rsidRPr="00E141F1">
        <w:rPr>
          <w:b/>
          <w:bCs/>
          <w:szCs w:val="26"/>
        </w:rPr>
        <w:t>dial-up internet service</w:t>
      </w:r>
    </w:p>
    <w:p w:rsidR="001E6FB8" w:rsidRPr="00E141F1" w:rsidRDefault="001E6FB8" w:rsidP="001E6FB8">
      <w:r w:rsidRPr="00E141F1">
        <w:t>Service in which subscribers connect to the internet via a modem and dial-up software utilising the PSTN or an ISDN connection.</w:t>
      </w:r>
    </w:p>
    <w:p w:rsidR="001E6FB8" w:rsidRPr="00E141F1" w:rsidRDefault="001E6FB8" w:rsidP="001E6FB8"/>
    <w:p w:rsidR="001E6FB8" w:rsidRPr="00E141F1" w:rsidRDefault="001E6FB8" w:rsidP="001E6FB8">
      <w:pPr>
        <w:rPr>
          <w:b/>
          <w:bCs/>
          <w:szCs w:val="26"/>
        </w:rPr>
      </w:pPr>
      <w:r w:rsidRPr="00E141F1">
        <w:rPr>
          <w:b/>
          <w:bCs/>
          <w:szCs w:val="26"/>
        </w:rPr>
        <w:t>digital television</w:t>
      </w:r>
    </w:p>
    <w:p w:rsidR="001E6FB8" w:rsidRPr="00E141F1" w:rsidRDefault="001E6FB8" w:rsidP="001E6FB8">
      <w:pPr>
        <w:rPr>
          <w:bCs/>
        </w:rPr>
      </w:pPr>
      <w:r w:rsidRPr="00E141F1">
        <w:rPr>
          <w:bCs/>
        </w:rPr>
        <w:t xml:space="preserve">The transmission of television (audio and video) via digital signals, serving as a replacement technology for </w:t>
      </w:r>
      <w:proofErr w:type="spellStart"/>
      <w:r w:rsidRPr="00E141F1">
        <w:rPr>
          <w:bCs/>
        </w:rPr>
        <w:t>analog</w:t>
      </w:r>
      <w:proofErr w:type="spellEnd"/>
      <w:r w:rsidRPr="00E141F1">
        <w:rPr>
          <w:bCs/>
        </w:rPr>
        <w:t xml:space="preserve"> services.</w:t>
      </w:r>
    </w:p>
    <w:p w:rsidR="001E6FB8" w:rsidRPr="00E141F1" w:rsidRDefault="001E6FB8" w:rsidP="001E6FB8">
      <w:pPr>
        <w:rPr>
          <w:b/>
          <w:bCs/>
        </w:rPr>
      </w:pPr>
    </w:p>
    <w:p w:rsidR="001E6FB8" w:rsidRPr="00E141F1" w:rsidRDefault="001E6FB8" w:rsidP="001E6FB8">
      <w:pPr>
        <w:rPr>
          <w:b/>
          <w:bCs/>
          <w:szCs w:val="26"/>
        </w:rPr>
      </w:pPr>
      <w:r w:rsidRPr="00E141F1">
        <w:rPr>
          <w:b/>
          <w:bCs/>
          <w:szCs w:val="26"/>
        </w:rPr>
        <w:t>digital radio</w:t>
      </w:r>
    </w:p>
    <w:p w:rsidR="001E6FB8" w:rsidRPr="00E141F1" w:rsidRDefault="001E6FB8" w:rsidP="001E6FB8">
      <w:pPr>
        <w:rPr>
          <w:bCs/>
        </w:rPr>
      </w:pPr>
      <w:r w:rsidRPr="00E141F1">
        <w:rPr>
          <w:bCs/>
        </w:rPr>
        <w:t>Method for the digital transmission of radio signals for digital radio reception.</w:t>
      </w:r>
    </w:p>
    <w:p w:rsidR="001E6FB8" w:rsidRPr="00E141F1" w:rsidRDefault="001E6FB8" w:rsidP="001E6FB8">
      <w:pPr>
        <w:rPr>
          <w:b/>
          <w:bCs/>
        </w:rPr>
      </w:pPr>
    </w:p>
    <w:p w:rsidR="001E6FB8" w:rsidRPr="00E141F1" w:rsidRDefault="001E6FB8" w:rsidP="001E6FB8">
      <w:pPr>
        <w:rPr>
          <w:b/>
          <w:bCs/>
        </w:rPr>
      </w:pPr>
      <w:r w:rsidRPr="00E141F1">
        <w:rPr>
          <w:b/>
          <w:bCs/>
          <w:szCs w:val="26"/>
        </w:rPr>
        <w:t>DNCR—</w:t>
      </w:r>
      <w:r w:rsidRPr="00B46727">
        <w:rPr>
          <w:rFonts w:cs="Arial"/>
          <w:b/>
          <w:szCs w:val="20"/>
        </w:rPr>
        <w:t>Do Not Call Register</w:t>
      </w:r>
    </w:p>
    <w:p w:rsidR="001E6FB8" w:rsidRPr="00E141F1" w:rsidRDefault="001E6FB8" w:rsidP="001E6FB8">
      <w:r w:rsidRPr="00E141F1">
        <w:t>Register established by the ACMA that allows individuals to register their home and mobile numbers to opt out of receiving most unsolicited telemarketing calls and faxes, with limited exemptions for public interest organisations.</w:t>
      </w:r>
    </w:p>
    <w:p w:rsidR="001E6FB8" w:rsidRPr="00E141F1" w:rsidRDefault="001E6FB8" w:rsidP="001E6FB8"/>
    <w:p w:rsidR="001E6FB8" w:rsidRPr="00E141F1" w:rsidRDefault="001E6FB8" w:rsidP="001E6FB8">
      <w:pPr>
        <w:keepNext/>
        <w:rPr>
          <w:b/>
          <w:bCs/>
          <w:szCs w:val="26"/>
        </w:rPr>
      </w:pPr>
      <w:r w:rsidRPr="00E141F1">
        <w:rPr>
          <w:b/>
          <w:bCs/>
          <w:szCs w:val="26"/>
        </w:rPr>
        <w:t>DSI—domestic systems interference</w:t>
      </w:r>
    </w:p>
    <w:p w:rsidR="001E6FB8" w:rsidRPr="00E141F1" w:rsidRDefault="001E6FB8" w:rsidP="001E6FB8">
      <w:pPr>
        <w:spacing w:after="240"/>
        <w:rPr>
          <w:bCs/>
        </w:rPr>
      </w:pPr>
      <w:r w:rsidRPr="00E141F1">
        <w:rPr>
          <w:bCs/>
        </w:rPr>
        <w:t>Interference to the reception of radio or television broadcasting, usually in domestic premises.</w:t>
      </w:r>
    </w:p>
    <w:p w:rsidR="001E6FB8" w:rsidRPr="00E141F1" w:rsidRDefault="001E6FB8" w:rsidP="001E6FB8">
      <w:pPr>
        <w:rPr>
          <w:b/>
          <w:bCs/>
          <w:szCs w:val="26"/>
        </w:rPr>
      </w:pPr>
      <w:r w:rsidRPr="00E141F1">
        <w:rPr>
          <w:b/>
          <w:bCs/>
          <w:szCs w:val="26"/>
        </w:rPr>
        <w:t>DSLAM—digital subscriber line access multiplexer</w:t>
      </w:r>
    </w:p>
    <w:p w:rsidR="001E6FB8" w:rsidRPr="00E141F1" w:rsidRDefault="001E6FB8" w:rsidP="001E6FB8">
      <w:r w:rsidRPr="00E141F1">
        <w:t>A network device generally located in a telephone exchange that connects multiple customer DSL interfaces to a high-speed digital channel using multiplexing techniques.</w:t>
      </w:r>
    </w:p>
    <w:p w:rsidR="001E6FB8" w:rsidRPr="00E141F1" w:rsidRDefault="001E6FB8" w:rsidP="001E6FB8"/>
    <w:p w:rsidR="001E6FB8" w:rsidRPr="00E141F1" w:rsidRDefault="001E6FB8" w:rsidP="001E6FB8">
      <w:pPr>
        <w:rPr>
          <w:b/>
          <w:bCs/>
          <w:szCs w:val="26"/>
        </w:rPr>
      </w:pPr>
      <w:r w:rsidRPr="00E141F1">
        <w:rPr>
          <w:b/>
          <w:bCs/>
          <w:szCs w:val="26"/>
        </w:rPr>
        <w:t>ECP—emergency call person</w:t>
      </w:r>
    </w:p>
    <w:p w:rsidR="001E6FB8" w:rsidRPr="00E141F1" w:rsidRDefault="001E6FB8" w:rsidP="001E6FB8">
      <w:r w:rsidRPr="00E141F1">
        <w:t>Nominated organisation responsible for handling emergency calls. For calls made to Triple Zero (the primary emergency call number) and 112 (the international emergency number for GSM and WCDMA mobile phones), the ECP is Telstra. For calls made to the 106 text service (for people who are deaf or have a hearing or speech impairment), the ECP is Australian Communication Exchange (ACE).</w:t>
      </w:r>
    </w:p>
    <w:p w:rsidR="001E6FB8" w:rsidRPr="00E141F1" w:rsidRDefault="001E6FB8" w:rsidP="001E6FB8">
      <w:pPr>
        <w:rPr>
          <w:b/>
          <w:bCs/>
        </w:rPr>
      </w:pPr>
    </w:p>
    <w:p w:rsidR="001E6FB8" w:rsidRPr="00E141F1" w:rsidRDefault="001E6FB8" w:rsidP="001E6FB8">
      <w:pPr>
        <w:rPr>
          <w:b/>
          <w:bCs/>
          <w:szCs w:val="26"/>
        </w:rPr>
      </w:pPr>
      <w:r w:rsidRPr="00E141F1">
        <w:rPr>
          <w:b/>
          <w:bCs/>
          <w:szCs w:val="26"/>
        </w:rPr>
        <w:t>EME—electromagnetic energy</w:t>
      </w:r>
    </w:p>
    <w:p w:rsidR="001E6FB8" w:rsidRPr="00E141F1" w:rsidRDefault="001E6FB8" w:rsidP="001E6FB8">
      <w:r w:rsidRPr="00E141F1">
        <w:t>Energy in the form of waves having an electric and magnetic component.</w:t>
      </w:r>
    </w:p>
    <w:p w:rsidR="001E6FB8" w:rsidRPr="00E141F1" w:rsidRDefault="001E6FB8" w:rsidP="001E6FB8"/>
    <w:p w:rsidR="001E6FB8" w:rsidRPr="00E141F1" w:rsidRDefault="001E6FB8" w:rsidP="001E6FB8">
      <w:pPr>
        <w:rPr>
          <w:b/>
          <w:bCs/>
          <w:szCs w:val="26"/>
        </w:rPr>
      </w:pPr>
      <w:r w:rsidRPr="00E141F1">
        <w:rPr>
          <w:b/>
          <w:bCs/>
          <w:szCs w:val="26"/>
        </w:rPr>
        <w:t>ESO—emergency service organisation</w:t>
      </w:r>
    </w:p>
    <w:p w:rsidR="001E6FB8" w:rsidRPr="00E141F1" w:rsidRDefault="001E6FB8" w:rsidP="001E6FB8">
      <w:r w:rsidRPr="00E141F1">
        <w:t>Organisation providing an emergency service—police, ambulance or fire service.</w:t>
      </w:r>
    </w:p>
    <w:p w:rsidR="001E6FB8" w:rsidRPr="00E141F1" w:rsidRDefault="001E6FB8" w:rsidP="001E6FB8">
      <w:pPr>
        <w:rPr>
          <w:b/>
          <w:bCs/>
        </w:rPr>
      </w:pPr>
    </w:p>
    <w:p w:rsidR="001E6FB8" w:rsidRPr="00E141F1" w:rsidRDefault="001E6FB8" w:rsidP="001E6FB8">
      <w:pPr>
        <w:rPr>
          <w:b/>
          <w:bCs/>
          <w:szCs w:val="26"/>
        </w:rPr>
      </w:pPr>
      <w:r w:rsidRPr="00E141F1">
        <w:rPr>
          <w:b/>
          <w:bCs/>
          <w:szCs w:val="26"/>
        </w:rPr>
        <w:t>fixed-line telephone service</w:t>
      </w:r>
    </w:p>
    <w:p w:rsidR="001E6FB8" w:rsidRPr="00E141F1" w:rsidRDefault="001E6FB8" w:rsidP="001E6FB8">
      <w:r w:rsidRPr="00E141F1">
        <w:t>Covers the delivery of voice services over a copper pair-based PSTN access network or fixed-line broadband networks.</w:t>
      </w:r>
    </w:p>
    <w:p w:rsidR="001E6FB8" w:rsidRPr="00E141F1" w:rsidRDefault="001E6FB8" w:rsidP="001E6FB8"/>
    <w:p w:rsidR="001E6FB8" w:rsidRPr="00E141F1" w:rsidRDefault="001E6FB8" w:rsidP="001E6FB8">
      <w:pPr>
        <w:rPr>
          <w:b/>
          <w:bCs/>
          <w:szCs w:val="26"/>
        </w:rPr>
      </w:pPr>
      <w:r w:rsidRPr="00E141F1">
        <w:rPr>
          <w:b/>
          <w:bCs/>
          <w:szCs w:val="26"/>
        </w:rPr>
        <w:t>FLRN—</w:t>
      </w:r>
      <w:proofErr w:type="spellStart"/>
      <w:r w:rsidRPr="00E141F1">
        <w:rPr>
          <w:b/>
          <w:bCs/>
          <w:szCs w:val="26"/>
        </w:rPr>
        <w:t>freephone</w:t>
      </w:r>
      <w:proofErr w:type="spellEnd"/>
      <w:r w:rsidRPr="00E141F1">
        <w:rPr>
          <w:b/>
          <w:bCs/>
          <w:szCs w:val="26"/>
        </w:rPr>
        <w:t xml:space="preserve"> and local rate number</w:t>
      </w:r>
    </w:p>
    <w:p w:rsidR="001E6FB8" w:rsidRPr="00E141F1" w:rsidRDefault="001E6FB8" w:rsidP="001E6FB8">
      <w:r w:rsidRPr="00E141F1">
        <w:t>Telephone numbers commencing with the digits 1800 (</w:t>
      </w:r>
      <w:proofErr w:type="spellStart"/>
      <w:r w:rsidRPr="00E141F1">
        <w:t>freephone</w:t>
      </w:r>
      <w:proofErr w:type="spellEnd"/>
      <w:r w:rsidRPr="00E141F1">
        <w:t>) or 13 (local rate).</w:t>
      </w:r>
    </w:p>
    <w:p w:rsidR="001E6FB8" w:rsidRPr="00E141F1" w:rsidRDefault="001E6FB8" w:rsidP="001E6FB8"/>
    <w:p w:rsidR="001E6FB8" w:rsidRPr="00E141F1" w:rsidRDefault="001E6FB8" w:rsidP="001E6FB8">
      <w:pPr>
        <w:rPr>
          <w:b/>
          <w:bCs/>
          <w:szCs w:val="26"/>
        </w:rPr>
      </w:pPr>
      <w:r w:rsidRPr="00E141F1">
        <w:rPr>
          <w:b/>
          <w:bCs/>
          <w:szCs w:val="26"/>
        </w:rPr>
        <w:t>FM frequency modulation broadcast radio</w:t>
      </w:r>
    </w:p>
    <w:p w:rsidR="001E6FB8" w:rsidRPr="00E141F1" w:rsidRDefault="001E6FB8" w:rsidP="001E6FB8">
      <w:r w:rsidRPr="00E141F1">
        <w:t>A mode of radio broadcasting in which the frequency of the transmitted wave is modulated or varied with the amplitude signal. FM radio signals have good immunity to electrical interference and provide consistent quality reception during the day and night. The geographical coverage area varies, but can be up to 100 kilometres for a high-power FM transmitter. Radiofrequencies for FM broadcasts are expressed in megahertz (MHz).</w:t>
      </w:r>
    </w:p>
    <w:p w:rsidR="001E6FB8" w:rsidRPr="00E141F1" w:rsidRDefault="001E6FB8" w:rsidP="001E6FB8"/>
    <w:p w:rsidR="001E6FB8" w:rsidRPr="00B46727" w:rsidRDefault="001E6FB8" w:rsidP="001E6FB8">
      <w:pPr>
        <w:rPr>
          <w:b/>
          <w:bCs/>
        </w:rPr>
      </w:pPr>
      <w:r w:rsidRPr="00B46727">
        <w:rPr>
          <w:rFonts w:cs="Arial"/>
          <w:b/>
          <w:szCs w:val="20"/>
        </w:rPr>
        <w:t>Free TV Australia</w:t>
      </w:r>
      <w:r w:rsidRPr="00B46727">
        <w:rPr>
          <w:b/>
          <w:bCs/>
        </w:rPr>
        <w:t xml:space="preserve"> </w:t>
      </w:r>
    </w:p>
    <w:p w:rsidR="001E6FB8" w:rsidRPr="00E141F1" w:rsidRDefault="001E6FB8" w:rsidP="001E6FB8">
      <w:r w:rsidRPr="00E141F1">
        <w:t>Industry body that represents Australia’s commercial free-to-air television licensees, and is responsible for developing and reviewing the Commercial Television Industry Code of Practice.</w:t>
      </w:r>
    </w:p>
    <w:p w:rsidR="001E6FB8" w:rsidRPr="00E141F1" w:rsidRDefault="001E6FB8" w:rsidP="001E6FB8"/>
    <w:p w:rsidR="001E6FB8" w:rsidRPr="00E141F1" w:rsidRDefault="001E6FB8" w:rsidP="001E6FB8">
      <w:pPr>
        <w:rPr>
          <w:b/>
          <w:bCs/>
          <w:szCs w:val="26"/>
        </w:rPr>
      </w:pPr>
      <w:r w:rsidRPr="00E141F1">
        <w:rPr>
          <w:b/>
          <w:bCs/>
          <w:szCs w:val="26"/>
        </w:rPr>
        <w:t>FSA—field service area</w:t>
      </w:r>
    </w:p>
    <w:p w:rsidR="001E6FB8" w:rsidRPr="00E141F1" w:rsidRDefault="001E6FB8" w:rsidP="001E6FB8">
      <w:r w:rsidRPr="00E141F1">
        <w:t>One of 44 broad geographic regions in Telstra’s fixed telephone network.</w:t>
      </w:r>
    </w:p>
    <w:p w:rsidR="001E6FB8" w:rsidRPr="00E141F1" w:rsidRDefault="001E6FB8" w:rsidP="001E6FB8"/>
    <w:p w:rsidR="001E6FB8" w:rsidRPr="00E141F1" w:rsidRDefault="001E6FB8" w:rsidP="001E6FB8">
      <w:pPr>
        <w:rPr>
          <w:b/>
          <w:bCs/>
          <w:szCs w:val="26"/>
        </w:rPr>
      </w:pPr>
      <w:r w:rsidRPr="00E141F1">
        <w:rPr>
          <w:b/>
          <w:bCs/>
          <w:szCs w:val="26"/>
        </w:rPr>
        <w:t>FTA TV—free-to-air television</w:t>
      </w:r>
    </w:p>
    <w:p w:rsidR="001E6FB8" w:rsidRPr="00E141F1" w:rsidRDefault="001E6FB8" w:rsidP="001E6FB8">
      <w:pPr>
        <w:rPr>
          <w:b/>
          <w:bCs/>
        </w:rPr>
      </w:pPr>
      <w:r w:rsidRPr="00E141F1">
        <w:rPr>
          <w:bCs/>
        </w:rPr>
        <w:t>Broadcast t</w:t>
      </w:r>
      <w:hyperlink r:id="rId98" w:tooltip="Television" w:history="1">
        <w:r w:rsidRPr="00E141F1">
          <w:rPr>
            <w:bCs/>
          </w:rPr>
          <w:t>elevision</w:t>
        </w:r>
      </w:hyperlink>
      <w:r w:rsidRPr="00E141F1">
        <w:rPr>
          <w:bCs/>
        </w:rPr>
        <w:t xml:space="preserve"> services where the signal is delivered without charge to the viewer.</w:t>
      </w:r>
      <w:r w:rsidRPr="00E141F1">
        <w:t xml:space="preserve"> </w:t>
      </w:r>
    </w:p>
    <w:p w:rsidR="001E6FB8" w:rsidRPr="00E141F1" w:rsidRDefault="001E6FB8" w:rsidP="001E6FB8">
      <w:pPr>
        <w:rPr>
          <w:b/>
          <w:bCs/>
        </w:rPr>
      </w:pPr>
    </w:p>
    <w:p w:rsidR="001E6FB8" w:rsidRPr="00E141F1" w:rsidRDefault="001E6FB8" w:rsidP="001E6FB8">
      <w:pPr>
        <w:rPr>
          <w:b/>
          <w:bCs/>
          <w:szCs w:val="26"/>
        </w:rPr>
      </w:pPr>
      <w:r w:rsidRPr="00E141F1">
        <w:rPr>
          <w:b/>
          <w:bCs/>
          <w:szCs w:val="26"/>
        </w:rPr>
        <w:t>GB—Gigabytes</w:t>
      </w:r>
    </w:p>
    <w:p w:rsidR="001E6FB8" w:rsidRPr="00E141F1" w:rsidRDefault="001E6FB8" w:rsidP="001E6FB8">
      <w:r w:rsidRPr="00E141F1">
        <w:t>One billion bytes. Each byte is eight bits.</w:t>
      </w:r>
    </w:p>
    <w:p w:rsidR="001E6FB8" w:rsidRPr="00E141F1" w:rsidRDefault="001E6FB8" w:rsidP="001E6FB8"/>
    <w:p w:rsidR="001E6FB8" w:rsidRPr="00E141F1" w:rsidRDefault="001E6FB8" w:rsidP="001E6FB8">
      <w:pPr>
        <w:rPr>
          <w:b/>
          <w:bCs/>
          <w:szCs w:val="26"/>
        </w:rPr>
      </w:pPr>
      <w:proofErr w:type="spellStart"/>
      <w:r w:rsidRPr="00E141F1">
        <w:rPr>
          <w:b/>
          <w:bCs/>
          <w:szCs w:val="26"/>
        </w:rPr>
        <w:t>Gbit</w:t>
      </w:r>
      <w:proofErr w:type="spellEnd"/>
      <w:r w:rsidRPr="00E141F1">
        <w:rPr>
          <w:b/>
          <w:bCs/>
          <w:szCs w:val="26"/>
        </w:rPr>
        <w:t>/s—Gigabits per second</w:t>
      </w:r>
    </w:p>
    <w:p w:rsidR="001E6FB8" w:rsidRPr="00E141F1" w:rsidRDefault="001E6FB8" w:rsidP="001E6FB8">
      <w:r w:rsidRPr="00E141F1">
        <w:t xml:space="preserve">Data transfer rate of a billion bits per second. See also </w:t>
      </w:r>
      <w:r w:rsidRPr="00E141F1">
        <w:rPr>
          <w:b/>
        </w:rPr>
        <w:t>bit/s</w:t>
      </w:r>
      <w:r w:rsidRPr="00E141F1">
        <w:t>.</w:t>
      </w:r>
    </w:p>
    <w:p w:rsidR="001E6FB8" w:rsidRPr="00E141F1" w:rsidRDefault="001E6FB8" w:rsidP="001E6FB8"/>
    <w:p w:rsidR="001E6FB8" w:rsidRPr="00E141F1" w:rsidRDefault="001E6FB8" w:rsidP="001E6FB8">
      <w:pPr>
        <w:rPr>
          <w:b/>
          <w:bCs/>
          <w:szCs w:val="26"/>
        </w:rPr>
      </w:pPr>
      <w:r w:rsidRPr="00E141F1">
        <w:rPr>
          <w:b/>
          <w:bCs/>
          <w:szCs w:val="26"/>
        </w:rPr>
        <w:t>geographic numbers</w:t>
      </w:r>
    </w:p>
    <w:p w:rsidR="001E6FB8" w:rsidRPr="00E141F1" w:rsidRDefault="001E6FB8" w:rsidP="001E6FB8">
      <w:pPr>
        <w:spacing w:after="240"/>
      </w:pPr>
      <w:r w:rsidRPr="00E141F1">
        <w:t>Numbers used to provide access to local telephone services and related voicemail and facsimile services. Also known as local numbers.</w:t>
      </w:r>
    </w:p>
    <w:p w:rsidR="001E6FB8" w:rsidRPr="00E141F1" w:rsidRDefault="001E6FB8" w:rsidP="001E6FB8">
      <w:pPr>
        <w:rPr>
          <w:b/>
          <w:bCs/>
          <w:szCs w:val="26"/>
        </w:rPr>
      </w:pPr>
      <w:r w:rsidRPr="00E141F1">
        <w:rPr>
          <w:b/>
          <w:bCs/>
          <w:szCs w:val="26"/>
        </w:rPr>
        <w:t>GHz—Gigahertz</w:t>
      </w:r>
    </w:p>
    <w:p w:rsidR="001E6FB8" w:rsidRPr="00E141F1" w:rsidRDefault="001E6FB8" w:rsidP="001E6FB8">
      <w:pPr>
        <w:spacing w:after="240"/>
      </w:pPr>
      <w:r w:rsidRPr="00E141F1">
        <w:t>One billion Hertz, where one Hertz is the measurement of frequency equal to one cycle of electromagnetic radiation per second.</w:t>
      </w:r>
    </w:p>
    <w:p w:rsidR="001E6FB8" w:rsidRPr="00E141F1" w:rsidRDefault="001E6FB8" w:rsidP="001E6FB8">
      <w:pPr>
        <w:rPr>
          <w:b/>
          <w:bCs/>
          <w:szCs w:val="26"/>
        </w:rPr>
      </w:pPr>
      <w:r w:rsidRPr="00E141F1">
        <w:rPr>
          <w:b/>
          <w:bCs/>
          <w:szCs w:val="26"/>
        </w:rPr>
        <w:t>GSM—global system for mobile communications</w:t>
      </w:r>
    </w:p>
    <w:p w:rsidR="001E6FB8" w:rsidRPr="00E141F1" w:rsidRDefault="001E6FB8" w:rsidP="001E6FB8">
      <w:r w:rsidRPr="00E141F1">
        <w:t>The second generation mobile digital technology originally developed for Europe, but now used globally.</w:t>
      </w:r>
    </w:p>
    <w:p w:rsidR="001E6FB8" w:rsidRPr="00E141F1" w:rsidRDefault="001E6FB8" w:rsidP="001E6FB8"/>
    <w:p w:rsidR="001E6FB8" w:rsidRPr="00E141F1" w:rsidRDefault="001E6FB8" w:rsidP="001E6FB8">
      <w:pPr>
        <w:rPr>
          <w:b/>
          <w:bCs/>
        </w:rPr>
      </w:pPr>
      <w:r w:rsidRPr="00E141F1">
        <w:rPr>
          <w:b/>
          <w:bCs/>
          <w:szCs w:val="26"/>
        </w:rPr>
        <w:t>GPS—global positioning services</w:t>
      </w:r>
    </w:p>
    <w:p w:rsidR="001E6FB8" w:rsidRPr="00E141F1" w:rsidRDefault="001E6FB8" w:rsidP="001E6FB8">
      <w:r w:rsidRPr="00E141F1">
        <w:t>A satellite-based radio navigation system that provides positioning, navigation and timing information. GPS is available to users on a continuous worldwide basis at no cost. It operates on most places on Earth where there is an unobstructed line of sight to four or more GPS satellites.</w:t>
      </w:r>
    </w:p>
    <w:p w:rsidR="001E6FB8" w:rsidRPr="00E141F1" w:rsidRDefault="001E6FB8" w:rsidP="001E6FB8"/>
    <w:p w:rsidR="001E6FB8" w:rsidRPr="00E141F1" w:rsidRDefault="001E6FB8" w:rsidP="001E6FB8">
      <w:pPr>
        <w:rPr>
          <w:b/>
          <w:bCs/>
          <w:szCs w:val="26"/>
        </w:rPr>
      </w:pPr>
      <w:r w:rsidRPr="00E141F1">
        <w:rPr>
          <w:b/>
          <w:bCs/>
          <w:szCs w:val="26"/>
        </w:rPr>
        <w:t xml:space="preserve">HDTV </w:t>
      </w:r>
    </w:p>
    <w:p w:rsidR="001E6FB8" w:rsidRPr="00E141F1" w:rsidRDefault="001E6FB8" w:rsidP="001E6FB8">
      <w:r w:rsidRPr="00E141F1">
        <w:t>A digital television broadcasting system with higher resolution than traditional television systems.</w:t>
      </w:r>
    </w:p>
    <w:p w:rsidR="001E6FB8" w:rsidRPr="00E141F1" w:rsidRDefault="001E6FB8" w:rsidP="001E6FB8"/>
    <w:p w:rsidR="001E6FB8" w:rsidRPr="00E141F1" w:rsidRDefault="001E6FB8" w:rsidP="001E6FB8">
      <w:pPr>
        <w:rPr>
          <w:b/>
          <w:bCs/>
          <w:szCs w:val="26"/>
        </w:rPr>
      </w:pPr>
      <w:r w:rsidRPr="00E141F1">
        <w:rPr>
          <w:b/>
          <w:bCs/>
          <w:szCs w:val="26"/>
        </w:rPr>
        <w:t>HFC cable—hybrid fibre coaxial cable</w:t>
      </w:r>
    </w:p>
    <w:p w:rsidR="001E6FB8" w:rsidRPr="00E141F1" w:rsidRDefault="001E6FB8" w:rsidP="001E6FB8">
      <w:r w:rsidRPr="00E141F1">
        <w:t>Transmission links consisting of optical fibre on main routes, supplemented by coaxial cable closer to the end user’s premises.</w:t>
      </w:r>
    </w:p>
    <w:p w:rsidR="001E6FB8" w:rsidRPr="00E141F1" w:rsidRDefault="001E6FB8" w:rsidP="001E6FB8"/>
    <w:p w:rsidR="001E6FB8" w:rsidRPr="00E141F1" w:rsidRDefault="001E6FB8" w:rsidP="001E6FB8">
      <w:pPr>
        <w:rPr>
          <w:b/>
          <w:bCs/>
        </w:rPr>
      </w:pPr>
      <w:r w:rsidRPr="00E141F1">
        <w:rPr>
          <w:b/>
          <w:bCs/>
          <w:szCs w:val="26"/>
        </w:rPr>
        <w:t>INHOPE</w:t>
      </w:r>
      <w:r w:rsidRPr="00B46727">
        <w:rPr>
          <w:b/>
          <w:bCs/>
          <w:szCs w:val="26"/>
        </w:rPr>
        <w:t>—</w:t>
      </w:r>
      <w:r w:rsidRPr="00B46727">
        <w:rPr>
          <w:rFonts w:cs="Arial"/>
          <w:b/>
          <w:szCs w:val="20"/>
        </w:rPr>
        <w:t>Internet Hotline Providers in Europe Association</w:t>
      </w:r>
    </w:p>
    <w:p w:rsidR="001E6FB8" w:rsidRPr="00E141F1" w:rsidRDefault="001E6FB8" w:rsidP="001E6FB8">
      <w:r w:rsidRPr="00E141F1">
        <w:t>International forum for internet hotlines to exchange information and experience. Member hotlines deal with complaints about illegal internet content, particularly child pornography. The ACMA is an INHOPE member.</w:t>
      </w:r>
    </w:p>
    <w:p w:rsidR="001E6FB8" w:rsidRPr="00E141F1" w:rsidRDefault="001E6FB8" w:rsidP="001E6FB8"/>
    <w:p w:rsidR="001E6FB8" w:rsidRPr="00E141F1" w:rsidRDefault="001E6FB8" w:rsidP="001E6FB8">
      <w:pPr>
        <w:rPr>
          <w:b/>
          <w:bCs/>
          <w:szCs w:val="26"/>
        </w:rPr>
      </w:pPr>
      <w:r w:rsidRPr="00E141F1">
        <w:rPr>
          <w:b/>
          <w:bCs/>
          <w:szCs w:val="26"/>
        </w:rPr>
        <w:t xml:space="preserve">interception </w:t>
      </w:r>
    </w:p>
    <w:p w:rsidR="001E6FB8" w:rsidRPr="00E141F1" w:rsidRDefault="001E6FB8" w:rsidP="001E6FB8">
      <w:r w:rsidRPr="00E141F1">
        <w:t>The interception of telecommunications services for the purpose of law enforcement and national security.</w:t>
      </w:r>
    </w:p>
    <w:p w:rsidR="001E6FB8" w:rsidRPr="00E141F1" w:rsidRDefault="001E6FB8" w:rsidP="001E6FB8"/>
    <w:p w:rsidR="001E6FB8" w:rsidRPr="00E141F1" w:rsidRDefault="001E6FB8" w:rsidP="001E6FB8">
      <w:pPr>
        <w:rPr>
          <w:b/>
          <w:bCs/>
          <w:szCs w:val="26"/>
        </w:rPr>
      </w:pPr>
      <w:r w:rsidRPr="00E141F1">
        <w:rPr>
          <w:b/>
          <w:bCs/>
          <w:szCs w:val="26"/>
        </w:rPr>
        <w:t>ICT—information and communications technology</w:t>
      </w:r>
    </w:p>
    <w:p w:rsidR="001E6FB8" w:rsidRPr="00E141F1" w:rsidRDefault="001E6FB8" w:rsidP="001E6FB8">
      <w:r w:rsidRPr="00E141F1">
        <w:t>Any device or application used for communications.</w:t>
      </w:r>
    </w:p>
    <w:p w:rsidR="001E6FB8" w:rsidRPr="00E141F1" w:rsidRDefault="001E6FB8" w:rsidP="001E6FB8">
      <w:pPr>
        <w:rPr>
          <w:b/>
          <w:bCs/>
        </w:rPr>
      </w:pPr>
    </w:p>
    <w:p w:rsidR="001E6FB8" w:rsidRPr="00E141F1" w:rsidRDefault="001E6FB8" w:rsidP="001E6FB8">
      <w:pPr>
        <w:rPr>
          <w:b/>
          <w:bCs/>
          <w:szCs w:val="26"/>
        </w:rPr>
      </w:pPr>
      <w:r w:rsidRPr="00E141F1">
        <w:rPr>
          <w:b/>
          <w:bCs/>
          <w:szCs w:val="26"/>
        </w:rPr>
        <w:t>IP—internet protocol</w:t>
      </w:r>
    </w:p>
    <w:p w:rsidR="001E6FB8" w:rsidRPr="00E141F1" w:rsidRDefault="001E6FB8" w:rsidP="001E6FB8">
      <w:r w:rsidRPr="00E141F1">
        <w:t xml:space="preserve">The routing protocol used in the internet: it operates at the logical network layer and provides for the end-to-end delivery of packets through the internet. The acronym IP is also used to designate data, traffic, services and equipment supported by or used in the internet. </w:t>
      </w:r>
    </w:p>
    <w:p w:rsidR="001E6FB8" w:rsidRPr="00E141F1" w:rsidRDefault="001E6FB8" w:rsidP="001E6FB8"/>
    <w:p w:rsidR="001E6FB8" w:rsidRPr="00E141F1" w:rsidRDefault="001E6FB8" w:rsidP="001E6FB8">
      <w:pPr>
        <w:rPr>
          <w:b/>
          <w:bCs/>
          <w:szCs w:val="26"/>
        </w:rPr>
      </w:pPr>
      <w:r w:rsidRPr="00E141F1">
        <w:rPr>
          <w:b/>
          <w:bCs/>
          <w:szCs w:val="26"/>
        </w:rPr>
        <w:t>IPND—Integrated Public Number Database</w:t>
      </w:r>
    </w:p>
    <w:p w:rsidR="001E6FB8" w:rsidRPr="00E141F1" w:rsidRDefault="001E6FB8" w:rsidP="001E6FB8">
      <w:r w:rsidRPr="00E141F1">
        <w:t>Database of number, name and address information about customers of telecommunications services in Australia, for all carriers and CSPs.</w:t>
      </w:r>
    </w:p>
    <w:p w:rsidR="001E6FB8" w:rsidRPr="00E141F1" w:rsidRDefault="001E6FB8" w:rsidP="001E6FB8"/>
    <w:p w:rsidR="001E6FB8" w:rsidRPr="00E141F1" w:rsidRDefault="001E6FB8" w:rsidP="001E6FB8">
      <w:pPr>
        <w:rPr>
          <w:b/>
          <w:bCs/>
          <w:szCs w:val="26"/>
        </w:rPr>
      </w:pPr>
      <w:r w:rsidRPr="00E141F1">
        <w:rPr>
          <w:b/>
          <w:bCs/>
          <w:szCs w:val="26"/>
        </w:rPr>
        <w:t>IPTV—internet protocol television</w:t>
      </w:r>
    </w:p>
    <w:p w:rsidR="001E6FB8" w:rsidRPr="00E141F1" w:rsidRDefault="001E6FB8" w:rsidP="001E6FB8">
      <w:r w:rsidRPr="00E141F1">
        <w:t>High-end multimedia services such as television, video and graphics delivered over managed IP-based networks that provide an acceptable level of Quality of Service (</w:t>
      </w:r>
      <w:proofErr w:type="spellStart"/>
      <w:r w:rsidRPr="00E141F1">
        <w:t>QoS</w:t>
      </w:r>
      <w:proofErr w:type="spellEnd"/>
      <w:r w:rsidRPr="00E141F1">
        <w:t>)/Quality of Experience (</w:t>
      </w:r>
      <w:proofErr w:type="spellStart"/>
      <w:r w:rsidRPr="00E141F1">
        <w:t>QoE</w:t>
      </w:r>
      <w:proofErr w:type="spellEnd"/>
      <w:r w:rsidRPr="00E141F1">
        <w:t>), security, interactivity and reliability.</w:t>
      </w:r>
    </w:p>
    <w:p w:rsidR="001E6FB8" w:rsidRPr="00E141F1" w:rsidRDefault="001E6FB8" w:rsidP="001E6FB8"/>
    <w:p w:rsidR="001E6FB8" w:rsidRPr="00E141F1" w:rsidRDefault="001E6FB8" w:rsidP="001E6FB8">
      <w:pPr>
        <w:rPr>
          <w:b/>
          <w:bCs/>
          <w:szCs w:val="26"/>
        </w:rPr>
      </w:pPr>
      <w:r w:rsidRPr="00E141F1">
        <w:rPr>
          <w:b/>
          <w:bCs/>
          <w:szCs w:val="26"/>
        </w:rPr>
        <w:t>ISP—internet service provider</w:t>
      </w:r>
    </w:p>
    <w:p w:rsidR="001E6FB8" w:rsidRPr="00E141F1" w:rsidRDefault="001E6FB8" w:rsidP="001E6FB8">
      <w:r w:rsidRPr="00E141F1">
        <w:t>A CSP offering internet access to the public or another service provider.</w:t>
      </w:r>
    </w:p>
    <w:p w:rsidR="001E6FB8" w:rsidRPr="00E141F1" w:rsidRDefault="001E6FB8" w:rsidP="001E6FB8"/>
    <w:p w:rsidR="001E6FB8" w:rsidRPr="00E141F1" w:rsidRDefault="001E6FB8" w:rsidP="001E6FB8">
      <w:pPr>
        <w:rPr>
          <w:b/>
          <w:bCs/>
          <w:szCs w:val="26"/>
        </w:rPr>
      </w:pPr>
      <w:r w:rsidRPr="00E141F1">
        <w:rPr>
          <w:b/>
          <w:bCs/>
          <w:szCs w:val="26"/>
        </w:rPr>
        <w:t>KB—kilobyte(s)</w:t>
      </w:r>
    </w:p>
    <w:p w:rsidR="001E6FB8" w:rsidRPr="00E141F1" w:rsidRDefault="001E6FB8" w:rsidP="001E6FB8">
      <w:r w:rsidRPr="00E141F1">
        <w:t xml:space="preserve">A thousand bytes. </w:t>
      </w:r>
    </w:p>
    <w:p w:rsidR="001E6FB8" w:rsidRPr="00E141F1" w:rsidRDefault="001E6FB8" w:rsidP="001E6FB8"/>
    <w:p w:rsidR="001E6FB8" w:rsidRPr="00E141F1" w:rsidRDefault="001E6FB8" w:rsidP="001E6FB8">
      <w:pPr>
        <w:rPr>
          <w:b/>
          <w:bCs/>
          <w:szCs w:val="26"/>
        </w:rPr>
      </w:pPr>
      <w:proofErr w:type="spellStart"/>
      <w:r w:rsidRPr="00E141F1">
        <w:rPr>
          <w:b/>
          <w:bCs/>
          <w:szCs w:val="26"/>
        </w:rPr>
        <w:t>kbit</w:t>
      </w:r>
      <w:proofErr w:type="spellEnd"/>
      <w:r w:rsidRPr="00E141F1">
        <w:rPr>
          <w:b/>
          <w:bCs/>
          <w:szCs w:val="26"/>
        </w:rPr>
        <w:t>/s—kilobits per second</w:t>
      </w:r>
    </w:p>
    <w:p w:rsidR="001E6FB8" w:rsidRPr="00E141F1" w:rsidRDefault="001E6FB8" w:rsidP="001E6FB8">
      <w:r w:rsidRPr="00E141F1">
        <w:t xml:space="preserve">Data transfer rate of 1,000 bits per second. See also </w:t>
      </w:r>
      <w:r w:rsidRPr="00E141F1">
        <w:rPr>
          <w:b/>
        </w:rPr>
        <w:t>bit/s</w:t>
      </w:r>
      <w:r w:rsidRPr="00E141F1">
        <w:t>.</w:t>
      </w:r>
    </w:p>
    <w:p w:rsidR="001E6FB8" w:rsidRPr="00E141F1" w:rsidRDefault="001E6FB8" w:rsidP="001E6FB8"/>
    <w:p w:rsidR="001E6FB8" w:rsidRPr="00E141F1" w:rsidRDefault="001E6FB8" w:rsidP="001E6FB8">
      <w:pPr>
        <w:rPr>
          <w:b/>
          <w:bCs/>
          <w:szCs w:val="26"/>
        </w:rPr>
      </w:pPr>
      <w:r w:rsidRPr="00E141F1">
        <w:rPr>
          <w:b/>
          <w:bCs/>
          <w:szCs w:val="26"/>
        </w:rPr>
        <w:t xml:space="preserve">local numbers </w:t>
      </w:r>
    </w:p>
    <w:p w:rsidR="001E6FB8" w:rsidRPr="00E141F1" w:rsidRDefault="001E6FB8" w:rsidP="001E6FB8">
      <w:r w:rsidRPr="00E141F1">
        <w:t xml:space="preserve">See </w:t>
      </w:r>
      <w:r w:rsidRPr="00E141F1">
        <w:rPr>
          <w:b/>
        </w:rPr>
        <w:t>geographic numbers</w:t>
      </w:r>
      <w:r w:rsidRPr="00E141F1">
        <w:t>.</w:t>
      </w:r>
    </w:p>
    <w:p w:rsidR="001E6FB8" w:rsidRPr="00E141F1" w:rsidRDefault="001E6FB8" w:rsidP="001E6FB8"/>
    <w:p w:rsidR="001E6FB8" w:rsidRPr="00E141F1" w:rsidRDefault="001E6FB8" w:rsidP="001E6FB8">
      <w:pPr>
        <w:keepNext/>
        <w:rPr>
          <w:b/>
          <w:bCs/>
          <w:szCs w:val="26"/>
        </w:rPr>
      </w:pPr>
      <w:r w:rsidRPr="00E141F1">
        <w:rPr>
          <w:b/>
          <w:bCs/>
          <w:szCs w:val="26"/>
        </w:rPr>
        <w:t xml:space="preserve">low-impact facilities </w:t>
      </w:r>
    </w:p>
    <w:p w:rsidR="001E6FB8" w:rsidRPr="00E141F1" w:rsidRDefault="001E6FB8" w:rsidP="001E6FB8">
      <w:r w:rsidRPr="00E141F1">
        <w:t xml:space="preserve">Communications facilities that are considered to have a low impact on their environment. They include underground cabling, small </w:t>
      </w:r>
      <w:proofErr w:type="spellStart"/>
      <w:r w:rsidRPr="00E141F1">
        <w:t>radiocommunications</w:t>
      </w:r>
      <w:proofErr w:type="spellEnd"/>
      <w:r w:rsidRPr="00E141F1">
        <w:t xml:space="preserve"> antennas and dishes, in-building subscriber connections and public payphones. The </w:t>
      </w:r>
      <w:r w:rsidRPr="00E141F1">
        <w:rPr>
          <w:i/>
          <w:iCs/>
        </w:rPr>
        <w:t xml:space="preserve">Telecommunications Act 1997 </w:t>
      </w:r>
      <w:r w:rsidRPr="00E141F1">
        <w:t>provides carriers with immunity from state and territory planning laws for the installation of ‘low-impact’ facilities.</w:t>
      </w:r>
    </w:p>
    <w:p w:rsidR="001E6FB8" w:rsidRPr="00E141F1" w:rsidRDefault="001E6FB8" w:rsidP="001E6FB8"/>
    <w:p w:rsidR="001E6FB8" w:rsidRPr="00E141F1" w:rsidRDefault="001E6FB8" w:rsidP="001E6FB8">
      <w:pPr>
        <w:rPr>
          <w:b/>
          <w:bCs/>
          <w:szCs w:val="26"/>
        </w:rPr>
      </w:pPr>
      <w:r w:rsidRPr="00E141F1">
        <w:rPr>
          <w:b/>
          <w:bCs/>
          <w:szCs w:val="26"/>
        </w:rPr>
        <w:t>LTE—Long Term Evolution</w:t>
      </w:r>
    </w:p>
    <w:p w:rsidR="001E6FB8" w:rsidRPr="00E141F1" w:rsidRDefault="001E6FB8" w:rsidP="001E6FB8">
      <w:r>
        <w:t>A</w:t>
      </w:r>
      <w:r w:rsidRPr="00E141F1">
        <w:t xml:space="preserve"> suite of radio and core network specifications that ensures the continuity and future competitiveness of 3G systems. It is associated with 4G system builds providing higher data rates, quality of service, cost reduction in a low complexity all packet switched optimised system.</w:t>
      </w:r>
      <w:r>
        <w:t xml:space="preserve"> </w:t>
      </w:r>
    </w:p>
    <w:p w:rsidR="001E6FB8" w:rsidRPr="00E141F1" w:rsidRDefault="001E6FB8" w:rsidP="001E6FB8"/>
    <w:p w:rsidR="001E6FB8" w:rsidRPr="00E141F1" w:rsidRDefault="001E6FB8" w:rsidP="001E6FB8">
      <w:pPr>
        <w:rPr>
          <w:b/>
          <w:bCs/>
          <w:szCs w:val="26"/>
        </w:rPr>
      </w:pPr>
      <w:r w:rsidRPr="00E141F1">
        <w:rPr>
          <w:b/>
          <w:bCs/>
          <w:szCs w:val="26"/>
        </w:rPr>
        <w:t>MB—Megabyte(s)</w:t>
      </w:r>
    </w:p>
    <w:p w:rsidR="001E6FB8" w:rsidRPr="00E141F1" w:rsidRDefault="001E6FB8" w:rsidP="001E6FB8">
      <w:r w:rsidRPr="00E141F1">
        <w:t xml:space="preserve">One million bytes. </w:t>
      </w:r>
    </w:p>
    <w:p w:rsidR="001E6FB8" w:rsidRPr="00E141F1" w:rsidRDefault="001E6FB8" w:rsidP="001E6FB8"/>
    <w:p w:rsidR="001E6FB8" w:rsidRPr="00E141F1" w:rsidRDefault="001E6FB8" w:rsidP="001E6FB8">
      <w:pPr>
        <w:rPr>
          <w:b/>
          <w:bCs/>
          <w:szCs w:val="26"/>
        </w:rPr>
      </w:pPr>
      <w:proofErr w:type="spellStart"/>
      <w:r w:rsidRPr="00E141F1">
        <w:rPr>
          <w:b/>
          <w:bCs/>
          <w:szCs w:val="26"/>
        </w:rPr>
        <w:t>Mbit</w:t>
      </w:r>
      <w:proofErr w:type="spellEnd"/>
      <w:r w:rsidRPr="00E141F1">
        <w:rPr>
          <w:b/>
          <w:bCs/>
          <w:szCs w:val="26"/>
        </w:rPr>
        <w:t>/s—Megabits per second</w:t>
      </w:r>
    </w:p>
    <w:p w:rsidR="001E6FB8" w:rsidRPr="00E141F1" w:rsidRDefault="001E6FB8" w:rsidP="001E6FB8">
      <w:r w:rsidRPr="00E141F1">
        <w:t xml:space="preserve">Data transfer rate of one million bits per second. See also </w:t>
      </w:r>
      <w:r w:rsidRPr="00E141F1">
        <w:rPr>
          <w:b/>
        </w:rPr>
        <w:t>bit/s</w:t>
      </w:r>
      <w:r w:rsidRPr="00E141F1">
        <w:t>.</w:t>
      </w:r>
    </w:p>
    <w:p w:rsidR="001E6FB8" w:rsidRPr="00E141F1" w:rsidRDefault="001E6FB8" w:rsidP="001E6FB8"/>
    <w:p w:rsidR="001E6FB8" w:rsidRPr="00E141F1" w:rsidRDefault="001E6FB8" w:rsidP="001E6FB8">
      <w:pPr>
        <w:rPr>
          <w:b/>
          <w:bCs/>
          <w:szCs w:val="26"/>
        </w:rPr>
      </w:pPr>
      <w:r w:rsidRPr="00E141F1">
        <w:rPr>
          <w:b/>
          <w:bCs/>
          <w:szCs w:val="26"/>
        </w:rPr>
        <w:t>MHz—Megahertz</w:t>
      </w:r>
    </w:p>
    <w:p w:rsidR="001E6FB8" w:rsidRDefault="001E6FB8" w:rsidP="001E6FB8">
      <w:r w:rsidRPr="00E141F1">
        <w:t xml:space="preserve">One million Hertz. See also </w:t>
      </w:r>
      <w:r w:rsidRPr="00E141F1">
        <w:rPr>
          <w:b/>
        </w:rPr>
        <w:t>GHz</w:t>
      </w:r>
      <w:r w:rsidRPr="00E141F1">
        <w:t>.</w:t>
      </w:r>
    </w:p>
    <w:p w:rsidR="001E6FB8" w:rsidRPr="00E141F1" w:rsidRDefault="001E6FB8" w:rsidP="001E6FB8"/>
    <w:p w:rsidR="001E6FB8" w:rsidRPr="00E141F1" w:rsidRDefault="001E6FB8" w:rsidP="001E6FB8">
      <w:pPr>
        <w:rPr>
          <w:b/>
          <w:bCs/>
          <w:szCs w:val="26"/>
        </w:rPr>
      </w:pPr>
      <w:r w:rsidRPr="00E141F1">
        <w:rPr>
          <w:b/>
          <w:bCs/>
          <w:szCs w:val="26"/>
        </w:rPr>
        <w:t>the minister—Minister for Broadband, Communications and the Digital Economy</w:t>
      </w:r>
      <w:r>
        <w:rPr>
          <w:b/>
          <w:bCs/>
          <w:szCs w:val="26"/>
        </w:rPr>
        <w:t xml:space="preserve"> (now the Minister for Communications)</w:t>
      </w:r>
    </w:p>
    <w:p w:rsidR="001E6FB8" w:rsidRPr="00E141F1" w:rsidRDefault="001E6FB8" w:rsidP="001E6FB8">
      <w:r w:rsidRPr="00E141F1">
        <w:t>Minister responsible for the ACMA and its governing legislation, and the legislation that the ACMA administers.</w:t>
      </w:r>
    </w:p>
    <w:p w:rsidR="001E6FB8" w:rsidRPr="00E141F1" w:rsidRDefault="001E6FB8" w:rsidP="001E6FB8"/>
    <w:p w:rsidR="001E6FB8" w:rsidRPr="00E141F1" w:rsidRDefault="001E6FB8" w:rsidP="001E6FB8">
      <w:pPr>
        <w:rPr>
          <w:b/>
          <w:bCs/>
          <w:szCs w:val="26"/>
        </w:rPr>
      </w:pPr>
      <w:r w:rsidRPr="00E141F1">
        <w:rPr>
          <w:b/>
          <w:bCs/>
          <w:szCs w:val="26"/>
        </w:rPr>
        <w:t>MMS—multimedia messaging service</w:t>
      </w:r>
    </w:p>
    <w:p w:rsidR="001E6FB8" w:rsidRPr="00E141F1" w:rsidRDefault="001E6FB8" w:rsidP="001E6FB8">
      <w:r w:rsidRPr="00E141F1">
        <w:t>Mobile telecommunications data transmission service for sending messages with a combination of text, sound, image and video to MMS-capable handsets.</w:t>
      </w:r>
    </w:p>
    <w:p w:rsidR="001E6FB8" w:rsidRPr="00E141F1" w:rsidRDefault="001E6FB8" w:rsidP="001E6FB8"/>
    <w:p w:rsidR="001E6FB8" w:rsidRPr="00E141F1" w:rsidRDefault="001E6FB8" w:rsidP="001E6FB8">
      <w:pPr>
        <w:rPr>
          <w:b/>
          <w:bCs/>
          <w:szCs w:val="26"/>
        </w:rPr>
      </w:pPr>
      <w:r w:rsidRPr="00E141F1">
        <w:rPr>
          <w:b/>
          <w:bCs/>
          <w:szCs w:val="26"/>
        </w:rPr>
        <w:t>MNP—mobile number portability</w:t>
      </w:r>
    </w:p>
    <w:p w:rsidR="001E6FB8" w:rsidRPr="00E141F1" w:rsidRDefault="001E6FB8" w:rsidP="001E6FB8">
      <w:r w:rsidRPr="00E141F1">
        <w:t xml:space="preserve">Portability for mobile phone numbers. See also </w:t>
      </w:r>
      <w:r w:rsidRPr="00E141F1">
        <w:rPr>
          <w:b/>
        </w:rPr>
        <w:t>number portability</w:t>
      </w:r>
      <w:r w:rsidRPr="00E141F1">
        <w:t>.</w:t>
      </w:r>
    </w:p>
    <w:p w:rsidR="001E6FB8" w:rsidRPr="00E141F1" w:rsidRDefault="001E6FB8" w:rsidP="001E6FB8"/>
    <w:p w:rsidR="001E6FB8" w:rsidRPr="00E141F1" w:rsidRDefault="001E6FB8" w:rsidP="001E6FB8">
      <w:pPr>
        <w:rPr>
          <w:b/>
          <w:bCs/>
          <w:szCs w:val="26"/>
        </w:rPr>
      </w:pPr>
      <w:r w:rsidRPr="00E141F1">
        <w:rPr>
          <w:b/>
          <w:bCs/>
          <w:szCs w:val="26"/>
        </w:rPr>
        <w:t>MPS—mobile premium services</w:t>
      </w:r>
    </w:p>
    <w:p w:rsidR="001E6FB8" w:rsidRPr="00E141F1" w:rsidRDefault="001E6FB8" w:rsidP="001E6FB8">
      <w:r w:rsidRPr="00E141F1">
        <w:t>Content information and entertainment services delivered to a mobile phone that includes both premium SMS/MMS and mobile portal services.</w:t>
      </w:r>
    </w:p>
    <w:p w:rsidR="001E6FB8" w:rsidRPr="00E141F1" w:rsidRDefault="001E6FB8" w:rsidP="001E6FB8">
      <w:pPr>
        <w:rPr>
          <w:b/>
          <w:bCs/>
        </w:rPr>
      </w:pPr>
    </w:p>
    <w:p w:rsidR="001E6FB8" w:rsidRPr="00E141F1" w:rsidRDefault="001E6FB8" w:rsidP="001E6FB8">
      <w:pPr>
        <w:rPr>
          <w:b/>
          <w:bCs/>
          <w:szCs w:val="26"/>
        </w:rPr>
      </w:pPr>
      <w:r w:rsidRPr="00E141F1">
        <w:rPr>
          <w:b/>
          <w:bCs/>
          <w:szCs w:val="26"/>
        </w:rPr>
        <w:t>MVNO—Mobile Virtual Network Operator</w:t>
      </w:r>
    </w:p>
    <w:p w:rsidR="001E6FB8" w:rsidRPr="00E141F1" w:rsidRDefault="001E6FB8" w:rsidP="001E6FB8">
      <w:r w:rsidRPr="00E141F1">
        <w:t xml:space="preserve">A mobile service operator that does not have its own licensed spectrum and does not have the infrastructure to provide mobile service to its customers. Instead, MVNOs lease wireless capacity from pre-existing mobile </w:t>
      </w:r>
      <w:r>
        <w:t>network owners</w:t>
      </w:r>
      <w:r w:rsidRPr="00E141F1">
        <w:t xml:space="preserve"> and establish a brand name different to that of the </w:t>
      </w:r>
      <w:r>
        <w:t>owner</w:t>
      </w:r>
      <w:r w:rsidRPr="00E141F1">
        <w:t>.</w:t>
      </w:r>
    </w:p>
    <w:p w:rsidR="001E6FB8" w:rsidRPr="00E141F1" w:rsidRDefault="001E6FB8" w:rsidP="001E6FB8"/>
    <w:p w:rsidR="001E6FB8" w:rsidRPr="007D29A3" w:rsidRDefault="001E6FB8" w:rsidP="001E6FB8">
      <w:pPr>
        <w:rPr>
          <w:b/>
          <w:bCs/>
        </w:rPr>
      </w:pPr>
      <w:r w:rsidRPr="007D29A3">
        <w:rPr>
          <w:rFonts w:cs="Arial"/>
          <w:b/>
          <w:szCs w:val="20"/>
        </w:rPr>
        <w:t>National Classification Scheme</w:t>
      </w:r>
    </w:p>
    <w:p w:rsidR="001E6FB8" w:rsidRPr="00E141F1" w:rsidRDefault="001E6FB8" w:rsidP="001E6FB8">
      <w:r w:rsidRPr="00E141F1">
        <w:t>A cooperative arrangement between the Commonwealth and the states and territories, under which the Classification Board classifies films (including videos and DVDs), computer games and certain publications.</w:t>
      </w:r>
    </w:p>
    <w:p w:rsidR="001E6FB8" w:rsidRPr="00E141F1" w:rsidRDefault="001E6FB8" w:rsidP="001E6FB8"/>
    <w:p w:rsidR="001E6FB8" w:rsidRPr="00E141F1" w:rsidRDefault="001E6FB8" w:rsidP="001E6FB8">
      <w:pPr>
        <w:rPr>
          <w:b/>
          <w:bCs/>
          <w:szCs w:val="26"/>
        </w:rPr>
      </w:pPr>
      <w:r w:rsidRPr="00E141F1">
        <w:rPr>
          <w:b/>
          <w:bCs/>
          <w:szCs w:val="26"/>
        </w:rPr>
        <w:t>NBN—National Broadband Network</w:t>
      </w:r>
    </w:p>
    <w:p w:rsidR="001E6FB8" w:rsidRPr="00E141F1" w:rsidRDefault="001E6FB8" w:rsidP="001E6FB8">
      <w:r w:rsidRPr="00E141F1">
        <w:t>The national wholesale-only open access data network in Australia offering high-speed broadband to all Australian premises using a combination of fibre-optic cabling and next generation high-speed wirele</w:t>
      </w:r>
      <w:r>
        <w:t>ss and satellite technologies. In 2012–13, t</w:t>
      </w:r>
      <w:r w:rsidRPr="00E141F1">
        <w:t xml:space="preserve">he NBN </w:t>
      </w:r>
      <w:r>
        <w:t>was</w:t>
      </w:r>
      <w:r w:rsidRPr="00E141F1">
        <w:t xml:space="preserve"> intended to be made available to 93 per cent of homes, schools and workplaces with optical fibre; the remaining seven per cent of the population </w:t>
      </w:r>
      <w:r>
        <w:t>were to</w:t>
      </w:r>
      <w:r w:rsidRPr="00E141F1">
        <w:t xml:space="preserve"> have access to next generation fixed wireless and satellite technologies. </w:t>
      </w:r>
    </w:p>
    <w:p w:rsidR="001E6FB8" w:rsidRPr="00E141F1" w:rsidRDefault="001E6FB8" w:rsidP="001E6FB8">
      <w:pPr>
        <w:rPr>
          <w:b/>
          <w:bCs/>
        </w:rPr>
      </w:pPr>
    </w:p>
    <w:p w:rsidR="001E6FB8" w:rsidRPr="00E141F1" w:rsidRDefault="001E6FB8" w:rsidP="001E6FB8">
      <w:pPr>
        <w:keepNext/>
        <w:rPr>
          <w:b/>
          <w:bCs/>
          <w:szCs w:val="26"/>
        </w:rPr>
      </w:pPr>
      <w:r w:rsidRPr="00E141F1">
        <w:rPr>
          <w:b/>
          <w:bCs/>
          <w:szCs w:val="26"/>
        </w:rPr>
        <w:t>NCD—nominated carrier declaration</w:t>
      </w:r>
    </w:p>
    <w:p w:rsidR="001E6FB8" w:rsidRPr="00E141F1" w:rsidRDefault="001E6FB8" w:rsidP="001E6FB8">
      <w:r w:rsidRPr="00E141F1">
        <w:t>Declaration made by the owner of a telecommunications network unit (facilities or infrastructure for delivery of telecommunications services) nominating a licensed carrier that will be responsible for the specified network unit.</w:t>
      </w:r>
    </w:p>
    <w:p w:rsidR="001E6FB8" w:rsidRPr="00E141F1" w:rsidRDefault="001E6FB8" w:rsidP="001E6FB8"/>
    <w:p w:rsidR="001E6FB8" w:rsidRPr="00E141F1" w:rsidRDefault="001E6FB8" w:rsidP="001E6FB8">
      <w:pPr>
        <w:rPr>
          <w:b/>
          <w:bCs/>
          <w:szCs w:val="26"/>
        </w:rPr>
      </w:pPr>
      <w:r w:rsidRPr="00E141F1">
        <w:rPr>
          <w:b/>
          <w:bCs/>
          <w:szCs w:val="26"/>
        </w:rPr>
        <w:t>NEDE—new eligible drama expenditure</w:t>
      </w:r>
    </w:p>
    <w:p w:rsidR="001E6FB8" w:rsidRPr="00E141F1" w:rsidRDefault="001E6FB8" w:rsidP="001E6FB8">
      <w:r w:rsidRPr="00E141F1">
        <w:t>Expenditure on new Australian or New Zealand television drama programs to meet content requirements that support the local television industry.</w:t>
      </w:r>
    </w:p>
    <w:p w:rsidR="001E6FB8" w:rsidRPr="00E141F1" w:rsidRDefault="001E6FB8" w:rsidP="001E6FB8"/>
    <w:p w:rsidR="001E6FB8" w:rsidRPr="00E141F1" w:rsidRDefault="001E6FB8" w:rsidP="001E6FB8">
      <w:pPr>
        <w:rPr>
          <w:b/>
          <w:bCs/>
          <w:szCs w:val="26"/>
        </w:rPr>
      </w:pPr>
      <w:r w:rsidRPr="00E141F1">
        <w:rPr>
          <w:b/>
          <w:bCs/>
          <w:szCs w:val="26"/>
        </w:rPr>
        <w:t>non-dial-up subscribers</w:t>
      </w:r>
    </w:p>
    <w:p w:rsidR="001E6FB8" w:rsidRPr="00E141F1" w:rsidRDefault="001E6FB8" w:rsidP="001E6FB8">
      <w:r w:rsidRPr="00E141F1">
        <w:t>Subscribers with permanent and ‘always-on’ connections to the internet using various technologies, including optical fibre, DSL, cable, mobile broadband, fixed wireless and satellite.</w:t>
      </w:r>
    </w:p>
    <w:p w:rsidR="001E6FB8" w:rsidRPr="00E141F1" w:rsidRDefault="001E6FB8" w:rsidP="001E6FB8"/>
    <w:p w:rsidR="001E6FB8" w:rsidRPr="00E141F1" w:rsidRDefault="001E6FB8" w:rsidP="001E6FB8">
      <w:pPr>
        <w:rPr>
          <w:b/>
          <w:bCs/>
          <w:szCs w:val="26"/>
        </w:rPr>
      </w:pPr>
      <w:r w:rsidRPr="00E141F1">
        <w:rPr>
          <w:b/>
          <w:bCs/>
          <w:szCs w:val="26"/>
        </w:rPr>
        <w:t>NRF—Network Reliability Framework</w:t>
      </w:r>
    </w:p>
    <w:p w:rsidR="001E6FB8" w:rsidRPr="00E141F1" w:rsidRDefault="001E6FB8" w:rsidP="001E6FB8">
      <w:r w:rsidRPr="00E141F1">
        <w:t>Requirement on Telstra (since January 2003) to provide regular reports to the ACMA on the reliability of its fixed-line services, and to remediate the network in areas with particularly poor performance.</w:t>
      </w:r>
    </w:p>
    <w:p w:rsidR="001E6FB8" w:rsidRPr="00E141F1" w:rsidRDefault="001E6FB8" w:rsidP="001E6FB8"/>
    <w:p w:rsidR="001E6FB8" w:rsidRPr="00E141F1" w:rsidRDefault="001E6FB8" w:rsidP="001E6FB8">
      <w:pPr>
        <w:rPr>
          <w:b/>
          <w:bCs/>
          <w:szCs w:val="26"/>
        </w:rPr>
      </w:pPr>
      <w:r w:rsidRPr="00E141F1">
        <w:rPr>
          <w:b/>
          <w:bCs/>
          <w:szCs w:val="26"/>
        </w:rPr>
        <w:t>NRS</w:t>
      </w:r>
      <w:r w:rsidRPr="007D29A3">
        <w:rPr>
          <w:b/>
          <w:bCs/>
          <w:szCs w:val="26"/>
        </w:rPr>
        <w:t>—</w:t>
      </w:r>
      <w:r w:rsidRPr="007D29A3">
        <w:rPr>
          <w:rFonts w:cs="Arial"/>
          <w:b/>
          <w:szCs w:val="26"/>
        </w:rPr>
        <w:t>National Relay Service</w:t>
      </w:r>
    </w:p>
    <w:p w:rsidR="001E6FB8" w:rsidRPr="00E141F1" w:rsidRDefault="001E6FB8" w:rsidP="001E6FB8">
      <w:r w:rsidRPr="00E141F1">
        <w:t xml:space="preserve">Provides access to the standard telephone service for people with a hearing or speech impairment through the relay of voice, modem or TTY communications. Operates as a translation service between voice and non-voice users of the standard telephone service. </w:t>
      </w:r>
    </w:p>
    <w:p w:rsidR="001E6FB8" w:rsidRPr="00E141F1" w:rsidRDefault="001E6FB8" w:rsidP="001E6FB8"/>
    <w:p w:rsidR="001E6FB8" w:rsidRPr="00E141F1" w:rsidRDefault="001E6FB8" w:rsidP="001E6FB8">
      <w:pPr>
        <w:rPr>
          <w:b/>
          <w:bCs/>
          <w:szCs w:val="26"/>
        </w:rPr>
      </w:pPr>
      <w:r w:rsidRPr="00E141F1">
        <w:rPr>
          <w:b/>
          <w:bCs/>
          <w:szCs w:val="26"/>
        </w:rPr>
        <w:t xml:space="preserve">number portability </w:t>
      </w:r>
    </w:p>
    <w:p w:rsidR="001E6FB8" w:rsidRPr="00E141F1" w:rsidRDefault="001E6FB8" w:rsidP="001E6FB8">
      <w:r w:rsidRPr="00E141F1">
        <w:t xml:space="preserve">Arrangements allowing customers to transfer their telecommunications service from one service provider to another without changing their number. Number portability is available for local numbers, </w:t>
      </w:r>
      <w:proofErr w:type="spellStart"/>
      <w:r w:rsidRPr="00E141F1">
        <w:t>freephone</w:t>
      </w:r>
      <w:proofErr w:type="spellEnd"/>
      <w:r w:rsidRPr="00E141F1">
        <w:t xml:space="preserve"> and local rate numbers, and mobile numbers.</w:t>
      </w:r>
    </w:p>
    <w:p w:rsidR="001E6FB8" w:rsidRPr="00E141F1" w:rsidRDefault="001E6FB8" w:rsidP="001E6FB8"/>
    <w:p w:rsidR="001E6FB8" w:rsidRPr="00E141F1" w:rsidRDefault="001E6FB8" w:rsidP="001E6FB8">
      <w:pPr>
        <w:rPr>
          <w:b/>
          <w:bCs/>
          <w:szCs w:val="26"/>
        </w:rPr>
      </w:pPr>
      <w:r w:rsidRPr="00E141F1">
        <w:rPr>
          <w:b/>
          <w:bCs/>
          <w:szCs w:val="26"/>
        </w:rPr>
        <w:t xml:space="preserve">pay TV </w:t>
      </w:r>
    </w:p>
    <w:p w:rsidR="001E6FB8" w:rsidRPr="00E141F1" w:rsidRDefault="001E6FB8" w:rsidP="001E6FB8">
      <w:r w:rsidRPr="00E141F1">
        <w:t xml:space="preserve">See </w:t>
      </w:r>
      <w:r w:rsidRPr="00E141F1">
        <w:rPr>
          <w:b/>
        </w:rPr>
        <w:t>subscription television</w:t>
      </w:r>
      <w:r w:rsidRPr="00E141F1">
        <w:t>.</w:t>
      </w:r>
    </w:p>
    <w:p w:rsidR="001E6FB8" w:rsidRPr="00E141F1" w:rsidRDefault="001E6FB8" w:rsidP="001E6FB8"/>
    <w:p w:rsidR="001E6FB8" w:rsidRPr="00E141F1" w:rsidRDefault="001E6FB8" w:rsidP="001E6FB8">
      <w:pPr>
        <w:rPr>
          <w:b/>
          <w:bCs/>
          <w:szCs w:val="26"/>
        </w:rPr>
      </w:pPr>
      <w:r w:rsidRPr="00E141F1">
        <w:rPr>
          <w:b/>
          <w:bCs/>
          <w:szCs w:val="26"/>
        </w:rPr>
        <w:t xml:space="preserve">payphone </w:t>
      </w:r>
    </w:p>
    <w:p w:rsidR="001E6FB8" w:rsidRPr="00E141F1" w:rsidRDefault="001E6FB8" w:rsidP="001E6FB8">
      <w:r w:rsidRPr="00E141F1">
        <w:t>A public telephone where calls may be paid for with coins, phone cards, credit cards or reverse charge facilities.</w:t>
      </w:r>
    </w:p>
    <w:p w:rsidR="001E6FB8" w:rsidRPr="00E141F1" w:rsidRDefault="001E6FB8" w:rsidP="001E6FB8"/>
    <w:p w:rsidR="001E6FB8" w:rsidRPr="00E141F1" w:rsidRDefault="001E6FB8" w:rsidP="001E6FB8">
      <w:pPr>
        <w:rPr>
          <w:b/>
          <w:bCs/>
          <w:szCs w:val="26"/>
        </w:rPr>
      </w:pPr>
      <w:r w:rsidRPr="00E141F1">
        <w:rPr>
          <w:b/>
          <w:bCs/>
          <w:szCs w:val="26"/>
        </w:rPr>
        <w:t xml:space="preserve">portability </w:t>
      </w:r>
    </w:p>
    <w:p w:rsidR="001E6FB8" w:rsidRPr="00E141F1" w:rsidRDefault="001E6FB8" w:rsidP="001E6FB8">
      <w:r w:rsidRPr="00E141F1">
        <w:t xml:space="preserve">See </w:t>
      </w:r>
      <w:r w:rsidRPr="00E141F1">
        <w:rPr>
          <w:b/>
        </w:rPr>
        <w:t>number portability</w:t>
      </w:r>
      <w:r w:rsidRPr="00E141F1">
        <w:t>.</w:t>
      </w:r>
    </w:p>
    <w:p w:rsidR="001E6FB8" w:rsidRPr="00E141F1" w:rsidRDefault="001E6FB8" w:rsidP="001E6FB8"/>
    <w:p w:rsidR="001E6FB8" w:rsidRPr="00E141F1" w:rsidRDefault="001E6FB8" w:rsidP="001E6FB8">
      <w:pPr>
        <w:rPr>
          <w:b/>
          <w:bCs/>
          <w:szCs w:val="26"/>
        </w:rPr>
      </w:pPr>
      <w:r w:rsidRPr="00E141F1">
        <w:rPr>
          <w:b/>
          <w:bCs/>
          <w:szCs w:val="26"/>
        </w:rPr>
        <w:t xml:space="preserve">post-paid </w:t>
      </w:r>
    </w:p>
    <w:p w:rsidR="001E6FB8" w:rsidRPr="00E141F1" w:rsidRDefault="001E6FB8" w:rsidP="001E6FB8">
      <w:r w:rsidRPr="00E141F1">
        <w:t>A contract under which a user is charged on a periodic basis, depending on service usage during the previous billing period.</w:t>
      </w:r>
    </w:p>
    <w:p w:rsidR="001E6FB8" w:rsidRPr="00E141F1" w:rsidRDefault="001E6FB8" w:rsidP="001E6FB8"/>
    <w:p w:rsidR="001E6FB8" w:rsidRPr="00E141F1" w:rsidRDefault="001E6FB8" w:rsidP="001E6FB8">
      <w:pPr>
        <w:rPr>
          <w:b/>
          <w:bCs/>
          <w:szCs w:val="26"/>
        </w:rPr>
      </w:pPr>
      <w:r w:rsidRPr="00E141F1">
        <w:rPr>
          <w:b/>
          <w:bCs/>
          <w:szCs w:val="26"/>
        </w:rPr>
        <w:t>premium-rate services</w:t>
      </w:r>
    </w:p>
    <w:p w:rsidR="001E6FB8" w:rsidRPr="00E141F1" w:rsidRDefault="001E6FB8" w:rsidP="001E6FB8">
      <w:r w:rsidRPr="00E141F1">
        <w:t>Content services accessed on numbers with a 190 prefix, where the cost of the call, including access to the content, is included on the customer’s telephone bill. Content includes sports results, weather forecasts, astrology services, competition entries, dating contact and telephone sex services. Premium-rate services include SMS as well as voice, fax and data.</w:t>
      </w:r>
    </w:p>
    <w:p w:rsidR="001E6FB8" w:rsidRPr="00E141F1" w:rsidRDefault="001E6FB8" w:rsidP="001E6FB8"/>
    <w:p w:rsidR="001E6FB8" w:rsidRPr="00E141F1" w:rsidRDefault="001E6FB8" w:rsidP="001E6FB8">
      <w:pPr>
        <w:rPr>
          <w:b/>
          <w:bCs/>
          <w:szCs w:val="26"/>
        </w:rPr>
      </w:pPr>
      <w:r w:rsidRPr="00E141F1">
        <w:rPr>
          <w:b/>
          <w:bCs/>
          <w:szCs w:val="26"/>
        </w:rPr>
        <w:t xml:space="preserve">prepaid </w:t>
      </w:r>
    </w:p>
    <w:p w:rsidR="001E6FB8" w:rsidRPr="00E141F1" w:rsidRDefault="001E6FB8" w:rsidP="001E6FB8">
      <w:r w:rsidRPr="00E141F1">
        <w:t>A contract system by which users pay an amount up-front to purchase a certain amount of usage or credit.</w:t>
      </w:r>
    </w:p>
    <w:p w:rsidR="001E6FB8" w:rsidRPr="00E141F1" w:rsidRDefault="001E6FB8" w:rsidP="001E6FB8"/>
    <w:p w:rsidR="001E6FB8" w:rsidRPr="00E141F1" w:rsidRDefault="001E6FB8" w:rsidP="001E6FB8">
      <w:pPr>
        <w:rPr>
          <w:b/>
          <w:bCs/>
          <w:szCs w:val="26"/>
        </w:rPr>
      </w:pPr>
      <w:r w:rsidRPr="00E141F1">
        <w:rPr>
          <w:b/>
          <w:bCs/>
          <w:szCs w:val="26"/>
        </w:rPr>
        <w:t xml:space="preserve">priority assistance </w:t>
      </w:r>
    </w:p>
    <w:p w:rsidR="001E6FB8" w:rsidRPr="00E141F1" w:rsidRDefault="001E6FB8" w:rsidP="001E6FB8">
      <w:pPr>
        <w:spacing w:after="240"/>
      </w:pPr>
      <w:r w:rsidRPr="00E141F1">
        <w:t>Service for people with a diagnosed life-threatening medical condition entitling them to faster connection and fault repair of their fixed-line telephone service.</w:t>
      </w:r>
    </w:p>
    <w:p w:rsidR="001E6FB8" w:rsidRPr="00E141F1" w:rsidRDefault="001E6FB8" w:rsidP="001E6FB8">
      <w:pPr>
        <w:rPr>
          <w:b/>
          <w:bCs/>
          <w:szCs w:val="26"/>
        </w:rPr>
      </w:pPr>
      <w:r w:rsidRPr="00E141F1">
        <w:rPr>
          <w:b/>
          <w:bCs/>
          <w:szCs w:val="26"/>
        </w:rPr>
        <w:t>PSTN—public switched telecommunications network</w:t>
      </w:r>
    </w:p>
    <w:p w:rsidR="001E6FB8" w:rsidRDefault="001E6FB8" w:rsidP="001E6FB8">
      <w:r w:rsidRPr="00E141F1">
        <w:t>Public telecommunications network to provide telephone services to subscribers.</w:t>
      </w:r>
    </w:p>
    <w:p w:rsidR="001E6FB8" w:rsidRDefault="001E6FB8" w:rsidP="001E6FB8"/>
    <w:p w:rsidR="001E6FB8" w:rsidRPr="005F0E6A" w:rsidRDefault="001E6FB8" w:rsidP="001E6FB8">
      <w:pPr>
        <w:rPr>
          <w:b/>
          <w:bCs/>
          <w:szCs w:val="26"/>
        </w:rPr>
      </w:pPr>
      <w:r w:rsidRPr="00E141F1">
        <w:rPr>
          <w:b/>
          <w:bCs/>
          <w:szCs w:val="26"/>
        </w:rPr>
        <w:t>P</w:t>
      </w:r>
      <w:r>
        <w:rPr>
          <w:b/>
          <w:bCs/>
          <w:szCs w:val="26"/>
        </w:rPr>
        <w:t>USP</w:t>
      </w:r>
      <w:r w:rsidRPr="00E141F1">
        <w:rPr>
          <w:b/>
          <w:bCs/>
          <w:szCs w:val="26"/>
        </w:rPr>
        <w:t>—</w:t>
      </w:r>
      <w:r>
        <w:rPr>
          <w:b/>
          <w:bCs/>
          <w:szCs w:val="26"/>
        </w:rPr>
        <w:t>primary universal service provider</w:t>
      </w:r>
    </w:p>
    <w:p w:rsidR="001E6FB8" w:rsidRPr="00E141F1" w:rsidRDefault="001E6FB8" w:rsidP="001E6FB8">
      <w:pPr>
        <w:rPr>
          <w:b/>
          <w:bCs/>
        </w:rPr>
      </w:pPr>
    </w:p>
    <w:p w:rsidR="001E6FB8" w:rsidRPr="00E141F1" w:rsidRDefault="001E6FB8" w:rsidP="001E6FB8">
      <w:pPr>
        <w:rPr>
          <w:b/>
          <w:bCs/>
          <w:szCs w:val="26"/>
        </w:rPr>
      </w:pPr>
      <w:r w:rsidRPr="00E141F1">
        <w:rPr>
          <w:b/>
          <w:bCs/>
          <w:szCs w:val="26"/>
        </w:rPr>
        <w:t>RCI—</w:t>
      </w:r>
      <w:proofErr w:type="spellStart"/>
      <w:r w:rsidRPr="00E141F1">
        <w:rPr>
          <w:b/>
          <w:bCs/>
          <w:szCs w:val="26"/>
        </w:rPr>
        <w:t>radiocommunications</w:t>
      </w:r>
      <w:proofErr w:type="spellEnd"/>
      <w:r w:rsidRPr="00E141F1">
        <w:rPr>
          <w:b/>
          <w:bCs/>
          <w:szCs w:val="26"/>
        </w:rPr>
        <w:t xml:space="preserve"> interference</w:t>
      </w:r>
    </w:p>
    <w:p w:rsidR="001E6FB8" w:rsidRPr="00E141F1" w:rsidRDefault="001E6FB8" w:rsidP="001E6FB8">
      <w:pPr>
        <w:rPr>
          <w:bCs/>
        </w:rPr>
      </w:pPr>
      <w:r w:rsidRPr="00E141F1">
        <w:rPr>
          <w:bCs/>
        </w:rPr>
        <w:t xml:space="preserve">Radio emissions that interfere inappropriately with a </w:t>
      </w:r>
      <w:proofErr w:type="spellStart"/>
      <w:r w:rsidRPr="00E141F1">
        <w:rPr>
          <w:bCs/>
        </w:rPr>
        <w:t>radiocommunications</w:t>
      </w:r>
      <w:proofErr w:type="spellEnd"/>
      <w:r w:rsidRPr="00E141F1">
        <w:rPr>
          <w:bCs/>
        </w:rPr>
        <w:t xml:space="preserve"> receiver or service.</w:t>
      </w:r>
    </w:p>
    <w:p w:rsidR="001E6FB8" w:rsidRPr="00E141F1" w:rsidRDefault="001E6FB8" w:rsidP="001E6FB8">
      <w:pPr>
        <w:rPr>
          <w:bCs/>
        </w:rPr>
      </w:pPr>
    </w:p>
    <w:p w:rsidR="001E6FB8" w:rsidRPr="00E141F1" w:rsidRDefault="001E6FB8" w:rsidP="001E6FB8">
      <w:pPr>
        <w:rPr>
          <w:b/>
          <w:bCs/>
          <w:szCs w:val="26"/>
        </w:rPr>
      </w:pPr>
      <w:r w:rsidRPr="00E141F1">
        <w:rPr>
          <w:b/>
          <w:bCs/>
          <w:szCs w:val="26"/>
        </w:rPr>
        <w:t>RCMG—Register of Controlled Media Groups</w:t>
      </w:r>
    </w:p>
    <w:p w:rsidR="001E6FB8" w:rsidRPr="00E141F1" w:rsidRDefault="001E6FB8" w:rsidP="001E6FB8">
      <w:r w:rsidRPr="00E141F1">
        <w:t>The register, maintained by the ACMA, lists the media groups in each licence area, the media operations that form part of a group and the controllers of those operations.</w:t>
      </w:r>
    </w:p>
    <w:p w:rsidR="001E6FB8" w:rsidRPr="00E141F1" w:rsidRDefault="001E6FB8" w:rsidP="001E6FB8"/>
    <w:p w:rsidR="001E6FB8" w:rsidRPr="00E141F1" w:rsidRDefault="001E6FB8" w:rsidP="001E6FB8">
      <w:r w:rsidRPr="00E141F1">
        <w:rPr>
          <w:b/>
          <w:bCs/>
          <w:szCs w:val="26"/>
        </w:rPr>
        <w:t>RSP—Retail Service Provider</w:t>
      </w:r>
    </w:p>
    <w:p w:rsidR="001E6FB8" w:rsidRPr="00E141F1" w:rsidRDefault="001E6FB8" w:rsidP="001E6FB8">
      <w:pPr>
        <w:rPr>
          <w:shd w:val="clear" w:color="auto" w:fill="FBFBFB"/>
        </w:rPr>
      </w:pPr>
      <w:r w:rsidRPr="00E141F1">
        <w:rPr>
          <w:shd w:val="clear" w:color="auto" w:fill="FBFBFB"/>
        </w:rPr>
        <w:t>The retail network service providers and application/content service providers are those that provide services to end users and have a direct customer relationship with the end users. Wholesale service providers do not have this relationship.</w:t>
      </w:r>
    </w:p>
    <w:p w:rsidR="001E6FB8" w:rsidRPr="00E141F1" w:rsidRDefault="001E6FB8" w:rsidP="001E6FB8"/>
    <w:p w:rsidR="001E6FB8" w:rsidRPr="00E141F1" w:rsidRDefault="001E6FB8" w:rsidP="001E6FB8">
      <w:pPr>
        <w:rPr>
          <w:b/>
          <w:bCs/>
          <w:szCs w:val="26"/>
        </w:rPr>
      </w:pPr>
      <w:r w:rsidRPr="00E141F1">
        <w:rPr>
          <w:b/>
          <w:bCs/>
          <w:szCs w:val="26"/>
        </w:rPr>
        <w:t>RVA—recorded voice announcement</w:t>
      </w:r>
    </w:p>
    <w:p w:rsidR="001E6FB8" w:rsidRPr="00E141F1" w:rsidRDefault="001E6FB8" w:rsidP="001E6FB8">
      <w:pPr>
        <w:rPr>
          <w:bCs/>
        </w:rPr>
      </w:pPr>
      <w:r w:rsidRPr="00E141F1">
        <w:rPr>
          <w:bCs/>
        </w:rPr>
        <w:t xml:space="preserve">A pre-recorded audio message played to listeners; for example, the message now played to all callers to the Triple Zero (000) emergency service. </w:t>
      </w:r>
    </w:p>
    <w:p w:rsidR="001E6FB8" w:rsidRPr="00E141F1" w:rsidRDefault="001E6FB8" w:rsidP="001E6FB8">
      <w:pPr>
        <w:rPr>
          <w:b/>
          <w:bCs/>
        </w:rPr>
      </w:pPr>
    </w:p>
    <w:p w:rsidR="001E6FB8" w:rsidRPr="00E141F1" w:rsidRDefault="001E6FB8" w:rsidP="001E6FB8">
      <w:pPr>
        <w:rPr>
          <w:b/>
          <w:bCs/>
        </w:rPr>
      </w:pPr>
      <w:r w:rsidRPr="00E141F1">
        <w:rPr>
          <w:b/>
          <w:bCs/>
          <w:szCs w:val="26"/>
        </w:rPr>
        <w:t>SBS</w:t>
      </w:r>
      <w:r w:rsidRPr="007D29A3">
        <w:rPr>
          <w:b/>
          <w:bCs/>
          <w:szCs w:val="26"/>
        </w:rPr>
        <w:t>—</w:t>
      </w:r>
      <w:r w:rsidRPr="007D29A3">
        <w:rPr>
          <w:rFonts w:cs="Arial"/>
          <w:b/>
          <w:szCs w:val="20"/>
        </w:rPr>
        <w:t>Special Broadcasting Service</w:t>
      </w:r>
    </w:p>
    <w:p w:rsidR="001E6FB8" w:rsidRPr="00E141F1" w:rsidRDefault="001E6FB8" w:rsidP="001E6FB8">
      <w:r w:rsidRPr="00E141F1">
        <w:t>Free-to-air national radio and television broadcasting service providing multilingual and multicultural programs that inform, educate and entertain all Australians and, in doing so, reflect Australia’s multicultural society. The SBS Online service also provides additional multilingual content through the internet.</w:t>
      </w:r>
    </w:p>
    <w:p w:rsidR="001E6FB8" w:rsidRPr="00E141F1" w:rsidRDefault="001E6FB8" w:rsidP="001E6FB8"/>
    <w:p w:rsidR="001E6FB8" w:rsidRPr="00E141F1" w:rsidRDefault="001E6FB8" w:rsidP="001E6FB8">
      <w:pPr>
        <w:rPr>
          <w:b/>
          <w:bCs/>
          <w:szCs w:val="26"/>
        </w:rPr>
      </w:pPr>
      <w:r w:rsidRPr="00E141F1">
        <w:rPr>
          <w:b/>
          <w:bCs/>
          <w:szCs w:val="26"/>
        </w:rPr>
        <w:t>STB—set-top box</w:t>
      </w:r>
    </w:p>
    <w:p w:rsidR="001E6FB8" w:rsidRPr="00E141F1" w:rsidRDefault="001E6FB8" w:rsidP="001E6FB8">
      <w:pPr>
        <w:rPr>
          <w:bCs/>
        </w:rPr>
      </w:pPr>
      <w:r w:rsidRPr="00E141F1">
        <w:rPr>
          <w:bCs/>
        </w:rPr>
        <w:t>Most commonly used for televisions, a STB connects and converts a digital television signal to a signal that may be used by a TV set.</w:t>
      </w:r>
    </w:p>
    <w:p w:rsidR="001E6FB8" w:rsidRPr="00E141F1" w:rsidRDefault="001E6FB8" w:rsidP="001E6FB8">
      <w:pPr>
        <w:rPr>
          <w:bCs/>
        </w:rPr>
      </w:pPr>
    </w:p>
    <w:p w:rsidR="001E6FB8" w:rsidRPr="00E141F1" w:rsidRDefault="001E6FB8" w:rsidP="001E6FB8">
      <w:pPr>
        <w:rPr>
          <w:b/>
          <w:bCs/>
          <w:szCs w:val="26"/>
        </w:rPr>
      </w:pPr>
      <w:r w:rsidRPr="00E141F1">
        <w:rPr>
          <w:b/>
          <w:bCs/>
          <w:szCs w:val="26"/>
        </w:rPr>
        <w:t>SIO—services in operation</w:t>
      </w:r>
    </w:p>
    <w:p w:rsidR="001E6FB8" w:rsidRPr="00E141F1" w:rsidRDefault="001E6FB8" w:rsidP="001E6FB8">
      <w:r w:rsidRPr="00E141F1">
        <w:t>The number of services provided by a telephone company at a particular time. The term is used in the context of both fixed-line and mobile services.</w:t>
      </w:r>
    </w:p>
    <w:p w:rsidR="001E6FB8" w:rsidRPr="00E141F1" w:rsidRDefault="001E6FB8" w:rsidP="001E6FB8">
      <w:pPr>
        <w:rPr>
          <w:b/>
          <w:bCs/>
        </w:rPr>
      </w:pPr>
    </w:p>
    <w:p w:rsidR="001E6FB8" w:rsidRPr="00E940FE" w:rsidRDefault="001E6FB8" w:rsidP="001E6FB8">
      <w:pPr>
        <w:rPr>
          <w:b/>
          <w:bCs/>
        </w:rPr>
      </w:pPr>
      <w:proofErr w:type="spellStart"/>
      <w:r w:rsidRPr="00E940FE">
        <w:rPr>
          <w:rFonts w:cs="Arial"/>
          <w:b/>
          <w:szCs w:val="20"/>
        </w:rPr>
        <w:t>smartnumbers</w:t>
      </w:r>
      <w:proofErr w:type="spellEnd"/>
      <w:r w:rsidRPr="00E940FE">
        <w:rPr>
          <w:b/>
          <w:bCs/>
        </w:rPr>
        <w:t xml:space="preserve"> </w:t>
      </w:r>
    </w:p>
    <w:p w:rsidR="001E6FB8" w:rsidRPr="00E141F1" w:rsidRDefault="001E6FB8" w:rsidP="001E6FB8">
      <w:r w:rsidRPr="00E141F1">
        <w:t xml:space="preserve">Specified </w:t>
      </w:r>
      <w:proofErr w:type="spellStart"/>
      <w:r w:rsidRPr="00E141F1">
        <w:t>freephone</w:t>
      </w:r>
      <w:proofErr w:type="spellEnd"/>
      <w:r w:rsidRPr="00E141F1">
        <w:t xml:space="preserve"> (1800) or local rate (13 or 1300) numbers allocated by auction and considered desirable because they can be translated to a </w:t>
      </w:r>
      <w:proofErr w:type="spellStart"/>
      <w:r w:rsidRPr="00E141F1">
        <w:t>phoneword</w:t>
      </w:r>
      <w:proofErr w:type="spellEnd"/>
      <w:r w:rsidRPr="00E141F1">
        <w:t xml:space="preserve"> or they have a memorable pattern.</w:t>
      </w:r>
    </w:p>
    <w:p w:rsidR="001E6FB8" w:rsidRPr="00E141F1" w:rsidRDefault="001E6FB8" w:rsidP="001E6FB8"/>
    <w:p w:rsidR="001E6FB8" w:rsidRPr="00E141F1" w:rsidRDefault="001E6FB8" w:rsidP="001E6FB8">
      <w:pPr>
        <w:rPr>
          <w:b/>
          <w:bCs/>
          <w:szCs w:val="26"/>
        </w:rPr>
      </w:pPr>
      <w:proofErr w:type="spellStart"/>
      <w:r w:rsidRPr="00E141F1">
        <w:rPr>
          <w:b/>
          <w:bCs/>
          <w:szCs w:val="26"/>
        </w:rPr>
        <w:t>smartphone</w:t>
      </w:r>
      <w:proofErr w:type="spellEnd"/>
    </w:p>
    <w:p w:rsidR="001E6FB8" w:rsidRPr="00E141F1" w:rsidRDefault="001E6FB8" w:rsidP="001E6FB8">
      <w:r w:rsidRPr="00E141F1">
        <w:t>A mobile phone built on a mobile operating system, with more advanced computing capability and connectivity.</w:t>
      </w:r>
      <w:r>
        <w:t xml:space="preserve"> </w:t>
      </w:r>
    </w:p>
    <w:p w:rsidR="001E6FB8" w:rsidRPr="00E141F1" w:rsidRDefault="001E6FB8" w:rsidP="001E6FB8"/>
    <w:p w:rsidR="001E6FB8" w:rsidRPr="00E141F1" w:rsidRDefault="001E6FB8" w:rsidP="001E6FB8">
      <w:pPr>
        <w:rPr>
          <w:b/>
          <w:bCs/>
          <w:szCs w:val="26"/>
        </w:rPr>
      </w:pPr>
      <w:r w:rsidRPr="00E141F1">
        <w:rPr>
          <w:b/>
          <w:bCs/>
          <w:szCs w:val="26"/>
        </w:rPr>
        <w:t>SMP—standard marketing plan</w:t>
      </w:r>
    </w:p>
    <w:p w:rsidR="001E6FB8" w:rsidRPr="00E141F1" w:rsidRDefault="001E6FB8" w:rsidP="001E6FB8">
      <w:r w:rsidRPr="00E141F1">
        <w:t xml:space="preserve">Approved plan submitted by the universal service provider of how it will meet the universal service obligation. See also </w:t>
      </w:r>
      <w:r w:rsidRPr="00E141F1">
        <w:rPr>
          <w:b/>
        </w:rPr>
        <w:t>USO</w:t>
      </w:r>
      <w:r w:rsidRPr="00E141F1">
        <w:t>.</w:t>
      </w:r>
    </w:p>
    <w:p w:rsidR="001E6FB8" w:rsidRPr="00E141F1" w:rsidRDefault="001E6FB8" w:rsidP="001E6FB8"/>
    <w:p w:rsidR="001E6FB8" w:rsidRPr="00E141F1" w:rsidRDefault="001E6FB8" w:rsidP="001E6FB8">
      <w:pPr>
        <w:keepNext/>
        <w:keepLines/>
        <w:rPr>
          <w:b/>
          <w:bCs/>
          <w:szCs w:val="26"/>
        </w:rPr>
      </w:pPr>
      <w:r w:rsidRPr="00E141F1">
        <w:rPr>
          <w:b/>
          <w:bCs/>
          <w:szCs w:val="26"/>
        </w:rPr>
        <w:t>SMS—short message service</w:t>
      </w:r>
    </w:p>
    <w:p w:rsidR="001E6FB8" w:rsidRPr="00E141F1" w:rsidRDefault="001E6FB8" w:rsidP="001E6FB8">
      <w:pPr>
        <w:spacing w:after="240"/>
      </w:pPr>
      <w:r w:rsidRPr="00E141F1">
        <w:t>A mobile telecommunications data transmission service that allows users to send short text messages to each other using a mobile handset.</w:t>
      </w:r>
    </w:p>
    <w:p w:rsidR="001E6FB8" w:rsidRPr="00E141F1" w:rsidRDefault="001E6FB8" w:rsidP="001E6FB8">
      <w:pPr>
        <w:keepNext/>
        <w:rPr>
          <w:b/>
          <w:bCs/>
          <w:szCs w:val="26"/>
        </w:rPr>
      </w:pPr>
      <w:r w:rsidRPr="00E141F1">
        <w:rPr>
          <w:b/>
          <w:bCs/>
          <w:szCs w:val="26"/>
        </w:rPr>
        <w:t xml:space="preserve">spam </w:t>
      </w:r>
    </w:p>
    <w:p w:rsidR="001E6FB8" w:rsidRPr="00E141F1" w:rsidRDefault="001E6FB8" w:rsidP="001E6FB8">
      <w:pPr>
        <w:spacing w:after="240"/>
      </w:pPr>
      <w:r w:rsidRPr="00E141F1">
        <w:t>Unsolicited commercial electronic messages that are sent by email, SMS, MMS and/or instant messaging.</w:t>
      </w:r>
    </w:p>
    <w:p w:rsidR="001E6FB8" w:rsidRPr="00E141F1" w:rsidRDefault="001E6FB8" w:rsidP="001E6FB8">
      <w:pPr>
        <w:rPr>
          <w:b/>
          <w:bCs/>
          <w:szCs w:val="26"/>
        </w:rPr>
      </w:pPr>
      <w:r w:rsidRPr="00E141F1">
        <w:rPr>
          <w:b/>
          <w:bCs/>
          <w:szCs w:val="26"/>
        </w:rPr>
        <w:t>standard telephone service</w:t>
      </w:r>
    </w:p>
    <w:p w:rsidR="001E6FB8" w:rsidRPr="00E141F1" w:rsidRDefault="001E6FB8" w:rsidP="001E6FB8">
      <w:r w:rsidRPr="00E141F1">
        <w:t xml:space="preserve">The telecommunications service defined as a carriage service providing voice telephony or an equivalent service that meets the requirements of the </w:t>
      </w:r>
      <w:r w:rsidRPr="005F0E6A">
        <w:rPr>
          <w:i/>
        </w:rPr>
        <w:t>Telecommunications (Consumer Protection and Service Standards) Act 1999</w:t>
      </w:r>
      <w:r>
        <w:t xml:space="preserve"> </w:t>
      </w:r>
      <w:r w:rsidRPr="00E141F1">
        <w:t xml:space="preserve">and the </w:t>
      </w:r>
      <w:r w:rsidRPr="005F0E6A">
        <w:rPr>
          <w:i/>
        </w:rPr>
        <w:t>Disability Discrimination Act 1992</w:t>
      </w:r>
      <w:r w:rsidRPr="00E141F1">
        <w:t>.</w:t>
      </w:r>
    </w:p>
    <w:p w:rsidR="001E6FB8" w:rsidRPr="00E141F1" w:rsidRDefault="001E6FB8" w:rsidP="001E6FB8"/>
    <w:p w:rsidR="001E6FB8" w:rsidRPr="00E141F1" w:rsidRDefault="001E6FB8" w:rsidP="001E6FB8">
      <w:pPr>
        <w:rPr>
          <w:b/>
          <w:bCs/>
          <w:szCs w:val="26"/>
        </w:rPr>
      </w:pPr>
      <w:r w:rsidRPr="00E141F1">
        <w:rPr>
          <w:b/>
          <w:bCs/>
          <w:szCs w:val="26"/>
        </w:rPr>
        <w:t>subscribers</w:t>
      </w:r>
    </w:p>
    <w:p w:rsidR="001E6FB8" w:rsidRPr="00E141F1" w:rsidRDefault="001E6FB8" w:rsidP="001E6FB8">
      <w:r w:rsidRPr="00E141F1">
        <w:t xml:space="preserve">ABS subscriber statistics measure the number of 'subscriber lines' rather than the number of 'users.' Counts of subscribers are not the same as counts of people/organisations with internet access. This is because some subscribers may have accounts with more than one ISP or multiple accounts with a single ISP. </w:t>
      </w:r>
    </w:p>
    <w:p w:rsidR="001E6FB8" w:rsidRPr="00E141F1" w:rsidRDefault="001E6FB8" w:rsidP="001E6FB8">
      <w:pPr>
        <w:rPr>
          <w:b/>
          <w:bCs/>
          <w:szCs w:val="26"/>
        </w:rPr>
      </w:pPr>
    </w:p>
    <w:p w:rsidR="001E6FB8" w:rsidRPr="00E141F1" w:rsidRDefault="001E6FB8" w:rsidP="001E6FB8">
      <w:pPr>
        <w:rPr>
          <w:b/>
          <w:bCs/>
          <w:szCs w:val="26"/>
        </w:rPr>
      </w:pPr>
      <w:r w:rsidRPr="00E141F1">
        <w:rPr>
          <w:b/>
          <w:bCs/>
          <w:szCs w:val="26"/>
        </w:rPr>
        <w:t>subscription television</w:t>
      </w:r>
    </w:p>
    <w:p w:rsidR="001E6FB8" w:rsidRPr="00E141F1" w:rsidRDefault="001E6FB8" w:rsidP="001E6FB8">
      <w:r w:rsidRPr="00E141F1">
        <w:t>Service providing access, for a fee, to television channels transmitted using cable, satellite or terrestrial microwave.</w:t>
      </w:r>
    </w:p>
    <w:p w:rsidR="001E6FB8" w:rsidRPr="00E141F1" w:rsidRDefault="001E6FB8" w:rsidP="001E6FB8"/>
    <w:p w:rsidR="001E6FB8" w:rsidRPr="00E141F1" w:rsidRDefault="001E6FB8" w:rsidP="001E6FB8">
      <w:pPr>
        <w:rPr>
          <w:b/>
          <w:bCs/>
          <w:szCs w:val="26"/>
        </w:rPr>
      </w:pPr>
      <w:r w:rsidRPr="00E141F1">
        <w:rPr>
          <w:b/>
          <w:bCs/>
          <w:szCs w:val="26"/>
        </w:rPr>
        <w:t xml:space="preserve">take-up </w:t>
      </w:r>
    </w:p>
    <w:p w:rsidR="001E6FB8" w:rsidRPr="00E141F1" w:rsidRDefault="001E6FB8" w:rsidP="001E6FB8">
      <w:r w:rsidRPr="00E141F1">
        <w:t>Adoption of a service or product by users.</w:t>
      </w:r>
    </w:p>
    <w:p w:rsidR="001E6FB8" w:rsidRPr="00E141F1" w:rsidRDefault="001E6FB8" w:rsidP="001E6FB8"/>
    <w:p w:rsidR="001E6FB8" w:rsidRPr="00E141F1" w:rsidRDefault="001E6FB8" w:rsidP="001E6FB8">
      <w:pPr>
        <w:rPr>
          <w:b/>
          <w:bCs/>
          <w:szCs w:val="26"/>
        </w:rPr>
      </w:pPr>
      <w:r w:rsidRPr="00E141F1">
        <w:rPr>
          <w:b/>
          <w:bCs/>
          <w:szCs w:val="26"/>
        </w:rPr>
        <w:t>TB—Terabytes</w:t>
      </w:r>
    </w:p>
    <w:p w:rsidR="001E6FB8" w:rsidRPr="00E141F1" w:rsidRDefault="001E6FB8" w:rsidP="001E6FB8">
      <w:r w:rsidRPr="00E141F1">
        <w:t>One thousand gigabytes. Each byte is eight bits.</w:t>
      </w:r>
    </w:p>
    <w:p w:rsidR="001E6FB8" w:rsidRPr="00E141F1" w:rsidRDefault="001E6FB8" w:rsidP="001E6FB8"/>
    <w:p w:rsidR="001E6FB8" w:rsidRPr="00E141F1" w:rsidRDefault="001E6FB8" w:rsidP="001E6FB8">
      <w:pPr>
        <w:rPr>
          <w:b/>
          <w:bCs/>
          <w:szCs w:val="26"/>
        </w:rPr>
      </w:pPr>
      <w:r w:rsidRPr="00E141F1">
        <w:rPr>
          <w:b/>
          <w:bCs/>
          <w:szCs w:val="26"/>
        </w:rPr>
        <w:t xml:space="preserve">three-way control </w:t>
      </w:r>
    </w:p>
    <w:p w:rsidR="001E6FB8" w:rsidRPr="00E141F1" w:rsidRDefault="001E6FB8" w:rsidP="001E6FB8">
      <w:r w:rsidRPr="00E141F1">
        <w:t xml:space="preserve">An unacceptable three-way control situation exists in relation to the licence area of a commercial radio broadcasting licence (the </w:t>
      </w:r>
      <w:r w:rsidRPr="00E141F1">
        <w:rPr>
          <w:i/>
          <w:iCs/>
        </w:rPr>
        <w:t>first radio licence area</w:t>
      </w:r>
      <w:r w:rsidRPr="00E141F1">
        <w:t>) if a person is in a position to exercise control of a commercial television broadcasting licence where more than 50 per cent of the licence area population of the first radio licence area is attributable to the licence area of the commercial television broadcasting licence; and a commercial radio broadcasting licence where the licence area of the commercial radio broadcasting licence is, or is the same as, the first radio licence area; and a newspaper that is associated with the first radio licence area.</w:t>
      </w:r>
    </w:p>
    <w:p w:rsidR="001E6FB8" w:rsidRPr="00E141F1" w:rsidRDefault="001E6FB8" w:rsidP="001E6FB8"/>
    <w:p w:rsidR="001E6FB8" w:rsidRPr="00E141F1" w:rsidRDefault="001E6FB8" w:rsidP="001E6FB8">
      <w:pPr>
        <w:rPr>
          <w:b/>
          <w:bCs/>
        </w:rPr>
      </w:pPr>
      <w:r w:rsidRPr="00E141F1">
        <w:rPr>
          <w:b/>
          <w:bCs/>
          <w:szCs w:val="26"/>
        </w:rPr>
        <w:t>TIO scheme</w:t>
      </w:r>
      <w:r w:rsidRPr="007D29A3">
        <w:rPr>
          <w:b/>
          <w:bCs/>
          <w:szCs w:val="26"/>
        </w:rPr>
        <w:t>—</w:t>
      </w:r>
      <w:r w:rsidRPr="007D29A3">
        <w:rPr>
          <w:rFonts w:cs="Arial"/>
          <w:b/>
          <w:szCs w:val="20"/>
        </w:rPr>
        <w:t>Telecommunications Industry Ombudsman</w:t>
      </w:r>
      <w:r w:rsidRPr="00E141F1">
        <w:rPr>
          <w:b/>
          <w:bCs/>
        </w:rPr>
        <w:t xml:space="preserve"> </w:t>
      </w:r>
      <w:r w:rsidRPr="00E141F1">
        <w:rPr>
          <w:b/>
          <w:bCs/>
          <w:szCs w:val="26"/>
        </w:rPr>
        <w:t>scheme</w:t>
      </w:r>
    </w:p>
    <w:p w:rsidR="001E6FB8" w:rsidRPr="00E141F1" w:rsidRDefault="001E6FB8" w:rsidP="001E6FB8">
      <w:r w:rsidRPr="00E141F1">
        <w:t>Industry-funded independent dispute resolution service, established in December 1993, for consumers unable to resolve complaints with their telecommunications carrier or CSP (including ISPs).</w:t>
      </w:r>
    </w:p>
    <w:p w:rsidR="001E6FB8" w:rsidRPr="00E141F1" w:rsidRDefault="001E6FB8" w:rsidP="001E6FB8"/>
    <w:p w:rsidR="001E6FB8" w:rsidRPr="00E141F1" w:rsidRDefault="001E6FB8" w:rsidP="001E6FB8">
      <w:pPr>
        <w:rPr>
          <w:b/>
          <w:bCs/>
          <w:szCs w:val="26"/>
        </w:rPr>
      </w:pPr>
      <w:r w:rsidRPr="00E141F1">
        <w:rPr>
          <w:b/>
          <w:bCs/>
          <w:szCs w:val="26"/>
        </w:rPr>
        <w:t xml:space="preserve">trigger event </w:t>
      </w:r>
    </w:p>
    <w:p w:rsidR="001E6FB8" w:rsidRPr="00E141F1" w:rsidRDefault="001E6FB8" w:rsidP="001E6FB8">
      <w:r w:rsidRPr="00E141F1">
        <w:t>Relates to commercial regional radio licences and includes a transfer of a licence, formation of a new registrable media group that includes a regional commercial radio broadcasting licence, or change of controller of a registrable media group that includes a regional commercial radio broadcasting licence.</w:t>
      </w:r>
    </w:p>
    <w:p w:rsidR="001E6FB8" w:rsidRPr="00E141F1" w:rsidRDefault="001E6FB8" w:rsidP="001E6FB8"/>
    <w:p w:rsidR="001E6FB8" w:rsidRPr="00E141F1" w:rsidRDefault="001E6FB8" w:rsidP="001E6FB8">
      <w:pPr>
        <w:rPr>
          <w:b/>
          <w:bCs/>
          <w:szCs w:val="26"/>
        </w:rPr>
      </w:pPr>
      <w:r w:rsidRPr="00E141F1">
        <w:rPr>
          <w:b/>
          <w:bCs/>
          <w:szCs w:val="26"/>
        </w:rPr>
        <w:t>TTY—teletypewriter</w:t>
      </w:r>
    </w:p>
    <w:p w:rsidR="001E6FB8" w:rsidRPr="00E141F1" w:rsidRDefault="001E6FB8" w:rsidP="001E6FB8">
      <w:r w:rsidRPr="00E141F1">
        <w:t>Telephone typewriter that allows communication to be typed after a call is connected, enabling people with a hearing or speech impairment to use voice telecommunications. Calls can be connected to another TTY user or relayed and translated to voice by the NRS.</w:t>
      </w:r>
    </w:p>
    <w:p w:rsidR="001E6FB8" w:rsidRPr="00E141F1" w:rsidRDefault="001E6FB8" w:rsidP="001E6FB8"/>
    <w:p w:rsidR="001E6FB8" w:rsidRPr="00E141F1" w:rsidRDefault="001E6FB8" w:rsidP="001E6FB8">
      <w:pPr>
        <w:keepNext/>
        <w:rPr>
          <w:b/>
          <w:bCs/>
          <w:szCs w:val="26"/>
        </w:rPr>
      </w:pPr>
      <w:r w:rsidRPr="00E141F1">
        <w:rPr>
          <w:b/>
          <w:bCs/>
          <w:szCs w:val="26"/>
        </w:rPr>
        <w:t>ULL—unconditioned local loop</w:t>
      </w:r>
    </w:p>
    <w:p w:rsidR="001E6FB8" w:rsidRPr="00E141F1" w:rsidRDefault="001E6FB8" w:rsidP="001E6FB8">
      <w:r w:rsidRPr="00E141F1">
        <w:t>Use of unconditioned copper wire pairs between a customer’s local exchange and his or her premises.</w:t>
      </w:r>
    </w:p>
    <w:p w:rsidR="001E6FB8" w:rsidRPr="00E141F1" w:rsidRDefault="001E6FB8" w:rsidP="001E6FB8"/>
    <w:p w:rsidR="001E6FB8" w:rsidRPr="00E141F1" w:rsidRDefault="001E6FB8" w:rsidP="001E6FB8">
      <w:pPr>
        <w:keepNext/>
        <w:rPr>
          <w:b/>
          <w:bCs/>
          <w:szCs w:val="26"/>
        </w:rPr>
      </w:pPr>
      <w:r w:rsidRPr="00E141F1">
        <w:rPr>
          <w:b/>
          <w:bCs/>
          <w:szCs w:val="26"/>
        </w:rPr>
        <w:t>URL—uniform resource locator</w:t>
      </w:r>
    </w:p>
    <w:p w:rsidR="001E6FB8" w:rsidRPr="00E141F1" w:rsidRDefault="001E6FB8" w:rsidP="001E6FB8">
      <w:pPr>
        <w:spacing w:after="240"/>
      </w:pPr>
      <w:r w:rsidRPr="00E141F1">
        <w:t>A unique address for accessing information and services over the internet.</w:t>
      </w:r>
    </w:p>
    <w:p w:rsidR="001E6FB8" w:rsidRPr="00E141F1" w:rsidRDefault="001E6FB8" w:rsidP="001E6FB8">
      <w:pPr>
        <w:keepNext/>
        <w:rPr>
          <w:b/>
          <w:bCs/>
          <w:szCs w:val="26"/>
        </w:rPr>
      </w:pPr>
      <w:r w:rsidRPr="00E141F1">
        <w:rPr>
          <w:b/>
          <w:bCs/>
          <w:szCs w:val="26"/>
        </w:rPr>
        <w:t>USO—universal service obligation</w:t>
      </w:r>
    </w:p>
    <w:p w:rsidR="001E6FB8" w:rsidRPr="00E141F1" w:rsidRDefault="001E6FB8" w:rsidP="001E6FB8">
      <w:r w:rsidRPr="00E141F1">
        <w:t>Obligation under the TCPSS Act</w:t>
      </w:r>
      <w:r w:rsidRPr="00E141F1">
        <w:rPr>
          <w:i/>
          <w:iCs/>
        </w:rPr>
        <w:t xml:space="preserve"> </w:t>
      </w:r>
      <w:r w:rsidRPr="00E141F1">
        <w:t>to ensure that standard telephone services, payphones and prescribed carriage services are reasonably accessible to all people in Australia on an equitable basis, wherever they reside or carry on business.</w:t>
      </w:r>
    </w:p>
    <w:p w:rsidR="001E6FB8" w:rsidRPr="00E141F1" w:rsidRDefault="001E6FB8" w:rsidP="001E6FB8"/>
    <w:p w:rsidR="001E6FB8" w:rsidRPr="00E141F1" w:rsidRDefault="001E6FB8" w:rsidP="001E6FB8">
      <w:pPr>
        <w:rPr>
          <w:b/>
          <w:bCs/>
          <w:szCs w:val="26"/>
        </w:rPr>
      </w:pPr>
      <w:r w:rsidRPr="00E141F1">
        <w:rPr>
          <w:b/>
          <w:bCs/>
          <w:szCs w:val="26"/>
        </w:rPr>
        <w:t>USP—universal service provider</w:t>
      </w:r>
    </w:p>
    <w:p w:rsidR="001E6FB8" w:rsidRPr="00E141F1" w:rsidRDefault="001E6FB8" w:rsidP="001E6FB8">
      <w:r w:rsidRPr="00E141F1">
        <w:t xml:space="preserve">A nominated provider who receives government subsidies to provide a necessary service. Telstra is the primary USP and is responsible for fulfilling the universal service obligation throughout Australia. </w:t>
      </w:r>
    </w:p>
    <w:p w:rsidR="001E6FB8" w:rsidRPr="00E141F1" w:rsidRDefault="001E6FB8" w:rsidP="001E6FB8"/>
    <w:p w:rsidR="001E6FB8" w:rsidRPr="00E141F1" w:rsidRDefault="001E6FB8" w:rsidP="001E6FB8">
      <w:pPr>
        <w:rPr>
          <w:b/>
          <w:bCs/>
          <w:szCs w:val="26"/>
        </w:rPr>
      </w:pPr>
      <w:r w:rsidRPr="00E141F1">
        <w:rPr>
          <w:b/>
          <w:bCs/>
          <w:szCs w:val="26"/>
        </w:rPr>
        <w:t>VoIP—voice over internet protocol</w:t>
      </w:r>
    </w:p>
    <w:p w:rsidR="001E6FB8" w:rsidRPr="00E141F1" w:rsidRDefault="001E6FB8" w:rsidP="001E6FB8">
      <w:r w:rsidRPr="00E141F1">
        <w:t>The transport of voice traffic inside IP packets over an IP network.</w:t>
      </w:r>
    </w:p>
    <w:p w:rsidR="001E6FB8" w:rsidRPr="00E141F1" w:rsidRDefault="001E6FB8" w:rsidP="001E6FB8"/>
    <w:p w:rsidR="001E6FB8" w:rsidRPr="00E141F1" w:rsidRDefault="001E6FB8" w:rsidP="001E6FB8">
      <w:pPr>
        <w:rPr>
          <w:b/>
          <w:bCs/>
          <w:szCs w:val="26"/>
        </w:rPr>
      </w:pPr>
      <w:proofErr w:type="spellStart"/>
      <w:r w:rsidRPr="00E141F1">
        <w:rPr>
          <w:b/>
          <w:bCs/>
          <w:szCs w:val="26"/>
        </w:rPr>
        <w:t>WiMAX</w:t>
      </w:r>
      <w:proofErr w:type="spellEnd"/>
      <w:r w:rsidRPr="00E141F1">
        <w:rPr>
          <w:b/>
          <w:bCs/>
          <w:szCs w:val="26"/>
        </w:rPr>
        <w:t>—Worldwide Interoperability for Microwave Access</w:t>
      </w:r>
    </w:p>
    <w:p w:rsidR="001E6FB8" w:rsidRPr="00E141F1" w:rsidRDefault="001E6FB8" w:rsidP="001E6FB8">
      <w:r w:rsidRPr="00E141F1">
        <w:t xml:space="preserve">The IEEE 802.16 standards for broadband wireless access networks for multimedia applications with a wireless connection. </w:t>
      </w:r>
    </w:p>
    <w:p w:rsidR="001E6FB8" w:rsidRDefault="001E6FB8" w:rsidP="001E6FB8"/>
    <w:p w:rsidR="00F57682" w:rsidRDefault="001E6FB8" w:rsidP="001E6FB8">
      <w:pPr>
        <w:pStyle w:val="Heading1"/>
        <w:sectPr w:rsidR="00F57682" w:rsidSect="00F57682">
          <w:endnotePr>
            <w:numFmt w:val="decimal"/>
            <w:numRestart w:val="eachSect"/>
          </w:endnotePr>
          <w:pgSz w:w="11906" w:h="16838" w:code="9"/>
          <w:pgMar w:top="1945" w:right="3101" w:bottom="868" w:left="1134" w:header="709" w:footer="119" w:gutter="0"/>
          <w:cols w:space="708"/>
          <w:docGrid w:linePitch="360"/>
        </w:sectPr>
      </w:pPr>
      <w:bookmarkStart w:id="676" w:name="_Toc371589140"/>
      <w:bookmarkStart w:id="677" w:name="_Toc373149202"/>
      <w:r w:rsidRPr="00C4022D">
        <w:t>Index</w:t>
      </w:r>
      <w:bookmarkEnd w:id="676"/>
      <w:bookmarkEnd w:id="677"/>
    </w:p>
    <w:p w:rsidR="001E6FB8" w:rsidRPr="00C4022D" w:rsidRDefault="001E6FB8" w:rsidP="001E6FB8">
      <w:pPr>
        <w:pBdr>
          <w:bottom w:val="single" w:sz="4" w:space="1" w:color="auto"/>
        </w:pBdr>
        <w:rPr>
          <w:color w:val="4D4D4F"/>
          <w:sz w:val="48"/>
          <w:szCs w:val="48"/>
        </w:rPr>
      </w:pPr>
      <w:r w:rsidRPr="00C4022D">
        <w:rPr>
          <w:color w:val="4D4D4F"/>
          <w:sz w:val="48"/>
          <w:szCs w:val="48"/>
        </w:rPr>
        <w:t>A</w:t>
      </w:r>
    </w:p>
    <w:p w:rsidR="001E6FB8" w:rsidRPr="00C4022D" w:rsidRDefault="001E6FB8" w:rsidP="001E6FB8">
      <w:pPr>
        <w:pStyle w:val="Main"/>
        <w:spacing w:before="40"/>
        <w:rPr>
          <w:rFonts w:ascii="Arial" w:hAnsi="Arial" w:cs="Arial"/>
          <w:sz w:val="16"/>
          <w:szCs w:val="16"/>
        </w:rPr>
      </w:pPr>
      <w:r w:rsidRPr="00C4022D">
        <w:rPr>
          <w:rFonts w:ascii="Arial" w:hAnsi="Arial" w:cs="Arial"/>
          <w:sz w:val="16"/>
          <w:szCs w:val="16"/>
        </w:rPr>
        <w:t>AAPT  33</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levies payable  62</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privacy investigations  84</w:t>
      </w:r>
    </w:p>
    <w:p w:rsidR="001E6FB8" w:rsidRPr="00C4022D" w:rsidRDefault="001E6FB8" w:rsidP="001E6FB8">
      <w:pPr>
        <w:pStyle w:val="Main"/>
        <w:rPr>
          <w:rFonts w:ascii="Arial" w:hAnsi="Arial" w:cs="Arial"/>
          <w:sz w:val="16"/>
          <w:szCs w:val="16"/>
        </w:rPr>
      </w:pPr>
      <w:proofErr w:type="spellStart"/>
      <w:r w:rsidRPr="00C4022D">
        <w:rPr>
          <w:rFonts w:ascii="Arial" w:hAnsi="Arial" w:cs="Arial"/>
          <w:sz w:val="16"/>
          <w:szCs w:val="16"/>
        </w:rPr>
        <w:t>AARnet</w:t>
      </w:r>
      <w:proofErr w:type="spellEnd"/>
      <w:r w:rsidRPr="00C4022D">
        <w:rPr>
          <w:rFonts w:ascii="Arial" w:hAnsi="Arial" w:cs="Arial"/>
          <w:sz w:val="16"/>
          <w:szCs w:val="16"/>
        </w:rPr>
        <w:t xml:space="preserve">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ABC  101</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ABC radio  103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ABC television  103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Ace Internet Services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ACE Radio Broadcasters Pty Ltd  38–9</w:t>
      </w:r>
    </w:p>
    <w:p w:rsidR="001E6FB8" w:rsidRPr="00C4022D" w:rsidRDefault="001E6FB8" w:rsidP="001E6FB8">
      <w:pPr>
        <w:pStyle w:val="Main"/>
        <w:rPr>
          <w:rFonts w:ascii="Arial" w:hAnsi="Arial" w:cs="Arial"/>
          <w:sz w:val="16"/>
          <w:szCs w:val="16"/>
        </w:rPr>
      </w:pPr>
      <w:r w:rsidRPr="00C4022D">
        <w:rPr>
          <w:rFonts w:ascii="Arial" w:hAnsi="Arial" w:cs="Arial"/>
          <w:i/>
          <w:iCs/>
          <w:sz w:val="16"/>
          <w:szCs w:val="16"/>
        </w:rPr>
        <w:t>ACMA Communications report 2012–13</w:t>
      </w:r>
      <w:r w:rsidRPr="00C4022D">
        <w:rPr>
          <w:rFonts w:ascii="Arial" w:hAnsi="Arial" w:cs="Arial"/>
          <w:sz w:val="16"/>
          <w:szCs w:val="16"/>
        </w:rPr>
        <w:t xml:space="preserve">  2</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ACMA complementary reporting program  7</w:t>
      </w:r>
    </w:p>
    <w:p w:rsidR="001E6FB8" w:rsidRPr="00C4022D" w:rsidRDefault="001E6FB8" w:rsidP="001E6FB8">
      <w:pPr>
        <w:pStyle w:val="Main"/>
        <w:rPr>
          <w:rFonts w:ascii="Arial" w:hAnsi="Arial" w:cs="Arial"/>
          <w:sz w:val="16"/>
          <w:szCs w:val="16"/>
        </w:rPr>
      </w:pPr>
      <w:r w:rsidRPr="00C4022D">
        <w:rPr>
          <w:rFonts w:ascii="Arial" w:hAnsi="Arial" w:cs="Arial"/>
          <w:i/>
          <w:iCs/>
          <w:sz w:val="16"/>
          <w:szCs w:val="16"/>
        </w:rPr>
        <w:t xml:space="preserve">ACMA research snapshots </w:t>
      </w:r>
      <w:r w:rsidRPr="00C4022D">
        <w:rPr>
          <w:rFonts w:ascii="Arial" w:hAnsi="Arial" w:cs="Arial"/>
          <w:sz w:val="16"/>
          <w:szCs w:val="16"/>
        </w:rPr>
        <w:t>series  7</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acquisitions  25</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Activ8me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Adam Internet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Advanced NBN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advertising</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Australian content  6, 95–6</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commercial radio standards  99</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expenditure  42</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online  4</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radio  99</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television  42</w:t>
      </w:r>
    </w:p>
    <w:p w:rsidR="001E6FB8" w:rsidRPr="00C4022D" w:rsidRDefault="001E6FB8" w:rsidP="001E6FB8">
      <w:pPr>
        <w:pStyle w:val="Main"/>
        <w:rPr>
          <w:rFonts w:ascii="Arial" w:hAnsi="Arial" w:cs="Arial"/>
          <w:sz w:val="16"/>
          <w:szCs w:val="16"/>
        </w:rPr>
      </w:pPr>
      <w:r w:rsidRPr="00C4022D">
        <w:rPr>
          <w:rFonts w:ascii="Arial" w:hAnsi="Arial" w:cs="Arial"/>
          <w:i/>
          <w:iCs/>
          <w:sz w:val="16"/>
          <w:szCs w:val="16"/>
        </w:rPr>
        <w:t>The Alan Jones Breakfast Show</w:t>
      </w:r>
      <w:r w:rsidRPr="00C4022D">
        <w:rPr>
          <w:rFonts w:ascii="Arial" w:hAnsi="Arial" w:cs="Arial"/>
          <w:sz w:val="16"/>
          <w:szCs w:val="16"/>
        </w:rPr>
        <w:t xml:space="preserve">  99</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allocation of numbers  35–6</w:t>
      </w:r>
    </w:p>
    <w:p w:rsidR="001E6FB8" w:rsidRPr="00C4022D" w:rsidRDefault="001E6FB8" w:rsidP="001E6FB8">
      <w:pPr>
        <w:pStyle w:val="Main"/>
        <w:rPr>
          <w:rFonts w:ascii="Arial" w:hAnsi="Arial" w:cs="Arial"/>
          <w:sz w:val="16"/>
          <w:szCs w:val="16"/>
        </w:rPr>
      </w:pPr>
      <w:proofErr w:type="spellStart"/>
      <w:r w:rsidRPr="00C4022D">
        <w:rPr>
          <w:rFonts w:ascii="Arial" w:hAnsi="Arial" w:cs="Arial"/>
          <w:sz w:val="16"/>
          <w:szCs w:val="16"/>
        </w:rPr>
        <w:t>Anittel</w:t>
      </w:r>
      <w:proofErr w:type="spellEnd"/>
      <w:r w:rsidRPr="00C4022D">
        <w:rPr>
          <w:rFonts w:ascii="Arial" w:hAnsi="Arial" w:cs="Arial"/>
          <w:sz w:val="16"/>
          <w:szCs w:val="16"/>
        </w:rPr>
        <w:t xml:space="preserve">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annual carrier licence charges (ACLC)  61</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ANT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anti-terrorism standards  99</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apparatus auctions  17</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apparatus licence tax  17</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apparatus licences  17</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by type  13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Apple TV  46</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appointments  67</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ARN Communications Pty Ltd  99</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Arrow Voice &amp; Data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asymmetric digital subscriber line (ADSL)  8, 27–8</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Attorney-General’s Department (AGD)  52, 55–6</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audio content services  4, 116, 124</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Aussie Broadband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Aussie Broadband Services  33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Bureau of Statistics (ABS)  24</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Communications and Media Authority</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disclosures of customer information to  52–4</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financial information  17</w:t>
      </w:r>
    </w:p>
    <w:p w:rsidR="001E6FB8" w:rsidRPr="00C4022D" w:rsidRDefault="001E6FB8" w:rsidP="001E6FB8">
      <w:pPr>
        <w:pStyle w:val="Sub1"/>
        <w:rPr>
          <w:rFonts w:ascii="Arial" w:hAnsi="Arial" w:cs="Arial"/>
          <w:sz w:val="16"/>
          <w:szCs w:val="16"/>
        </w:rPr>
      </w:pPr>
      <w:r w:rsidRPr="00C4022D">
        <w:rPr>
          <w:rFonts w:ascii="Arial" w:hAnsi="Arial" w:cs="Arial"/>
          <w:sz w:val="16"/>
          <w:szCs w:val="16"/>
        </w:rPr>
        <w:t>publications  7</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Communications Exchange (ACE)  49, 51</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Competition and Consumer Commission  52–4</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content on television  92–6</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Content Standard  92</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Direct Marketing Association  83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 xml:space="preserve">Australian </w:t>
      </w:r>
      <w:proofErr w:type="spellStart"/>
      <w:r w:rsidRPr="00C4022D">
        <w:rPr>
          <w:rFonts w:ascii="Arial" w:hAnsi="Arial" w:cs="Arial"/>
          <w:sz w:val="16"/>
          <w:szCs w:val="16"/>
        </w:rPr>
        <w:t>eMarketing</w:t>
      </w:r>
      <w:proofErr w:type="spellEnd"/>
      <w:r w:rsidRPr="00C4022D">
        <w:rPr>
          <w:rFonts w:ascii="Arial" w:hAnsi="Arial" w:cs="Arial"/>
          <w:sz w:val="16"/>
          <w:szCs w:val="16"/>
        </w:rPr>
        <w:t xml:space="preserve"> Code of Practice  83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Federal Police (AFP)  106</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Internet Security Initiative (AISI)  83</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Private Networks  86</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Radio Network Pty Ltd  38–9</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Securities and Investments Commission  34</w:t>
      </w:r>
    </w:p>
    <w:p w:rsidR="001E6FB8" w:rsidRPr="00C4022D" w:rsidRDefault="001E6FB8" w:rsidP="001E6FB8">
      <w:pPr>
        <w:pStyle w:val="Main"/>
        <w:rPr>
          <w:rFonts w:ascii="Arial" w:hAnsi="Arial" w:cs="Arial"/>
          <w:sz w:val="16"/>
          <w:szCs w:val="16"/>
        </w:rPr>
      </w:pPr>
      <w:r w:rsidRPr="00C4022D">
        <w:rPr>
          <w:rFonts w:ascii="Arial" w:hAnsi="Arial" w:cs="Arial"/>
          <w:sz w:val="16"/>
          <w:szCs w:val="16"/>
        </w:rPr>
        <w:t>Australian Tax Office  83</w:t>
      </w:r>
    </w:p>
    <w:p w:rsidR="001E6FB8" w:rsidRDefault="001E6FB8" w:rsidP="001E6FB8">
      <w:pPr>
        <w:pStyle w:val="Main"/>
        <w:rPr>
          <w:rFonts w:ascii="Arial" w:hAnsi="Arial" w:cs="Arial"/>
          <w:sz w:val="16"/>
          <w:szCs w:val="16"/>
        </w:rPr>
      </w:pPr>
    </w:p>
    <w:p w:rsidR="006B5423" w:rsidRPr="00C4022D" w:rsidRDefault="001E6FB8" w:rsidP="006B5423">
      <w:pPr>
        <w:pStyle w:val="Main"/>
        <w:pBdr>
          <w:bottom w:val="single" w:sz="4" w:space="1" w:color="auto"/>
        </w:pBdr>
        <w:rPr>
          <w:rFonts w:ascii="Arial" w:hAnsi="Arial" w:cs="Arial"/>
          <w:sz w:val="16"/>
          <w:szCs w:val="16"/>
        </w:rPr>
      </w:pPr>
      <w:r>
        <w:rPr>
          <w:rFonts w:ascii="Arial" w:hAnsi="Arial" w:cs="Arial"/>
          <w:color w:val="4D4D4F"/>
          <w:sz w:val="48"/>
          <w:szCs w:val="48"/>
        </w:rPr>
        <w:br w:type="column"/>
      </w:r>
      <w:r w:rsidR="006B5423" w:rsidRPr="00C4022D">
        <w:rPr>
          <w:rFonts w:ascii="Arial" w:hAnsi="Arial" w:cs="Arial"/>
          <w:color w:val="4D4D4F"/>
          <w:sz w:val="48"/>
          <w:szCs w:val="48"/>
        </w:rPr>
        <w:t>B</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banking  12, 116–18, 121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billing and payments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complaints  15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investigations  84–5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billing information  88–9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Boom Broadband  33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Bordernet</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botnets</w:t>
      </w:r>
      <w:proofErr w:type="spellEnd"/>
      <w:r w:rsidRPr="00C4022D">
        <w:rPr>
          <w:rFonts w:ascii="Arial" w:hAnsi="Arial" w:cs="Arial"/>
          <w:sz w:val="16"/>
          <w:szCs w:val="16"/>
        </w:rPr>
        <w:t xml:space="preserve">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Broadband Commission for Digital Development  4, 27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broadband internet  3, 4, 108–11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asymmetric digital subscriber line (ADSL)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cable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data downloaded  3, 11, 27–8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fibre  8, 26–7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fixed-line  11, 26–8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4,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satellite  8, 26–7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wireless  11, 26–8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Broadband Solutions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 Operations Pty Ltd  38–9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complaints  15, 102–3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industry regulatory performance  6–7, 92–107</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Broadcasting Legislation Amendment (Convergence Review and Other Measures) Act 2013</w:t>
      </w:r>
      <w:r w:rsidRPr="00C4022D">
        <w:rPr>
          <w:rFonts w:ascii="Arial" w:hAnsi="Arial" w:cs="Arial"/>
          <w:sz w:val="16"/>
          <w:szCs w:val="16"/>
        </w:rPr>
        <w:t xml:space="preserve">  92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 xml:space="preserve">broadcasting licences  </w:t>
      </w:r>
      <w:r w:rsidRPr="00C4022D">
        <w:rPr>
          <w:rFonts w:ascii="Arial" w:hAnsi="Arial" w:cs="Arial"/>
          <w:i/>
          <w:iCs/>
          <w:sz w:val="16"/>
          <w:szCs w:val="16"/>
        </w:rPr>
        <w:t>see</w:t>
      </w:r>
      <w:r w:rsidRPr="00C4022D">
        <w:rPr>
          <w:rFonts w:ascii="Arial" w:hAnsi="Arial" w:cs="Arial"/>
          <w:sz w:val="16"/>
          <w:szCs w:val="16"/>
        </w:rPr>
        <w:t xml:space="preserve"> licences</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Service (Additional Regional Commercial Radio Licence Condition – Material of Local Significance) Notice 19 December 2007  98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services  36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37–42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complaints  7</w:t>
      </w:r>
    </w:p>
    <w:p w:rsidR="006B5423" w:rsidRPr="00C4022D" w:rsidRDefault="006B5423" w:rsidP="006B5423">
      <w:pPr>
        <w:pStyle w:val="Sub1"/>
        <w:rPr>
          <w:rFonts w:ascii="Arial" w:hAnsi="Arial" w:cs="Arial"/>
          <w:sz w:val="16"/>
          <w:szCs w:val="16"/>
        </w:rPr>
      </w:pPr>
      <w:r w:rsidRPr="00C4022D">
        <w:rPr>
          <w:rFonts w:ascii="Arial" w:hAnsi="Arial" w:cs="Arial"/>
          <w:i/>
          <w:iCs/>
          <w:sz w:val="16"/>
          <w:szCs w:val="16"/>
        </w:rPr>
        <w:t>see also</w:t>
      </w:r>
      <w:r w:rsidRPr="00C4022D">
        <w:rPr>
          <w:rFonts w:ascii="Arial" w:hAnsi="Arial" w:cs="Arial"/>
          <w:sz w:val="16"/>
          <w:szCs w:val="16"/>
        </w:rPr>
        <w:t xml:space="preserve"> radio; television</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 xml:space="preserve">Broadcasting Services Act 1992 </w:t>
      </w:r>
      <w:r w:rsidRPr="00C4022D">
        <w:rPr>
          <w:rFonts w:ascii="Arial" w:hAnsi="Arial" w:cs="Arial"/>
          <w:sz w:val="16"/>
          <w:szCs w:val="16"/>
        </w:rPr>
        <w:t>(BSA)  92, 96, 98, 101, 102, 103, 104</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Broadcasting Services Amendment (Digital Television) Act 2012</w:t>
      </w:r>
      <w:r w:rsidRPr="00C4022D">
        <w:rPr>
          <w:rFonts w:ascii="Arial" w:hAnsi="Arial" w:cs="Arial"/>
          <w:sz w:val="16"/>
          <w:szCs w:val="16"/>
        </w:rPr>
        <w:t xml:space="preserve">  101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Services (Anti-terrorism Requirements for Open Narrowcasting Television Services) Standard 2011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Services (Anti-terrorism Requirements for Subscription Narrowcasting Television Services) Standard 2011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Services (Australian Content) Standard 2005  92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Services (Commercial Radio Advertising) Standard 2012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Services (Commercial Radio Current Affairs Disclosure) Standard 2012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Broadcasting Services (Digital Television Standards) Regulations 2000  101</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Bytecard</w:t>
      </w:r>
      <w:proofErr w:type="spellEnd"/>
      <w:r w:rsidRPr="00C4022D">
        <w:rPr>
          <w:rFonts w:ascii="Arial" w:hAnsi="Arial" w:cs="Arial"/>
          <w:sz w:val="16"/>
          <w:szCs w:val="16"/>
        </w:rPr>
        <w:t xml:space="preserve"> Pty Ltd  86</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C</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cable internet  26–7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cable runs  71</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cablers</w:t>
      </w:r>
      <w:proofErr w:type="spellEnd"/>
      <w:r w:rsidRPr="00C4022D">
        <w:rPr>
          <w:rFonts w:ascii="Arial" w:hAnsi="Arial" w:cs="Arial"/>
          <w:sz w:val="16"/>
          <w:szCs w:val="16"/>
        </w:rPr>
        <w:t>, registered  13, 77–8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cabling compliance  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Cabling Industry Committee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Cabling Provider Rules  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cabling regulation  77–8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Cabling Requirements for Business Code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Call Charging and Billing Accuracy Code  84–5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call override  77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call/service costs, consumer satisfaction  88–9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capabilities within digital economy  12, 114–18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captioning television  96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carriage services, emergency suspension  55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Carrier Licence Conditions (Telstra Corporation Limited) Declaration 1997  74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carrier licensing  13, 17, 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Chairman's foreword  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Channel Nine Pty Ltd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Channel Seven Melbourne Pty Ltd  98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Channel Seven Perth Pty Ltd  98–9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Chapman, Chris  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children's programs  93–4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quotas  93–4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Children’s Television Standards 2009  93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Chime Communications  62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Classification Board  98</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Classification (Publications, Films and Computer Games) Act 1995</w:t>
      </w:r>
      <w:r w:rsidRPr="00C4022D">
        <w:rPr>
          <w:rFonts w:ascii="Arial" w:hAnsi="Arial" w:cs="Arial"/>
          <w:sz w:val="16"/>
          <w:szCs w:val="16"/>
        </w:rPr>
        <w:t xml:space="preserve">  104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Clear Networks  33, 86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cloud services  124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use of  4, 12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Club Telco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codes of practice</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radio  99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w:t>
      </w:r>
      <w:r>
        <w:rPr>
          <w:rFonts w:ascii="Arial" w:hAnsi="Arial" w:cs="Arial"/>
          <w:sz w:val="16"/>
          <w:szCs w:val="16"/>
        </w:rPr>
        <w:t>-</w:t>
      </w:r>
      <w:r w:rsidRPr="00C4022D">
        <w:rPr>
          <w:rFonts w:ascii="Arial" w:hAnsi="Arial" w:cs="Arial"/>
          <w:sz w:val="16"/>
          <w:szCs w:val="16"/>
        </w:rPr>
        <w:t>marketing  83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spam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Commander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broadcasting services  37–42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Economic Advisory Service of Australia (CEASA)  42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internet television services  11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Radio Australia  102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Radio Australia Codes of Practice and Guidelines 2011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radio broadcasting licences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local information on  98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notification of changes of control  96–7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13, 36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ownership and control  38–40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radio standards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television broadcasters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Australian content  92–6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children's programs  93–4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television broadcasting licences  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notification of changes of control  96–7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13, 36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ownership and control  37–8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 Television Conversion Scheme 1999  100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Commercials Advice Pty Ltd  95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communication networks  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communication preferences, changing  124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communication services  8–9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availability  18–33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complementary use  20–1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satisfaction  6, 87–90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diversification  20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international comparisons  22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most used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8, 20–1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of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providers  9, 25–6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regulated  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used  21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Communications Alliance  75, 76, 83, 84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communications and media market  4–5, 18–48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Communications Compliance (</w:t>
      </w:r>
      <w:proofErr w:type="spellStart"/>
      <w:r w:rsidRPr="00C4022D">
        <w:rPr>
          <w:rFonts w:ascii="Arial" w:hAnsi="Arial" w:cs="Arial"/>
          <w:sz w:val="16"/>
          <w:szCs w:val="16"/>
        </w:rPr>
        <w:t>CommCom</w:t>
      </w:r>
      <w:proofErr w:type="spellEnd"/>
      <w:r w:rsidRPr="00C4022D">
        <w:rPr>
          <w:rFonts w:ascii="Arial" w:hAnsi="Arial" w:cs="Arial"/>
          <w:sz w:val="16"/>
          <w:szCs w:val="16"/>
        </w:rPr>
        <w:t>).  85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community radio broadcasting licences  41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13, 36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temporary  13, 36, 41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community television broadcasting licences, numbers  13, 36</w:t>
      </w:r>
    </w:p>
    <w:p w:rsidR="006B5423" w:rsidRPr="00C4022D" w:rsidRDefault="006B5423" w:rsidP="006B5423">
      <w:pPr>
        <w:pStyle w:val="Main"/>
        <w:rPr>
          <w:rFonts w:ascii="Arial" w:hAnsi="Arial" w:cs="Arial"/>
          <w:sz w:val="16"/>
          <w:szCs w:val="16"/>
        </w:rPr>
      </w:pPr>
      <w:r>
        <w:rPr>
          <w:rFonts w:ascii="Arial" w:hAnsi="Arial" w:cs="Arial"/>
          <w:sz w:val="16"/>
          <w:szCs w:val="16"/>
        </w:rPr>
        <w:br w:type="column"/>
      </w:r>
      <w:r w:rsidRPr="00C4022D">
        <w:rPr>
          <w:rFonts w:ascii="Arial" w:hAnsi="Arial" w:cs="Arial"/>
          <w:sz w:val="16"/>
          <w:szCs w:val="16"/>
        </w:rPr>
        <w:t>community television services  41–2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trials  42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compensation payments, Customer Service Guarantee Standard  6, 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complaints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billing and payments  15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broadcasting  15, 102–3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broadcasting services  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credit management  15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15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Do Not Call Register (DNCR)  6, 79–80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domestic systems interference (DSI)  57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e-marketing  82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facility installation  90–1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faults  15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interactive gambling  106–7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interference  57–8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content  16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phone base stations  91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online content  7, 104–6</w:t>
      </w:r>
    </w:p>
    <w:p w:rsidR="006B5423" w:rsidRPr="00C4022D" w:rsidRDefault="006B5423" w:rsidP="006B5423">
      <w:pPr>
        <w:pStyle w:val="Sub1"/>
        <w:rPr>
          <w:rFonts w:ascii="Arial" w:hAnsi="Arial" w:cs="Arial"/>
          <w:sz w:val="16"/>
          <w:szCs w:val="16"/>
        </w:rPr>
      </w:pPr>
      <w:proofErr w:type="spellStart"/>
      <w:r w:rsidRPr="00C4022D">
        <w:rPr>
          <w:rFonts w:ascii="Arial" w:hAnsi="Arial" w:cs="Arial"/>
          <w:sz w:val="16"/>
          <w:szCs w:val="16"/>
        </w:rPr>
        <w:t>radiocommunications</w:t>
      </w:r>
      <w:proofErr w:type="spellEnd"/>
      <w:r w:rsidRPr="00C4022D">
        <w:rPr>
          <w:rFonts w:ascii="Arial" w:hAnsi="Arial" w:cs="Arial"/>
          <w:sz w:val="16"/>
          <w:szCs w:val="16"/>
        </w:rPr>
        <w:t xml:space="preserve"> interference  57–8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radiofrequency interference  57–8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satellite access to digital television  102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spam  16, 81–2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telemarketing  15, 80–1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TIO complaint statistics  6, 15, 86–7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Triple Zero calls  51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complaints-handling  15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compliance</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cabling  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radio standards  99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Guarantee Standard  64–8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Do Not Call Register (DNCR)  79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Integrated Public Number Database (IPND)  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notification of changes of control  96–7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Telecommunications Consumer Protection (TCP) Code  84–6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Telecommunications Industry Ombudsman scheme  86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confidence in digital economy  12, 118–22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connections  6, 9, 66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connectivity in digital economy  12, 108–14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consumer benefits from participating in the digital economy  3–4, 12, 108–25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consumer expectations, internet service providers (ISPs)  30–1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consumer safeguards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fixed-line  59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and quality of service  6, 59–91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consumer satisfaction  6, 87–90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content regulation, Australian content  92–6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costs, consumer satisfaction  88–9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credit management  15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cross-media ownership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customer information disclosures  52–4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customer service</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complaints  15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satisfaction  88–9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Customer Service Guarantee Standard  59, 64–8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appointments  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compensation payments  6, 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connections  6, 9, 66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exceptions  6, 68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fault repairs  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payments  67–8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services subject to  65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time frames  6, 65–6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waivers  6, 9, 65</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cybersecurity</w:t>
      </w:r>
      <w:proofErr w:type="spellEnd"/>
      <w:r w:rsidRPr="00C4022D">
        <w:rPr>
          <w:rFonts w:ascii="Arial" w:hAnsi="Arial" w:cs="Arial"/>
          <w:sz w:val="16"/>
          <w:szCs w:val="16"/>
        </w:rPr>
        <w:t xml:space="preserve">  83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Cybertel</w:t>
      </w:r>
      <w:proofErr w:type="spellEnd"/>
      <w:r w:rsidRPr="00C4022D">
        <w:rPr>
          <w:rFonts w:ascii="Arial" w:hAnsi="Arial" w:cs="Arial"/>
          <w:sz w:val="16"/>
          <w:szCs w:val="16"/>
        </w:rPr>
        <w:t xml:space="preserve"> Telecom  33</w:t>
      </w:r>
    </w:p>
    <w:p w:rsidR="006B5423" w:rsidRDefault="006B5423" w:rsidP="006B5423">
      <w:pPr>
        <w:pStyle w:val="Main"/>
        <w:rPr>
          <w:rFonts w:ascii="Arial" w:hAnsi="Arial" w:cs="Arial"/>
          <w:sz w:val="16"/>
          <w:szCs w:val="16"/>
        </w:rPr>
      </w:pPr>
    </w:p>
    <w:p w:rsidR="006B5423" w:rsidRDefault="006B5423" w:rsidP="006B5423">
      <w:pPr>
        <w:spacing w:line="240" w:lineRule="auto"/>
        <w:rPr>
          <w:rFonts w:eastAsiaTheme="minorEastAsia" w:cs="Arial"/>
          <w:color w:val="4D4D4F"/>
          <w:sz w:val="48"/>
          <w:szCs w:val="48"/>
        </w:rPr>
      </w:pPr>
      <w:r>
        <w:rPr>
          <w:rFonts w:cs="Arial"/>
          <w:color w:val="4D4D4F"/>
          <w:sz w:val="48"/>
          <w:szCs w:val="48"/>
        </w:rPr>
        <w:br w:type="page"/>
      </w: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D</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DAB+ standard  102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Daily Mail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data downloaded  3, 11, 27–8, 116–18, 123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datacasting</w:t>
      </w:r>
      <w:proofErr w:type="spellEnd"/>
      <w:r w:rsidRPr="00C4022D">
        <w:rPr>
          <w:rFonts w:ascii="Arial" w:hAnsi="Arial" w:cs="Arial"/>
          <w:sz w:val="16"/>
          <w:szCs w:val="16"/>
        </w:rPr>
        <w:t xml:space="preserve">  98–9, 103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deaf and hearing or speech impaired, National Relay Service (NRS)  75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Department of Broadband, Communications and the Digital Economy (DBCDE)  60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Department of Communications  52</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DeVoteD</w:t>
      </w:r>
      <w:proofErr w:type="spellEnd"/>
      <w:r w:rsidRPr="00C4022D">
        <w:rPr>
          <w:rFonts w:ascii="Arial" w:hAnsi="Arial" w:cs="Arial"/>
          <w:sz w:val="16"/>
          <w:szCs w:val="16"/>
        </w:rPr>
        <w:t xml:space="preserve"> NBN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dial-up internet  26–7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data downloaded  27–8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digital broadcasting  100–2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digital content activities  4–5, 43–7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digital economy  10–12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benefits from participating in  3–4, 12, 108–25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impacts  122–4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infrastructure  10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digital radio  102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Digital Switchover Taskforce website  100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digital television  6–7, 16, 100–1, 102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interference  57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satellite access  101–2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digital workers  12, 124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disability equipment program  75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disclosures of customer information  5, 15, 52–4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radio standards  99</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Do Not Call Register Act 2006</w:t>
      </w:r>
      <w:r w:rsidRPr="00C4022D">
        <w:rPr>
          <w:rFonts w:ascii="Arial" w:hAnsi="Arial" w:cs="Arial"/>
          <w:sz w:val="16"/>
          <w:szCs w:val="16"/>
        </w:rPr>
        <w:t xml:space="preserve">  6, 78, 80, 81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Do Not Call Register (DNCR)  78–81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advisory and warning letters  81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complaints  6, 79–80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compliance  79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enforcement  79, 81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investigation and enforcement  81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submitted for checking  78–9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registrations  6, 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Dobson, Guy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documentaries, Australian content  92–3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Dodo  25, 68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domain names registered  12, 112–13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domestic systems interference (DSI), complaints  57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drama</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Australian content  92–3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expenditure scheme  94–5</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E</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e-commerce  4, 12, 122–3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e-marketing  82</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Eftel</w:t>
      </w:r>
      <w:proofErr w:type="spellEnd"/>
      <w:r w:rsidRPr="00C4022D">
        <w:rPr>
          <w:rFonts w:ascii="Arial" w:hAnsi="Arial" w:cs="Arial"/>
          <w:sz w:val="16"/>
          <w:szCs w:val="16"/>
        </w:rPr>
        <w:t xml:space="preserve">  25, 68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eligible drama expenditure scheme  94–5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eligible revenue of carriers  17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emergency call services  5, 49–52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disclosures of customer information to  54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non-emergency calls  50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106 TTY text service  51–2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112 emergency calls  5, 14, 49–50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from satellite services  51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Triple Zero calls  5, 14, 49–50, 51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TTY (teletypewriter) users  51–2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emergency calls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answering  5, 50, 51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genuine  5, 50, 52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from mobile phones  50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from payphones  50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transfers  50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via National Relay Service (NRS)  51–2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volumes  50, 52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emergency suspension of carriage services  55</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Engin</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Eon Broadcasting Pty Ltd  40</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EscapeNet</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exceptions, Customer Service Guarantee Standard  6, 68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executive summary  3–7</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Exetel</w:t>
      </w:r>
      <w:proofErr w:type="spellEnd"/>
      <w:r w:rsidRPr="00C4022D">
        <w:rPr>
          <w:rFonts w:ascii="Arial" w:hAnsi="Arial" w:cs="Arial"/>
          <w:sz w:val="16"/>
          <w:szCs w:val="16"/>
        </w:rPr>
        <w:t xml:space="preserve">  33</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F</w:t>
      </w:r>
    </w:p>
    <w:p w:rsidR="006B5423" w:rsidRPr="00C4022D" w:rsidRDefault="006B5423" w:rsidP="006B5423">
      <w:pPr>
        <w:pStyle w:val="Main"/>
        <w:spacing w:before="40"/>
        <w:rPr>
          <w:rFonts w:ascii="Arial" w:hAnsi="Arial" w:cs="Arial"/>
          <w:sz w:val="16"/>
          <w:szCs w:val="16"/>
        </w:rPr>
      </w:pPr>
      <w:proofErr w:type="spellStart"/>
      <w:r w:rsidRPr="00C4022D">
        <w:rPr>
          <w:rFonts w:ascii="Arial" w:hAnsi="Arial" w:cs="Arial"/>
          <w:sz w:val="16"/>
          <w:szCs w:val="16"/>
        </w:rPr>
        <w:t>Facebook</w:t>
      </w:r>
      <w:proofErr w:type="spellEnd"/>
      <w:r w:rsidRPr="00C4022D">
        <w:rPr>
          <w:rFonts w:ascii="Arial" w:hAnsi="Arial" w:cs="Arial"/>
          <w:sz w:val="16"/>
          <w:szCs w:val="16"/>
        </w:rPr>
        <w:t xml:space="preserve">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Fairfax  47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Fairfax Media Limited  38–9, 40</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Fastel</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fault repairs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Guarantee Standard  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payphones  63–4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faults  71–2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complaints  15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fax marketing  80–1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Fax Marketing Standard  80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Federal Court  86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Fetch TV  46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fibre/wireless services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financial activities  12, 116–18, 121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financial information  17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fixed-line broadband  4,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data downloaded  3, 27–8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versus mobile internet  27, 28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fixed-line consumer safeguards  59–60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fixed-line telephone services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availability  18–22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satisfaction  6, 88–90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 portability  76–7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 operation  4, 8, 18–19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revenue  25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shift away from  4, 19–22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fixed-line telephone services network, reliability  69–71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4G networks  5, 10, 23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FOX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FOXTEL  40, 41, 46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 xml:space="preserve">free-to-air television  </w:t>
      </w:r>
      <w:r w:rsidRPr="00C4022D">
        <w:rPr>
          <w:rFonts w:ascii="Arial" w:hAnsi="Arial" w:cs="Arial"/>
          <w:i/>
          <w:iCs/>
          <w:sz w:val="16"/>
          <w:szCs w:val="16"/>
        </w:rPr>
        <w:t>see</w:t>
      </w:r>
      <w:r w:rsidRPr="00C4022D">
        <w:rPr>
          <w:rFonts w:ascii="Arial" w:hAnsi="Arial" w:cs="Arial"/>
          <w:sz w:val="16"/>
          <w:szCs w:val="16"/>
        </w:rPr>
        <w:t xml:space="preserve"> television</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Free TV Australia  95</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freephone</w:t>
      </w:r>
      <w:proofErr w:type="spellEnd"/>
      <w:r w:rsidRPr="00C4022D">
        <w:rPr>
          <w:rFonts w:ascii="Arial" w:hAnsi="Arial" w:cs="Arial"/>
          <w:sz w:val="16"/>
          <w:szCs w:val="16"/>
        </w:rPr>
        <w:t xml:space="preserve"> and local rate numbers (FLRNs)  35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portability  76</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G</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gambling, interactive  106–7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General Holdings Limited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geographic number allocations  14, 35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glossary  126–35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government services, interaction  124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Grant Broadcasters Pty Ltd  38–9</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Graytech</w:t>
      </w:r>
      <w:proofErr w:type="spellEnd"/>
      <w:r w:rsidRPr="00C4022D">
        <w:rPr>
          <w:rFonts w:ascii="Arial" w:hAnsi="Arial" w:cs="Arial"/>
          <w:sz w:val="16"/>
          <w:szCs w:val="16"/>
        </w:rPr>
        <w:t xml:space="preserve"> Hosting Pty Ltd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Great Southern Land Broadcasters Pty Ltd  99</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H</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Handling of Life Threatening and Unwelcome Communications industry code  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Harbour ISP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Harbour Radio Pty Limited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HCI International Holdings Limited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hearing impaired, National Relay Service (NRS)  75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high definition television  6, 101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Hoyts  124</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I</w:t>
      </w:r>
    </w:p>
    <w:p w:rsidR="006B5423" w:rsidRPr="00C4022D" w:rsidRDefault="006B5423" w:rsidP="006B5423">
      <w:pPr>
        <w:pStyle w:val="Main"/>
        <w:spacing w:before="40"/>
        <w:rPr>
          <w:rFonts w:ascii="Arial" w:hAnsi="Arial" w:cs="Arial"/>
          <w:sz w:val="16"/>
          <w:szCs w:val="16"/>
        </w:rPr>
      </w:pPr>
      <w:proofErr w:type="spellStart"/>
      <w:r w:rsidRPr="00C4022D">
        <w:rPr>
          <w:rFonts w:ascii="Arial" w:hAnsi="Arial" w:cs="Arial"/>
          <w:sz w:val="16"/>
          <w:szCs w:val="16"/>
        </w:rPr>
        <w:t>icode</w:t>
      </w:r>
      <w:proofErr w:type="spellEnd"/>
      <w:r w:rsidRPr="00C4022D">
        <w:rPr>
          <w:rFonts w:ascii="Arial" w:hAnsi="Arial" w:cs="Arial"/>
          <w:sz w:val="16"/>
          <w:szCs w:val="16"/>
        </w:rPr>
        <w:t xml:space="preserve">  83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iiNet</w:t>
      </w:r>
      <w:proofErr w:type="spellEnd"/>
      <w:r w:rsidRPr="00C4022D">
        <w:rPr>
          <w:rFonts w:ascii="Arial" w:hAnsi="Arial" w:cs="Arial"/>
          <w:sz w:val="16"/>
          <w:szCs w:val="16"/>
        </w:rPr>
        <w:t xml:space="preserve">  33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appointments  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Guarantee Standard  60, 65, 66, 67, 68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services in operation  26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priority assistance  73–4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Illyria Investments  38–9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Illyria Radio Investments Ltd  40</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Imparja</w:t>
      </w:r>
      <w:proofErr w:type="spellEnd"/>
      <w:r w:rsidRPr="00C4022D">
        <w:rPr>
          <w:rFonts w:ascii="Arial" w:hAnsi="Arial" w:cs="Arial"/>
          <w:sz w:val="16"/>
          <w:szCs w:val="16"/>
        </w:rPr>
        <w:t xml:space="preserve"> Television Pty Ltd  37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 xml:space="preserve">industry codes  </w:t>
      </w:r>
      <w:r w:rsidRPr="00C4022D">
        <w:rPr>
          <w:rFonts w:ascii="Arial" w:hAnsi="Arial" w:cs="Arial"/>
          <w:i/>
          <w:iCs/>
          <w:sz w:val="16"/>
          <w:szCs w:val="16"/>
        </w:rPr>
        <w:t>see</w:t>
      </w:r>
      <w:r w:rsidRPr="00C4022D">
        <w:rPr>
          <w:rFonts w:ascii="Arial" w:hAnsi="Arial" w:cs="Arial"/>
          <w:sz w:val="16"/>
          <w:szCs w:val="16"/>
        </w:rPr>
        <w:t xml:space="preserve"> telecommunications codes</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Industry Number Management Services Ltd (INMS)  76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Infinity NBN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infrastructure regulation  90–1</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Inmarsat</w:t>
      </w:r>
      <w:proofErr w:type="spellEnd"/>
      <w:r w:rsidRPr="00C4022D">
        <w:rPr>
          <w:rFonts w:ascii="Arial" w:hAnsi="Arial" w:cs="Arial"/>
          <w:sz w:val="16"/>
          <w:szCs w:val="16"/>
        </w:rPr>
        <w:t xml:space="preserve"> Global Limited  51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Integrated Public Number Database (IPND)  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compliance  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 xml:space="preserve">number of connected records  </w:t>
      </w:r>
      <w:r>
        <w:rPr>
          <w:rFonts w:ascii="Arial" w:hAnsi="Arial" w:cs="Arial"/>
          <w:sz w:val="16"/>
          <w:szCs w:val="16"/>
        </w:rPr>
        <w:t>5</w:t>
      </w:r>
      <w:r w:rsidRPr="00C4022D">
        <w:rPr>
          <w:rFonts w:ascii="Arial" w:hAnsi="Arial" w:cs="Arial"/>
          <w:sz w:val="16"/>
          <w:szCs w:val="16"/>
        </w:rPr>
        <w:t>, 14, 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role of  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interactive gambling  106–7</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Interactive Gambling Act 2001</w:t>
      </w:r>
      <w:r w:rsidRPr="00C4022D">
        <w:rPr>
          <w:rFonts w:ascii="Arial" w:hAnsi="Arial" w:cs="Arial"/>
          <w:sz w:val="16"/>
          <w:szCs w:val="16"/>
        </w:rPr>
        <w:t xml:space="preserve">  106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interception  55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capability plan compliance  56–7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cost of maintaining capabilities  14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cost of providing assistance  5, 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interference</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complaints  57–8</w:t>
      </w:r>
    </w:p>
    <w:p w:rsidR="006B5423" w:rsidRPr="00C4022D" w:rsidRDefault="006B5423" w:rsidP="006B5423">
      <w:pPr>
        <w:pStyle w:val="Sub1"/>
        <w:rPr>
          <w:rFonts w:ascii="Arial" w:hAnsi="Arial" w:cs="Arial"/>
          <w:sz w:val="16"/>
          <w:szCs w:val="16"/>
        </w:rPr>
      </w:pPr>
      <w:proofErr w:type="spellStart"/>
      <w:r w:rsidRPr="00C4022D">
        <w:rPr>
          <w:rFonts w:ascii="Arial" w:hAnsi="Arial" w:cs="Arial"/>
          <w:sz w:val="16"/>
          <w:szCs w:val="16"/>
        </w:rPr>
        <w:t>radiocommunications</w:t>
      </w:r>
      <w:proofErr w:type="spellEnd"/>
      <w:r w:rsidRPr="00C4022D">
        <w:rPr>
          <w:rFonts w:ascii="Arial" w:hAnsi="Arial" w:cs="Arial"/>
          <w:sz w:val="16"/>
          <w:szCs w:val="16"/>
        </w:rPr>
        <w:t xml:space="preserve">  57–8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radiofrequency  57–8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International Association of Internet Hotlines (INHOPE)  106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international comparisons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access to internet  110–11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communication services  22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fixed versus mobile broadband  27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access devices  30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international roaming investigations, Telstra  84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international signalling point codes  14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access to  110–11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content investigations  16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domain names registered  112–13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online content  16, 104–6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security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access devices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complementary use  29–30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diversification  29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international comparisons  30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take-up  25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and Mobile Content Code  104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commerce  12, 122–3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Industry Association (IIA)  83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Family Friendly Filter scheme  104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Industry Spam Code of Practice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service providers (ISPs)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expectations  30–1</w:t>
      </w:r>
    </w:p>
    <w:p w:rsidR="006B5423" w:rsidRPr="00C4022D" w:rsidRDefault="006B5423" w:rsidP="006B5423">
      <w:pPr>
        <w:pStyle w:val="Sub1"/>
        <w:rPr>
          <w:rFonts w:ascii="Arial" w:hAnsi="Arial" w:cs="Arial"/>
          <w:sz w:val="16"/>
          <w:szCs w:val="16"/>
        </w:rPr>
      </w:pPr>
      <w:proofErr w:type="spellStart"/>
      <w:r w:rsidRPr="00C4022D">
        <w:rPr>
          <w:rFonts w:ascii="Arial" w:hAnsi="Arial" w:cs="Arial"/>
          <w:sz w:val="16"/>
          <w:szCs w:val="16"/>
        </w:rPr>
        <w:t>icode</w:t>
      </w:r>
      <w:proofErr w:type="spellEnd"/>
      <w:r w:rsidRPr="00C4022D">
        <w:rPr>
          <w:rFonts w:ascii="Arial" w:hAnsi="Arial" w:cs="Arial"/>
          <w:sz w:val="16"/>
          <w:szCs w:val="16"/>
        </w:rPr>
        <w:t xml:space="preserve">  83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9, 25–6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reasons for changing  31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services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availability  25–33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broadband  3, 108–11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complementary  3, 111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satisfaction  88–90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home  3, 108–11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12, 108–12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 operation  25–6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Solutions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subscribers  4, 8, 108–11, 123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by access technologies  26–7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asymmetric digital subscriber line (ADSL)  8, 27–8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cable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satisfaction  89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dial-up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fibre  8, 26–7</w:t>
      </w:r>
    </w:p>
    <w:p w:rsidR="006B5423" w:rsidRPr="00C4022D" w:rsidRDefault="006B5423" w:rsidP="006B5423">
      <w:pPr>
        <w:pStyle w:val="Sub1"/>
        <w:rPr>
          <w:rFonts w:ascii="Arial" w:hAnsi="Arial" w:cs="Arial"/>
          <w:sz w:val="16"/>
          <w:szCs w:val="16"/>
        </w:rPr>
      </w:pPr>
      <w:r>
        <w:rPr>
          <w:rFonts w:ascii="Arial" w:hAnsi="Arial" w:cs="Arial"/>
          <w:sz w:val="16"/>
          <w:szCs w:val="16"/>
        </w:rPr>
        <w:t xml:space="preserve">fixed </w:t>
      </w:r>
      <w:r w:rsidRPr="00C4022D">
        <w:rPr>
          <w:rFonts w:ascii="Arial" w:hAnsi="Arial" w:cs="Arial"/>
          <w:sz w:val="16"/>
          <w:szCs w:val="16"/>
        </w:rPr>
        <w:t>wireless  8, 10, 26–7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internet  8, 12, 89, 108–12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26–7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satellite broadband  8, 26–7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by type  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internet use  12, 123, 124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benefits  108–25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data downloaded  3, 11, 12, 27–8, 116–18, 123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devices  25, 29–30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digital content activities  5, 12, 44–5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frequency of use  3, 115–16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location  111–12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phones  3, 12, 108–12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more than once a day  3, 12, 44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online activities  3–4, 12, 114, 116–21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social networking  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tablets  29, 111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to work away from office  12, 124</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Internode</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iPrimus</w:t>
      </w:r>
      <w:proofErr w:type="spellEnd"/>
      <w:r w:rsidRPr="00C4022D">
        <w:rPr>
          <w:rFonts w:ascii="Arial" w:hAnsi="Arial" w:cs="Arial"/>
          <w:sz w:val="16"/>
          <w:szCs w:val="16"/>
        </w:rPr>
        <w:t xml:space="preserve">  25, 33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IPSTAR Australia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IPTV  11, 124</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iTalkBB</w:t>
      </w:r>
      <w:proofErr w:type="spellEnd"/>
      <w:r w:rsidRPr="00C4022D">
        <w:rPr>
          <w:rFonts w:ascii="Arial" w:hAnsi="Arial" w:cs="Arial"/>
          <w:sz w:val="16"/>
          <w:szCs w:val="16"/>
        </w:rPr>
        <w:t xml:space="preserve">  86</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J</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Jadi1  86</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 xml:space="preserve">The John </w:t>
      </w:r>
      <w:proofErr w:type="spellStart"/>
      <w:r w:rsidRPr="00C4022D">
        <w:rPr>
          <w:rFonts w:ascii="Arial" w:hAnsi="Arial" w:cs="Arial"/>
          <w:i/>
          <w:iCs/>
          <w:sz w:val="16"/>
          <w:szCs w:val="16"/>
        </w:rPr>
        <w:t>MacKenzie</w:t>
      </w:r>
      <w:proofErr w:type="spellEnd"/>
      <w:r w:rsidRPr="00C4022D">
        <w:rPr>
          <w:rFonts w:ascii="Arial" w:hAnsi="Arial" w:cs="Arial"/>
          <w:i/>
          <w:iCs/>
          <w:sz w:val="16"/>
          <w:szCs w:val="16"/>
        </w:rPr>
        <w:t xml:space="preserve"> Morning Show</w:t>
      </w:r>
      <w:r w:rsidRPr="00C4022D">
        <w:rPr>
          <w:rFonts w:ascii="Arial" w:hAnsi="Arial" w:cs="Arial"/>
          <w:sz w:val="16"/>
          <w:szCs w:val="16"/>
        </w:rPr>
        <w:t xml:space="preserve">  99</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K</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key indicators  8–17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Key Internet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key trends  3–7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Kohlberg Kravis Robert (KKR)  40</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Konnectv</w:t>
      </w:r>
      <w:proofErr w:type="spellEnd"/>
      <w:r w:rsidRPr="00C4022D">
        <w:rPr>
          <w:rFonts w:ascii="Arial" w:hAnsi="Arial" w:cs="Arial"/>
          <w:sz w:val="16"/>
          <w:szCs w:val="16"/>
        </w:rPr>
        <w:t xml:space="preserve"> Pty Ltd  40</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L</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law enforcement  52–6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legislative requirements, compliance  6, 97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letter of transmittal  iii</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levies  60–2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licences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apparatus  13, 17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broadcasting  13, 17, 37–42</w:t>
      </w:r>
    </w:p>
    <w:p w:rsidR="006B5423" w:rsidRPr="00C4022D" w:rsidRDefault="006B5423" w:rsidP="006B5423">
      <w:pPr>
        <w:pStyle w:val="Sub1"/>
        <w:rPr>
          <w:rFonts w:ascii="Arial" w:hAnsi="Arial" w:cs="Arial"/>
          <w:sz w:val="16"/>
          <w:szCs w:val="16"/>
        </w:rPr>
      </w:pPr>
      <w:proofErr w:type="spellStart"/>
      <w:r w:rsidRPr="00C4022D">
        <w:rPr>
          <w:rFonts w:ascii="Arial" w:hAnsi="Arial" w:cs="Arial"/>
          <w:sz w:val="16"/>
          <w:szCs w:val="16"/>
        </w:rPr>
        <w:t>cablers</w:t>
      </w:r>
      <w:proofErr w:type="spellEnd"/>
      <w:r w:rsidRPr="00C4022D">
        <w:rPr>
          <w:rFonts w:ascii="Arial" w:hAnsi="Arial" w:cs="Arial"/>
          <w:sz w:val="16"/>
          <w:szCs w:val="16"/>
        </w:rPr>
        <w:t xml:space="preserve">  13, 77–8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carriers  13, 34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radio broadcasting  13, 36, 38–40,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television broadcasting  6, 13, 36, 37–8,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community radio broadcasting  13, 36, 41,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community television broadcasting licences  13, 36, 41–2,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community television trials  42</w:t>
      </w:r>
    </w:p>
    <w:p w:rsidR="006B5423" w:rsidRPr="00C4022D" w:rsidRDefault="006B5423" w:rsidP="006B5423">
      <w:pPr>
        <w:pStyle w:val="Sub1"/>
        <w:rPr>
          <w:rFonts w:ascii="Arial" w:hAnsi="Arial" w:cs="Arial"/>
          <w:sz w:val="16"/>
          <w:szCs w:val="16"/>
        </w:rPr>
      </w:pPr>
      <w:proofErr w:type="spellStart"/>
      <w:r w:rsidRPr="00C4022D">
        <w:rPr>
          <w:rFonts w:ascii="Arial" w:hAnsi="Arial" w:cs="Arial"/>
          <w:sz w:val="16"/>
          <w:szCs w:val="16"/>
        </w:rPr>
        <w:t>datacasting</w:t>
      </w:r>
      <w:proofErr w:type="spellEnd"/>
      <w:r w:rsidRPr="00C4022D">
        <w:rPr>
          <w:rFonts w:ascii="Arial" w:hAnsi="Arial" w:cs="Arial"/>
          <w:sz w:val="16"/>
          <w:szCs w:val="16"/>
        </w:rPr>
        <w:t xml:space="preserve">  98–9,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notification of changes of control  96–7</w:t>
      </w:r>
    </w:p>
    <w:p w:rsidR="006B5423" w:rsidRPr="00C4022D" w:rsidRDefault="006B5423" w:rsidP="006B5423">
      <w:pPr>
        <w:pStyle w:val="Sub1"/>
        <w:rPr>
          <w:rFonts w:ascii="Arial" w:hAnsi="Arial" w:cs="Arial"/>
          <w:sz w:val="16"/>
          <w:szCs w:val="16"/>
        </w:rPr>
      </w:pPr>
      <w:proofErr w:type="spellStart"/>
      <w:r w:rsidRPr="00C4022D">
        <w:rPr>
          <w:rFonts w:ascii="Arial" w:hAnsi="Arial" w:cs="Arial"/>
          <w:sz w:val="16"/>
          <w:szCs w:val="16"/>
        </w:rPr>
        <w:t>radiocommunications</w:t>
      </w:r>
      <w:proofErr w:type="spellEnd"/>
      <w:r w:rsidRPr="00C4022D">
        <w:rPr>
          <w:rFonts w:ascii="Arial" w:hAnsi="Arial" w:cs="Arial"/>
          <w:sz w:val="16"/>
          <w:szCs w:val="16"/>
        </w:rPr>
        <w:t xml:space="preserve"> apparatus revenue  17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subscription television  13, 36,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telecommunications  13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temporary community radio broadcasting  13, 36, 41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by type  13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life-threatening calls  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line rental costs, consumer satisfaction  88–9</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Loadednet</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local number portability  6, 14, 75–7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Local Number Portability Code  75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local presence plan  74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location-independent communications services (LICS)  14, 36</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M</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M2 Group  25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Guarantee Standard  68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services in operation  26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Macquarie Radio Network Limited  38–9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Macquarie Telecom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malware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media</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advertising  42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shift to online content  5, 44–7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use of traditional broadcast  43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user pays  46–7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media advertising  42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media control database  97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media ownership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mergers and acquisitions  25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Minister for Broadband, Communications and the Digital Economy  74, 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Ministerial Telecommunications (Low-impact Facilities) Determination 1997  90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mobile applications, downloads  12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mobile internet  4,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access  89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satisfaction  89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data speeds  89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versus fixed-line broadband  27, 28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handset  3, 12, 24–8, 108–12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services  24–5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subscribers  24, 26–7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take-up  24–5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wireless broadband  24, 26–8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mobile network codes  14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Mobile Number Portability Code  76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mobile numbers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allocation  14, 35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portability  6, 14, 76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Mobile Phone Base Station Deployment Code  91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mobile phone base stations  83, 91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mobile phones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application downloading  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emergency calls from  50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access  89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use  3, 12, 24–8, 108–12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location for emergency service organisations  51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and no fixed-line telephone  4, 19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online activities  120–1</w:t>
      </w:r>
    </w:p>
    <w:p w:rsidR="006B5423" w:rsidRPr="00C4022D" w:rsidRDefault="006B5423" w:rsidP="006B5423">
      <w:pPr>
        <w:pStyle w:val="Sub1"/>
        <w:rPr>
          <w:rFonts w:ascii="Arial" w:hAnsi="Arial" w:cs="Arial"/>
          <w:sz w:val="16"/>
          <w:szCs w:val="16"/>
        </w:rPr>
      </w:pPr>
      <w:proofErr w:type="spellStart"/>
      <w:r w:rsidRPr="00C4022D">
        <w:rPr>
          <w:rFonts w:ascii="Arial" w:hAnsi="Arial" w:cs="Arial"/>
          <w:sz w:val="16"/>
          <w:szCs w:val="16"/>
        </w:rPr>
        <w:t>smartphones</w:t>
      </w:r>
      <w:proofErr w:type="spellEnd"/>
      <w:r w:rsidRPr="00C4022D">
        <w:rPr>
          <w:rFonts w:ascii="Arial" w:hAnsi="Arial" w:cs="Arial"/>
          <w:sz w:val="16"/>
          <w:szCs w:val="16"/>
        </w:rPr>
        <w:t xml:space="preserve">  4, 8, 25, 30, 122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texting from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VoIP services  4, 8, 22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mobile services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availability  22–5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satisfaction  88–90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 in operation  4, 8, 22–4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providers  5, 10, 23–4</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Montimedia</w:t>
      </w:r>
      <w:proofErr w:type="spellEnd"/>
      <w:r w:rsidRPr="00C4022D">
        <w:rPr>
          <w:rFonts w:ascii="Arial" w:hAnsi="Arial" w:cs="Arial"/>
          <w:sz w:val="16"/>
          <w:szCs w:val="16"/>
        </w:rPr>
        <w:t xml:space="preserve"> Internet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Morris, Brian  86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Morris, Rex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Murdoch, Lachlan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My Star  46</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MyFibre</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MyNetFone</w:t>
      </w:r>
      <w:proofErr w:type="spellEnd"/>
      <w:r w:rsidRPr="00C4022D">
        <w:rPr>
          <w:rFonts w:ascii="Arial" w:hAnsi="Arial" w:cs="Arial"/>
          <w:sz w:val="16"/>
          <w:szCs w:val="16"/>
        </w:rPr>
        <w:t xml:space="preserve">  33</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br w:type="column"/>
        <w:t>N</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National Broadband Network (NBN)  5, 10, 31–3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premises activated  5, 10, 32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premises passed/covered  5, 10, 32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retail service providers  5, 10, 33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services in operation  32–3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National Classification Board  104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National Classification Scheme  104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national interest issues  5–6, 14–15, 49–58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National Relay Service (NRS)  9, 51, 75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call minutes  75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106 TTY text service  51–2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use of  75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national security  52–6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National Television Conversion Scheme 1999  100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NBN Co  31, 32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NBN Ltd  97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NBN SP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Network Reliability Framework (NRF)  69–72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News Corporation  40, 47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news sites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accessing online  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online usage  46–7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newspapers  96–7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user pays  46–7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Nine Entertainment Co Holdings Ltd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Nine Network</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advertising  96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Australian content  93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children's programs  94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documentaries  93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drama  93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high definition broadcasting  101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ownership and control  37–8,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Nine Network Queensland Television Ltd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Node1 Internet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nominated carrier declarations (NDCs)  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North Queensland Telecom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notification of changes of control  96–7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number allocations  14, 35–6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number portability  6, 14, 75–7</w:t>
      </w:r>
    </w:p>
    <w:p w:rsidR="006B5423" w:rsidRPr="00C4022D" w:rsidRDefault="006B5423" w:rsidP="006B5423">
      <w:pPr>
        <w:pStyle w:val="Sub1"/>
        <w:rPr>
          <w:rFonts w:ascii="Arial" w:hAnsi="Arial" w:cs="Arial"/>
          <w:sz w:val="16"/>
          <w:szCs w:val="16"/>
        </w:rPr>
      </w:pPr>
      <w:proofErr w:type="spellStart"/>
      <w:r w:rsidRPr="00C4022D">
        <w:rPr>
          <w:rFonts w:ascii="Arial" w:hAnsi="Arial" w:cs="Arial"/>
          <w:sz w:val="16"/>
          <w:szCs w:val="16"/>
        </w:rPr>
        <w:t>freephone</w:t>
      </w:r>
      <w:proofErr w:type="spellEnd"/>
      <w:r w:rsidRPr="00C4022D">
        <w:rPr>
          <w:rFonts w:ascii="Arial" w:hAnsi="Arial" w:cs="Arial"/>
          <w:sz w:val="16"/>
          <w:szCs w:val="16"/>
        </w:rPr>
        <w:t xml:space="preserve"> and local-rate number (FLRN)  76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local numbers  6, 14, 75–7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numbers  6, 14, 76</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NuSkope</w:t>
      </w:r>
      <w:proofErr w:type="spellEnd"/>
      <w:r w:rsidRPr="00C4022D">
        <w:rPr>
          <w:rFonts w:ascii="Arial" w:hAnsi="Arial" w:cs="Arial"/>
          <w:sz w:val="16"/>
          <w:szCs w:val="16"/>
        </w:rPr>
        <w:t xml:space="preserve">  33</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O</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On Q Telecom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106 TTY text service  51–2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112 emergency calls  5, 14, 49–50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online activities  3–4, 5, 12, 114, 116–21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by age  119–20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intensity  118–20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phones  120–1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online content  16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complaints  7, 16, 104–6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professionally produced  5, 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prohibited  104–5, 106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online news services  5, 46–7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online participation  5, 12, 122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capabilities  12, 114–18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confidence  12, 118–22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connectivity  12, 108–14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benefits  108–25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online shopping  5, 121, 123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 xml:space="preserve">online usage  </w:t>
      </w:r>
      <w:r w:rsidRPr="00C4022D">
        <w:rPr>
          <w:rFonts w:ascii="Arial" w:hAnsi="Arial" w:cs="Arial"/>
          <w:i/>
          <w:iCs/>
          <w:sz w:val="16"/>
          <w:szCs w:val="16"/>
        </w:rPr>
        <w:t>see</w:t>
      </w:r>
      <w:r w:rsidRPr="00C4022D">
        <w:rPr>
          <w:rFonts w:ascii="Arial" w:hAnsi="Arial" w:cs="Arial"/>
          <w:sz w:val="16"/>
          <w:szCs w:val="16"/>
        </w:rPr>
        <w:t xml:space="preserve"> internet use</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online video content services  4, 5, 46, 116, 124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accessed  11, 12</w:t>
      </w:r>
    </w:p>
    <w:p w:rsidR="006B5423" w:rsidRDefault="006B5423" w:rsidP="006B5423">
      <w:pPr>
        <w:spacing w:line="240" w:lineRule="auto"/>
        <w:rPr>
          <w:rFonts w:eastAsiaTheme="minorEastAsia" w:cs="Arial"/>
          <w:sz w:val="16"/>
          <w:szCs w:val="16"/>
        </w:rPr>
      </w:pPr>
      <w:r>
        <w:rPr>
          <w:rFonts w:cs="Arial"/>
          <w:sz w:val="16"/>
          <w:szCs w:val="16"/>
        </w:rPr>
        <w:br w:type="page"/>
      </w:r>
    </w:p>
    <w:p w:rsidR="006B5423" w:rsidRPr="00C4022D" w:rsidRDefault="006B5423" w:rsidP="006B5423">
      <w:pPr>
        <w:pStyle w:val="Main"/>
        <w:rPr>
          <w:rFonts w:ascii="Arial" w:hAnsi="Arial" w:cs="Arial"/>
          <w:sz w:val="16"/>
          <w:szCs w:val="16"/>
        </w:rPr>
      </w:pPr>
      <w:r w:rsidRPr="00C4022D">
        <w:rPr>
          <w:rFonts w:ascii="Arial" w:hAnsi="Arial" w:cs="Arial"/>
          <w:sz w:val="16"/>
          <w:szCs w:val="16"/>
        </w:rPr>
        <w:t>Optus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appointments  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Guarantee Standard  60, 65, 66, 67, 68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disability equipment program  75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4G networks  5, 10, 23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services in operation  26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levies payable  62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services  23–4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National Broadband Network (NBN)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Optus Mobile  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over-the-top (OTT) services  4, 22</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P</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 xml:space="preserve">pay TV  </w:t>
      </w:r>
      <w:r w:rsidRPr="00C4022D">
        <w:rPr>
          <w:rFonts w:ascii="Arial" w:hAnsi="Arial" w:cs="Arial"/>
          <w:i/>
          <w:iCs/>
          <w:sz w:val="16"/>
          <w:szCs w:val="16"/>
        </w:rPr>
        <w:t>see</w:t>
      </w:r>
      <w:r w:rsidRPr="00C4022D">
        <w:rPr>
          <w:rFonts w:ascii="Arial" w:hAnsi="Arial" w:cs="Arial"/>
          <w:sz w:val="16"/>
          <w:szCs w:val="16"/>
        </w:rPr>
        <w:t xml:space="preserve"> subscription television</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payphones  6, 9, 60, 62–4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emergency calls from  50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fault repairs  63–4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instillation  64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62–3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for people with disability  64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removals  64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sites  62–3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TTY (teletypewriters)  64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people with disability</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disability equipment program  75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National Relay Service (NRS)  75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payphones for  64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performance, Network Reliability Framework (NRF)  71–2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phishing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phishing reports  83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police  55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pre-selection services  77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Prime Media Group Limited  37–9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Prime Radio (Cairns-AM) Pty Limited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Prime Television  97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Primus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appointments  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Guarantee Standard  60, 65, 66, 67, 68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priority assistance  73–4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print media</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advertising  42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shift to online content  5, 44–7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priority assistance  6, 9, 73–4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Priority Assistance for Life Threatening Medical Conditions  73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privacy investigations, AAPT  84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prohibited online content  104–5, 106</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Q</w:t>
      </w:r>
    </w:p>
    <w:p w:rsidR="006B5423" w:rsidRPr="00C4022D" w:rsidRDefault="006B5423" w:rsidP="006B5423">
      <w:pPr>
        <w:pStyle w:val="Main"/>
        <w:spacing w:before="40"/>
        <w:rPr>
          <w:rFonts w:ascii="Arial" w:hAnsi="Arial" w:cs="Arial"/>
          <w:sz w:val="16"/>
          <w:szCs w:val="16"/>
        </w:rPr>
      </w:pPr>
      <w:proofErr w:type="spellStart"/>
      <w:r w:rsidRPr="00C4022D">
        <w:rPr>
          <w:rFonts w:ascii="Arial" w:hAnsi="Arial" w:cs="Arial"/>
          <w:sz w:val="16"/>
          <w:szCs w:val="16"/>
        </w:rPr>
        <w:t>Quickflix</w:t>
      </w:r>
      <w:proofErr w:type="spellEnd"/>
      <w:r w:rsidRPr="00C4022D">
        <w:rPr>
          <w:rFonts w:ascii="Arial" w:hAnsi="Arial" w:cs="Arial"/>
          <w:sz w:val="16"/>
          <w:szCs w:val="16"/>
        </w:rPr>
        <w:t xml:space="preserve">  124</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R</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radio</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advertising  99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standards  99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digital  102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local information on regional  6, 98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online usage  5, 44–5, 124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ownership and control of commercial  38–40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time spent listening to  43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radio licences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broadcasting  6, 13, 36, 38–40, 98,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community broadcasting  13, 36, 41,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notification of changes of control  96–7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temporary community broadcasting  36, 41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Radio Outback Pty Ltd  40</w:t>
      </w:r>
    </w:p>
    <w:p w:rsidR="006B5423" w:rsidRPr="00C4022D" w:rsidRDefault="006B5423" w:rsidP="006B5423">
      <w:pPr>
        <w:pStyle w:val="Main"/>
        <w:rPr>
          <w:rFonts w:ascii="Arial" w:hAnsi="Arial" w:cs="Arial"/>
          <w:sz w:val="16"/>
          <w:szCs w:val="16"/>
        </w:rPr>
      </w:pPr>
      <w:proofErr w:type="spellStart"/>
      <w:r w:rsidRPr="00C4022D">
        <w:rPr>
          <w:rFonts w:ascii="Arial" w:hAnsi="Arial" w:cs="Arial"/>
          <w:i/>
          <w:iCs/>
          <w:sz w:val="16"/>
          <w:szCs w:val="16"/>
        </w:rPr>
        <w:t>Radiocommunications</w:t>
      </w:r>
      <w:proofErr w:type="spellEnd"/>
      <w:r w:rsidRPr="00C4022D">
        <w:rPr>
          <w:rFonts w:ascii="Arial" w:hAnsi="Arial" w:cs="Arial"/>
          <w:i/>
          <w:iCs/>
          <w:sz w:val="16"/>
          <w:szCs w:val="16"/>
        </w:rPr>
        <w:t xml:space="preserve"> Act 1992</w:t>
      </w:r>
      <w:r w:rsidRPr="00C4022D">
        <w:rPr>
          <w:rFonts w:ascii="Arial" w:hAnsi="Arial" w:cs="Arial"/>
          <w:sz w:val="16"/>
          <w:szCs w:val="16"/>
        </w:rPr>
        <w:t xml:space="preserve">  57</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radiocommunications</w:t>
      </w:r>
      <w:proofErr w:type="spellEnd"/>
      <w:r w:rsidRPr="00C4022D">
        <w:rPr>
          <w:rFonts w:ascii="Arial" w:hAnsi="Arial" w:cs="Arial"/>
          <w:sz w:val="16"/>
          <w:szCs w:val="16"/>
        </w:rPr>
        <w:t xml:space="preserve"> apparatus licences revenue  17</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radiocommunications</w:t>
      </w:r>
      <w:proofErr w:type="spellEnd"/>
      <w:r w:rsidRPr="00C4022D">
        <w:rPr>
          <w:rFonts w:ascii="Arial" w:hAnsi="Arial" w:cs="Arial"/>
          <w:sz w:val="16"/>
          <w:szCs w:val="16"/>
        </w:rPr>
        <w:t xml:space="preserve"> interference  57–8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radiofrequency interference, complaints  57–8</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The Ray Hadley Morning Show</w:t>
      </w:r>
      <w:r w:rsidRPr="00C4022D">
        <w:rPr>
          <w:rFonts w:ascii="Arial" w:hAnsi="Arial" w:cs="Arial"/>
          <w:sz w:val="16"/>
          <w:szCs w:val="16"/>
        </w:rPr>
        <w:t xml:space="preserve">  99</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Reachnet</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Redwave</w:t>
      </w:r>
      <w:proofErr w:type="spellEnd"/>
      <w:r w:rsidRPr="00C4022D">
        <w:rPr>
          <w:rFonts w:ascii="Arial" w:hAnsi="Arial" w:cs="Arial"/>
          <w:sz w:val="16"/>
          <w:szCs w:val="16"/>
        </w:rPr>
        <w:t xml:space="preserve"> Media Limited  38–9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regional radio, local information on  6, 98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regional television, local information on  6, 97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Register of Controlled Media Groups (RCMG)  40, 96, 97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 xml:space="preserve">registered </w:t>
      </w:r>
      <w:proofErr w:type="spellStart"/>
      <w:r w:rsidRPr="00C4022D">
        <w:rPr>
          <w:rFonts w:ascii="Arial" w:hAnsi="Arial" w:cs="Arial"/>
          <w:sz w:val="16"/>
          <w:szCs w:val="16"/>
        </w:rPr>
        <w:t>cablers</w:t>
      </w:r>
      <w:proofErr w:type="spellEnd"/>
      <w:r w:rsidRPr="00C4022D">
        <w:rPr>
          <w:rFonts w:ascii="Arial" w:hAnsi="Arial" w:cs="Arial"/>
          <w:sz w:val="16"/>
          <w:szCs w:val="16"/>
        </w:rPr>
        <w:t xml:space="preserve">  77–8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regulated services  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reliability, fixed-line telephone services network  69–71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remote areas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Guarantee Standard  66, 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payphones  63, 64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priority assistance  74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Resonate Broadcasting Pty Ltd  38–9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Rinehart, Gina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rural areas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Guarantee Standard  66, 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payphones  63, 64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priority assistance  74</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S</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satellite internet  8, 26–7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satellite services  33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access to emergency call services  51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SBS  101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SBS Radio  103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SBS television  103</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 xml:space="preserve">Sea FM Breakfast with Nick &amp; Woody </w:t>
      </w:r>
      <w:r w:rsidRPr="00C4022D">
        <w:rPr>
          <w:rFonts w:ascii="Arial" w:hAnsi="Arial" w:cs="Arial"/>
          <w:sz w:val="16"/>
          <w:szCs w:val="16"/>
        </w:rPr>
        <w:t>program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service providers  9, 25–6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service reliability  88–9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Seven Group Holdings Limited  38–9,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Seven Network</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advertising  96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Australian content  93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children's programs  94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documentaries  93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drama  93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high definition broadcasting  101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ownership and control  37–8,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Seven West Media Ltd  40</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SkyMesh</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smartnumbers</w:t>
      </w:r>
      <w:proofErr w:type="spellEnd"/>
      <w:r w:rsidRPr="00C4022D">
        <w:rPr>
          <w:rFonts w:ascii="Arial" w:hAnsi="Arial" w:cs="Arial"/>
          <w:sz w:val="16"/>
          <w:szCs w:val="16"/>
        </w:rPr>
        <w:t xml:space="preserve">  35</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smartphones</w:t>
      </w:r>
      <w:proofErr w:type="spellEnd"/>
      <w:r w:rsidRPr="00C4022D">
        <w:rPr>
          <w:rFonts w:ascii="Arial" w:hAnsi="Arial" w:cs="Arial"/>
          <w:sz w:val="16"/>
          <w:szCs w:val="16"/>
        </w:rPr>
        <w:t xml:space="preserve">  4, 8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ownership  25, 30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take-ups  122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social networking  12, 116–18, 121, 124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Southern Cross  97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Southern Cross Media Group Limited  37–9,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Southern Cross Telco  86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Southern Phone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Southern State Broadcasters Pty Ltd  99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spam  81–2, 83</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Spam Act 2003</w:t>
      </w:r>
      <w:r w:rsidRPr="00C4022D">
        <w:rPr>
          <w:rFonts w:ascii="Arial" w:hAnsi="Arial" w:cs="Arial"/>
          <w:sz w:val="16"/>
          <w:szCs w:val="16"/>
        </w:rPr>
        <w:t xml:space="preserve">  81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spam reports  16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spectrum assets  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spectrum auctions  17</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Spintel</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Spirit Telecom  33</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Startel</w:t>
      </w:r>
      <w:proofErr w:type="spellEnd"/>
      <w:r w:rsidRPr="00C4022D">
        <w:rPr>
          <w:rFonts w:ascii="Arial" w:hAnsi="Arial" w:cs="Arial"/>
          <w:sz w:val="16"/>
          <w:szCs w:val="16"/>
        </w:rPr>
        <w:t xml:space="preserve">  84–5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streaming content  116–18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submarine cable protection  56–7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subscription television  40–1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drama expenditure scheme  94–5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subscription television licences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numbers  13, 36</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Successful e-marketing . it’s about reputation</w:t>
      </w:r>
      <w:r w:rsidRPr="00C4022D">
        <w:rPr>
          <w:rFonts w:ascii="Arial" w:hAnsi="Arial" w:cs="Arial"/>
          <w:sz w:val="16"/>
          <w:szCs w:val="16"/>
        </w:rPr>
        <w:t xml:space="preserve">  82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Super Radio Network (Broadcast Operations Pty Ltd)  38–9</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Sure Telecom  86</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T</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T-Box  46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tablets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use  29, 111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ownership  22, 30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VoIP services  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Tasmanian Digital Television  97</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Telecommunications Act 1997</w:t>
      </w:r>
      <w:r w:rsidRPr="00C4022D">
        <w:rPr>
          <w:rFonts w:ascii="Arial" w:hAnsi="Arial" w:cs="Arial"/>
          <w:sz w:val="16"/>
          <w:szCs w:val="16"/>
        </w:rPr>
        <w:t xml:space="preserve">  2, 5, 52, 53–4, 55, 78, 79, 81, 83, 84, 86, 90, 91</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Telecommunications (Carrier Licence Charges) Act 1997</w:t>
      </w:r>
      <w:r w:rsidRPr="00C4022D">
        <w:rPr>
          <w:rFonts w:ascii="Arial" w:hAnsi="Arial" w:cs="Arial"/>
          <w:sz w:val="16"/>
          <w:szCs w:val="16"/>
        </w:rPr>
        <w:t xml:space="preserve">  61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Code of Practice 1997  90, 91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codes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Cabling Requirements for Business Code  83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Call Charging and Billing Accuracy Code  84–5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development and review  83–4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Handling of Life Threatening and Unwelcome Communications industry code  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and Mobile Content Code  104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Local Number Portability Code  75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network codes  14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Number Portability Code  76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Phone Base Station Deployment  83, 91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Priority Assistance for Life Threatening Medical Conditions  73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Telecommunications Consumer Protection (TCP) Code  84, 85–6</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Telecommunications (Consumer Protection and Service Standards) Act 1999</w:t>
      </w:r>
      <w:r w:rsidRPr="00C4022D">
        <w:rPr>
          <w:rFonts w:ascii="Arial" w:hAnsi="Arial" w:cs="Arial"/>
          <w:sz w:val="16"/>
          <w:szCs w:val="16"/>
        </w:rPr>
        <w:t xml:space="preserve">  62, 86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Consumer Protection (TCP) Code</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billing system error  84–5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compliance  84–6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industry compliance  84–6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international roaming investigations  84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obligations  85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privacy investigations  84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revised  84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(Customer Service Guarantee - Retail Performance Benchmarks) Instrument (No. 1) 2011  64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(Emergency Call Persons) Determination 1999  51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(Emergency Call Service) Determination 2009  49, 51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(Emergency Call Service) Determination 2012  51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(Equipment for the Disabled) Regulations 1998  75</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Telecommunications (Industry Levy) Act 2012</w:t>
      </w:r>
      <w:r w:rsidRPr="00C4022D">
        <w:rPr>
          <w:rFonts w:ascii="Arial" w:hAnsi="Arial" w:cs="Arial"/>
          <w:sz w:val="16"/>
          <w:szCs w:val="16"/>
        </w:rPr>
        <w:t xml:space="preserve">  60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industry levy (TIL)  60–2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Industry Ombudsman  86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 statistics  6, 15, 90–1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complaints received  86–7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disclosures of customer information to  52–4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Industry Ombudsman scheme</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compliance  86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members  9, 86</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Telecommunications (Interception and Access) Act 1979</w:t>
      </w:r>
      <w:r w:rsidRPr="00C4022D">
        <w:rPr>
          <w:rFonts w:ascii="Arial" w:hAnsi="Arial" w:cs="Arial"/>
          <w:sz w:val="16"/>
          <w:szCs w:val="16"/>
        </w:rPr>
        <w:t xml:space="preserve">  5, 53, 54, 55, 56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licences</w:t>
      </w:r>
    </w:p>
    <w:p w:rsidR="006B5423" w:rsidRPr="00C4022D" w:rsidRDefault="006B5423" w:rsidP="006B5423">
      <w:pPr>
        <w:pStyle w:val="Sub1"/>
        <w:rPr>
          <w:rFonts w:ascii="Arial" w:hAnsi="Arial" w:cs="Arial"/>
          <w:sz w:val="16"/>
          <w:szCs w:val="16"/>
        </w:rPr>
      </w:pPr>
      <w:proofErr w:type="spellStart"/>
      <w:r w:rsidRPr="00C4022D">
        <w:rPr>
          <w:rFonts w:ascii="Arial" w:hAnsi="Arial" w:cs="Arial"/>
          <w:sz w:val="16"/>
          <w:szCs w:val="16"/>
        </w:rPr>
        <w:t>cablers</w:t>
      </w:r>
      <w:proofErr w:type="spellEnd"/>
      <w:r w:rsidRPr="00C4022D">
        <w:rPr>
          <w:rFonts w:ascii="Arial" w:hAnsi="Arial" w:cs="Arial"/>
          <w:sz w:val="16"/>
          <w:szCs w:val="16"/>
        </w:rPr>
        <w:t xml:space="preserve">  13, 77–8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carriers  13, 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 xml:space="preserve">telecommunications services  </w:t>
      </w:r>
      <w:r w:rsidRPr="00C4022D">
        <w:rPr>
          <w:rFonts w:ascii="Arial" w:hAnsi="Arial" w:cs="Arial"/>
          <w:i/>
          <w:iCs/>
          <w:sz w:val="16"/>
          <w:szCs w:val="16"/>
        </w:rPr>
        <w:t>see</w:t>
      </w:r>
      <w:r w:rsidRPr="00C4022D">
        <w:rPr>
          <w:rFonts w:ascii="Arial" w:hAnsi="Arial" w:cs="Arial"/>
          <w:sz w:val="16"/>
          <w:szCs w:val="16"/>
        </w:rPr>
        <w:t xml:space="preserve"> communication services</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Universal Service Management Agency  52–4</w:t>
      </w:r>
    </w:p>
    <w:p w:rsidR="006B5423" w:rsidRPr="00C4022D" w:rsidRDefault="006B5423" w:rsidP="006B5423">
      <w:pPr>
        <w:pStyle w:val="Main"/>
        <w:rPr>
          <w:rFonts w:ascii="Arial" w:hAnsi="Arial" w:cs="Arial"/>
          <w:sz w:val="16"/>
          <w:szCs w:val="16"/>
        </w:rPr>
      </w:pPr>
      <w:r w:rsidRPr="00C4022D">
        <w:rPr>
          <w:rFonts w:ascii="Arial" w:hAnsi="Arial" w:cs="Arial"/>
          <w:i/>
          <w:iCs/>
          <w:sz w:val="16"/>
          <w:szCs w:val="16"/>
        </w:rPr>
        <w:t>Telecommunications Universal Service Management Agency Act 2012</w:t>
      </w:r>
      <w:r w:rsidRPr="00C4022D">
        <w:rPr>
          <w:rFonts w:ascii="Arial" w:hAnsi="Arial" w:cs="Arial"/>
          <w:sz w:val="16"/>
          <w:szCs w:val="16"/>
        </w:rPr>
        <w:t xml:space="preserve">  60, 61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Universal Service Management A</w:t>
      </w:r>
      <w:r>
        <w:rPr>
          <w:rFonts w:ascii="Arial" w:hAnsi="Arial" w:cs="Arial"/>
          <w:sz w:val="16"/>
          <w:szCs w:val="16"/>
        </w:rPr>
        <w:t>gency</w:t>
      </w:r>
      <w:r w:rsidRPr="00C4022D">
        <w:rPr>
          <w:rFonts w:ascii="Arial" w:hAnsi="Arial" w:cs="Arial"/>
          <w:sz w:val="16"/>
          <w:szCs w:val="16"/>
        </w:rPr>
        <w:t xml:space="preserve"> (TUSMA)  60, 61, 75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Telecommunications Universal Service Obligation (Location of Payphones) Determination 2011  64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telemarketing, complaints  15, 80–1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Telemarketing and Research Standard  80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telephone number allocations  14, 35–6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telephone numbering revenue  17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television</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advertising  6, 42, 95–6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Australian content on  92–6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broadcasting quotas  6, 101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captioning  96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catch-up services  11, 124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internet  11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digital  6–7, 16, 57, 100–1, 102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high definition  6, 101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IPTV  124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local information on regional  6, 97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online usage  5, 44–5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subscription television  36, 40–1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time-shifting content devices  46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time spent viewing  43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Viewer Access Satellite Television (VAST) service  101–2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television antenna installations  57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television licences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broadcasting investigations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commercial broadcasting  6, 13, 37–8,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community broadcasting  13, 36, 41–2, 103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community trials  42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notification of changes of control  96–7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subscription  13, 36, 40–1, 103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Telstra</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appointments  67</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Customer Service Guarantee Standard  59–60, 65, 66, 67, 68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disability equipment program  75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emergency call services  5, 49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emergency calls  5, 49, 50</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fixed-line telephone services  18–19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4G networks  5, 10, 23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Integrated Public Number Database (IPND)  56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international roaming investigations  84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internet services in operation  26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levies payable  62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local presence plan  74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services  23–4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National Broadband Network (NBN)  33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Network Reliability Framework (NRF)  69–72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payphones  60, 62–4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phishing reports  83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priority assistance  73–4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product revenue  18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spectrum assets  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universal service obligation (USO)  75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temporary community radio broadcasting licences  13, 36, 41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Ten Network</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advertising  96</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Australian content  93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children's programs  94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documentaries  93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drama  93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high definition broadcasting  101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ownership and control  37–8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Ten Network Holdings Limited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texting, from mobile phones  8</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time frames  6, 65–6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time shifting content devices  11</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 xml:space="preserve">TIO  </w:t>
      </w:r>
      <w:r w:rsidRPr="00C4022D">
        <w:rPr>
          <w:rFonts w:ascii="Arial" w:hAnsi="Arial" w:cs="Arial"/>
          <w:i/>
          <w:iCs/>
          <w:sz w:val="16"/>
          <w:szCs w:val="16"/>
        </w:rPr>
        <w:t>see</w:t>
      </w:r>
      <w:r w:rsidRPr="00C4022D">
        <w:rPr>
          <w:rFonts w:ascii="Arial" w:hAnsi="Arial" w:cs="Arial"/>
          <w:sz w:val="16"/>
          <w:szCs w:val="16"/>
        </w:rPr>
        <w:t xml:space="preserve"> Telecommunications Industry Ombudsman</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TiVo  46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Touch Mobile  86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TPG  26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TPG Internet  24</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TransACT</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Triple Zero calls  5, 14, 49–50, 51</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complaints  51</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TriTel</w:t>
      </w:r>
      <w:proofErr w:type="spellEnd"/>
      <w:r w:rsidRPr="00C4022D">
        <w:rPr>
          <w:rFonts w:ascii="Arial" w:hAnsi="Arial" w:cs="Arial"/>
          <w:sz w:val="16"/>
          <w:szCs w:val="16"/>
        </w:rPr>
        <w:t xml:space="preserve"> Australia Pty Ltd  62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TTY (teletypewriters)</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emergency call service numbers  51–2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payphones  64</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ind w:left="113" w:hanging="113"/>
        <w:rPr>
          <w:rFonts w:ascii="Arial" w:hAnsi="Arial" w:cs="Arial"/>
          <w:sz w:val="16"/>
          <w:szCs w:val="16"/>
        </w:rPr>
      </w:pPr>
      <w:r>
        <w:rPr>
          <w:rFonts w:ascii="Arial" w:hAnsi="Arial" w:cs="Arial"/>
          <w:color w:val="4D4D4F"/>
          <w:sz w:val="48"/>
          <w:szCs w:val="48"/>
        </w:rPr>
        <w:t>U</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universal service obligation (USO)  59, 75</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levies and payments  60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unwelcome calls  56</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V</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video calls  124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video content services  4, 11, 12, 116, 124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video on demand  5, 44–5</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video on demand services  11, 124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video recorders, time shifting  11, 46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Viewer Access Satellite Television (VAST) service  101–2</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Vodafone</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levies payable  62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Telecommunications Consumer Protection (TCP) Code  86</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Vodafone Hutchinson Australia (VHA)</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4G networks  5, 10, 23</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services  23–4</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VoIP services  4, 8, 21–2, 124</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consumer satisfaction  88–9</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over-the-top (OTT)  4, 21–2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take-up  21–2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via mobile phones  4, 8, 22</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via tablets  4</w:t>
      </w:r>
    </w:p>
    <w:p w:rsidR="006B5423" w:rsidRDefault="006B5423" w:rsidP="006B5423">
      <w:pPr>
        <w:pStyle w:val="Main"/>
        <w:rPr>
          <w:rFonts w:ascii="Arial" w:hAnsi="Arial" w:cs="Arial"/>
          <w:sz w:val="16"/>
          <w:szCs w:val="16"/>
        </w:rPr>
      </w:pPr>
    </w:p>
    <w:p w:rsidR="006B5423" w:rsidRPr="00C4022D" w:rsidRDefault="006B5423" w:rsidP="006B5423">
      <w:pPr>
        <w:pStyle w:val="Main"/>
        <w:pBdr>
          <w:bottom w:val="single" w:sz="4" w:space="1" w:color="auto"/>
        </w:pBdr>
        <w:rPr>
          <w:rFonts w:ascii="Arial" w:hAnsi="Arial" w:cs="Arial"/>
          <w:sz w:val="16"/>
          <w:szCs w:val="16"/>
        </w:rPr>
      </w:pPr>
      <w:r>
        <w:rPr>
          <w:rFonts w:ascii="Arial" w:hAnsi="Arial" w:cs="Arial"/>
          <w:color w:val="4D4D4F"/>
          <w:sz w:val="48"/>
          <w:szCs w:val="48"/>
        </w:rPr>
        <w:t>W</w:t>
      </w:r>
    </w:p>
    <w:p w:rsidR="006B5423" w:rsidRPr="00C4022D" w:rsidRDefault="006B5423" w:rsidP="006B5423">
      <w:pPr>
        <w:pStyle w:val="Main"/>
        <w:spacing w:before="40"/>
        <w:rPr>
          <w:rFonts w:ascii="Arial" w:hAnsi="Arial" w:cs="Arial"/>
          <w:sz w:val="16"/>
          <w:szCs w:val="16"/>
        </w:rPr>
      </w:pPr>
      <w:r w:rsidRPr="00C4022D">
        <w:rPr>
          <w:rFonts w:ascii="Arial" w:hAnsi="Arial" w:cs="Arial"/>
          <w:sz w:val="16"/>
          <w:szCs w:val="16"/>
        </w:rPr>
        <w:t>waivers, Customer Service Guarantee Standard  6, 9, 65</w:t>
      </w:r>
    </w:p>
    <w:p w:rsidR="006B5423" w:rsidRPr="00C4022D" w:rsidRDefault="006B5423" w:rsidP="006B5423">
      <w:pPr>
        <w:pStyle w:val="Main"/>
        <w:rPr>
          <w:rFonts w:ascii="Arial" w:hAnsi="Arial" w:cs="Arial"/>
          <w:sz w:val="16"/>
          <w:szCs w:val="16"/>
        </w:rPr>
      </w:pPr>
      <w:proofErr w:type="spellStart"/>
      <w:r w:rsidRPr="00C4022D">
        <w:rPr>
          <w:rFonts w:ascii="Arial" w:hAnsi="Arial" w:cs="Arial"/>
          <w:sz w:val="16"/>
          <w:szCs w:val="16"/>
        </w:rPr>
        <w:t>Westnet</w:t>
      </w:r>
      <w:proofErr w:type="spellEnd"/>
      <w:r w:rsidRPr="00C4022D">
        <w:rPr>
          <w:rFonts w:ascii="Arial" w:hAnsi="Arial" w:cs="Arial"/>
          <w:sz w:val="16"/>
          <w:szCs w:val="16"/>
        </w:rPr>
        <w:t xml:space="preserve">  33</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WIN Corporation Pty Ltd  37–8, 40</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WIN TV  97</w:t>
      </w:r>
    </w:p>
    <w:p w:rsidR="006B5423" w:rsidRPr="00C4022D" w:rsidRDefault="006B5423" w:rsidP="006B5423">
      <w:pPr>
        <w:pStyle w:val="Main"/>
        <w:rPr>
          <w:rFonts w:ascii="Arial" w:hAnsi="Arial" w:cs="Arial"/>
          <w:sz w:val="16"/>
          <w:szCs w:val="16"/>
        </w:rPr>
      </w:pPr>
      <w:r w:rsidRPr="00C4022D">
        <w:rPr>
          <w:rFonts w:ascii="Arial" w:hAnsi="Arial" w:cs="Arial"/>
          <w:sz w:val="16"/>
          <w:szCs w:val="16"/>
        </w:rPr>
        <w:t>wireless broadband</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data downloaded  11, 27–8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fixed  27–8</w:t>
      </w:r>
    </w:p>
    <w:p w:rsidR="006B5423" w:rsidRPr="00C4022D" w:rsidRDefault="006B5423" w:rsidP="006B5423">
      <w:pPr>
        <w:pStyle w:val="Sub1"/>
        <w:rPr>
          <w:rFonts w:ascii="Arial" w:hAnsi="Arial" w:cs="Arial"/>
          <w:sz w:val="16"/>
          <w:szCs w:val="16"/>
        </w:rPr>
      </w:pPr>
      <w:r w:rsidRPr="00C4022D">
        <w:rPr>
          <w:rFonts w:ascii="Arial" w:hAnsi="Arial" w:cs="Arial"/>
          <w:sz w:val="16"/>
          <w:szCs w:val="16"/>
        </w:rPr>
        <w:t>mobile  8, 24, 26–7</w:t>
      </w:r>
    </w:p>
    <w:p w:rsidR="001E6FB8" w:rsidRPr="00BF4C92" w:rsidRDefault="006B5423" w:rsidP="006B5423">
      <w:pPr>
        <w:pStyle w:val="Main"/>
        <w:pBdr>
          <w:bottom w:val="single" w:sz="4" w:space="1" w:color="auto"/>
        </w:pBdr>
      </w:pPr>
      <w:r w:rsidRPr="00BF4C92">
        <w:t xml:space="preserve"> </w:t>
      </w:r>
    </w:p>
    <w:p w:rsidR="00FF3C69" w:rsidRPr="00FF3C69" w:rsidRDefault="00FF3C69" w:rsidP="00FF3C69"/>
    <w:sectPr w:rsidR="00FF3C69" w:rsidRPr="00FF3C69" w:rsidSect="006B5423">
      <w:footerReference w:type="even" r:id="rId99"/>
      <w:endnotePr>
        <w:numFmt w:val="decimal"/>
        <w:numRestart w:val="eachSect"/>
      </w:endnotePr>
      <w:type w:val="continuous"/>
      <w:pgSz w:w="11906" w:h="16838" w:code="9"/>
      <w:pgMar w:top="1945" w:right="3102" w:bottom="868" w:left="1134" w:header="709" w:footer="119"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F65" w:rsidRDefault="00572F65">
      <w:r>
        <w:separator/>
      </w:r>
    </w:p>
  </w:endnote>
  <w:endnote w:type="continuationSeparator" w:id="0">
    <w:p w:rsidR="00572F65" w:rsidRDefault="00572F65">
      <w:r>
        <w:continuationSeparator/>
      </w:r>
    </w:p>
  </w:endnote>
  <w:endnote w:id="1">
    <w:p w:rsidR="00E41F33" w:rsidRDefault="00E41F33" w:rsidP="001E6FB8">
      <w:pPr>
        <w:spacing w:after="80"/>
        <w:rPr>
          <w:b/>
        </w:rPr>
      </w:pPr>
      <w:bookmarkStart w:id="115" w:name="_Toc370384090"/>
      <w:r w:rsidRPr="001B5D0B">
        <w:rPr>
          <w:b/>
        </w:rPr>
        <w:t>Endnotes</w:t>
      </w:r>
      <w:bookmarkEnd w:id="115"/>
    </w:p>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Telstra, ‘Full Year 2012 Financial Results—CEO/CFO Analyst briefing presentation’, 9 August 2012.</w:t>
      </w:r>
    </w:p>
  </w:endnote>
  <w:endnote w:id="2">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ACMA-commissioned survey May 2012 and May 2013.</w:t>
      </w:r>
    </w:p>
  </w:endnote>
  <w:endnote w:id="3">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w:t>
      </w:r>
      <w:hyperlink r:id="rId1" w:history="1">
        <w:r w:rsidRPr="00207F43">
          <w:rPr>
            <w:rStyle w:val="Hyperlink"/>
            <w:rFonts w:ascii="Arial" w:hAnsi="Arial" w:cs="Arial"/>
            <w:sz w:val="16"/>
            <w:szCs w:val="16"/>
          </w:rPr>
          <w:t>www.pace.com/global/our-thinking/over-the-top-services-ott/</w:t>
        </w:r>
      </w:hyperlink>
      <w:r w:rsidRPr="001B5D0B">
        <w:rPr>
          <w:rFonts w:ascii="Arial" w:hAnsi="Arial" w:cs="Arial"/>
          <w:sz w:val="16"/>
          <w:szCs w:val="16"/>
        </w:rPr>
        <w:t xml:space="preserve"> </w:t>
      </w:r>
    </w:p>
  </w:endnote>
  <w:endnote w:id="4">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 xml:space="preserve">mobile squared, </w:t>
      </w:r>
      <w:r w:rsidRPr="001B5D0B">
        <w:rPr>
          <w:rFonts w:ascii="Arial" w:hAnsi="Arial" w:cs="Arial"/>
          <w:i/>
          <w:sz w:val="16"/>
          <w:szCs w:val="16"/>
        </w:rPr>
        <w:t xml:space="preserve">OTT Services Blow Up the Mobile Universe, </w:t>
      </w:r>
      <w:r w:rsidRPr="001B5D0B">
        <w:rPr>
          <w:rFonts w:ascii="Arial" w:hAnsi="Arial" w:cs="Arial"/>
          <w:sz w:val="16"/>
          <w:szCs w:val="16"/>
        </w:rPr>
        <w:t>September 2013.</w:t>
      </w:r>
      <w:r>
        <w:rPr>
          <w:rFonts w:ascii="Arial" w:hAnsi="Arial" w:cs="Arial"/>
          <w:sz w:val="16"/>
          <w:szCs w:val="16"/>
        </w:rPr>
        <w:t xml:space="preserve"> </w:t>
      </w:r>
    </w:p>
  </w:endnote>
  <w:endnote w:id="5">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Pr>
          <w:rFonts w:ascii="Arial" w:hAnsi="Arial" w:cs="Arial"/>
          <w:sz w:val="16"/>
          <w:szCs w:val="16"/>
        </w:rPr>
        <w:t>ibid</w:t>
      </w:r>
      <w:r w:rsidRPr="001B5D0B">
        <w:rPr>
          <w:rFonts w:ascii="Arial" w:hAnsi="Arial" w:cs="Arial"/>
          <w:sz w:val="16"/>
          <w:szCs w:val="16"/>
        </w:rPr>
        <w:t>.</w:t>
      </w:r>
    </w:p>
  </w:endnote>
  <w:endnote w:id="6">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 xml:space="preserve">European Commission, ‘Special </w:t>
      </w:r>
      <w:proofErr w:type="spellStart"/>
      <w:r w:rsidRPr="001B5D0B">
        <w:rPr>
          <w:rFonts w:ascii="Arial" w:hAnsi="Arial" w:cs="Arial"/>
          <w:sz w:val="16"/>
          <w:szCs w:val="16"/>
        </w:rPr>
        <w:t>Eurobarometer</w:t>
      </w:r>
      <w:proofErr w:type="spellEnd"/>
      <w:r w:rsidRPr="001B5D0B">
        <w:rPr>
          <w:rFonts w:ascii="Arial" w:hAnsi="Arial" w:cs="Arial"/>
          <w:sz w:val="16"/>
          <w:szCs w:val="16"/>
        </w:rPr>
        <w:t xml:space="preserve"> 396’, August 2013.</w:t>
      </w:r>
    </w:p>
  </w:endnote>
  <w:endnote w:id="7">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proofErr w:type="spellStart"/>
      <w:r w:rsidRPr="001B5D0B">
        <w:rPr>
          <w:rFonts w:ascii="Arial" w:hAnsi="Arial" w:cs="Arial"/>
          <w:sz w:val="16"/>
          <w:szCs w:val="16"/>
        </w:rPr>
        <w:t>Ofcom</w:t>
      </w:r>
      <w:proofErr w:type="spellEnd"/>
      <w:r w:rsidRPr="001B5D0B">
        <w:rPr>
          <w:rFonts w:ascii="Arial" w:hAnsi="Arial" w:cs="Arial"/>
          <w:sz w:val="16"/>
          <w:szCs w:val="16"/>
        </w:rPr>
        <w:t>, March 2013</w:t>
      </w:r>
      <w:r>
        <w:rPr>
          <w:rFonts w:ascii="Arial" w:hAnsi="Arial" w:cs="Arial"/>
          <w:sz w:val="16"/>
          <w:szCs w:val="16"/>
        </w:rPr>
        <w:t>.</w:t>
      </w:r>
    </w:p>
  </w:endnote>
  <w:endnote w:id="8">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 xml:space="preserve">UK data from </w:t>
      </w:r>
      <w:proofErr w:type="spellStart"/>
      <w:r w:rsidRPr="001B5D0B">
        <w:rPr>
          <w:rFonts w:ascii="Arial" w:hAnsi="Arial" w:cs="Arial"/>
          <w:sz w:val="16"/>
          <w:szCs w:val="16"/>
        </w:rPr>
        <w:t>Ofcom</w:t>
      </w:r>
      <w:proofErr w:type="spellEnd"/>
      <w:r w:rsidRPr="001B5D0B">
        <w:rPr>
          <w:rFonts w:ascii="Arial" w:hAnsi="Arial" w:cs="Arial"/>
          <w:sz w:val="16"/>
          <w:szCs w:val="16"/>
        </w:rPr>
        <w:t>, March 2013 and US data from Pew Internet.</w:t>
      </w:r>
    </w:p>
  </w:endnote>
  <w:endnote w:id="9">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Company annual reports.</w:t>
      </w:r>
    </w:p>
  </w:endnote>
  <w:endnote w:id="10">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Telstra, Telstra Annual Report 2013, 7 August 2013.</w:t>
      </w:r>
    </w:p>
  </w:endnote>
  <w:endnote w:id="11">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Optus annual report.</w:t>
      </w:r>
    </w:p>
  </w:endnote>
  <w:endnote w:id="12">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 xml:space="preserve">ACMA press release, </w:t>
      </w:r>
      <w:r w:rsidRPr="001B5D0B">
        <w:rPr>
          <w:rFonts w:ascii="Arial" w:hAnsi="Arial" w:cs="Arial"/>
          <w:i/>
          <w:sz w:val="16"/>
          <w:szCs w:val="16"/>
        </w:rPr>
        <w:t>Digital dividend auction–results</w:t>
      </w:r>
      <w:r w:rsidRPr="001B5D0B">
        <w:rPr>
          <w:rFonts w:ascii="Arial" w:hAnsi="Arial" w:cs="Arial"/>
          <w:sz w:val="16"/>
          <w:szCs w:val="16"/>
        </w:rPr>
        <w:t>, 7 May 2013.</w:t>
      </w:r>
    </w:p>
  </w:endnote>
  <w:endnote w:id="13">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Mobile wireless and handset subscribers provided by the ABS as a proportion of the total mobile voice and data subscribers provided by the ACMA.</w:t>
      </w:r>
    </w:p>
  </w:endnote>
  <w:endnote w:id="14">
    <w:p w:rsidR="00E41F33" w:rsidRPr="001B5D0B" w:rsidRDefault="00E41F33" w:rsidP="001E6FB8">
      <w:pPr>
        <w:spacing w:after="40" w:line="240" w:lineRule="auto"/>
        <w:rPr>
          <w:rFonts w:cs="Arial"/>
          <w:sz w:val="16"/>
          <w:szCs w:val="16"/>
        </w:rPr>
      </w:pPr>
      <w:r w:rsidRPr="001B5D0B">
        <w:rPr>
          <w:rStyle w:val="EndnoteReference"/>
          <w:rFonts w:cs="Arial"/>
          <w:sz w:val="16"/>
          <w:szCs w:val="16"/>
        </w:rPr>
        <w:endnoteRef/>
      </w:r>
      <w:r w:rsidRPr="001B5D0B">
        <w:rPr>
          <w:rStyle w:val="EndnoteReference"/>
          <w:rFonts w:cs="Arial"/>
          <w:sz w:val="16"/>
          <w:szCs w:val="16"/>
        </w:rPr>
        <w:t xml:space="preserve"> </w:t>
      </w:r>
      <w:r w:rsidRPr="001B5D0B">
        <w:rPr>
          <w:rFonts w:cs="Arial"/>
          <w:sz w:val="16"/>
          <w:szCs w:val="16"/>
        </w:rPr>
        <w:t>Roy Morgan Single Source, June 2013.</w:t>
      </w:r>
    </w:p>
  </w:endnote>
  <w:endnote w:id="15">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i/>
          <w:sz w:val="16"/>
          <w:szCs w:val="16"/>
        </w:rPr>
        <w:t>ABS, 8153.0-Internet activity, Australia, June 2013.</w:t>
      </w:r>
      <w:r w:rsidRPr="001B5D0B">
        <w:rPr>
          <w:rFonts w:ascii="Arial" w:hAnsi="Arial" w:cs="Arial"/>
          <w:sz w:val="16"/>
          <w:szCs w:val="16"/>
        </w:rPr>
        <w:t xml:space="preserve"> </w:t>
      </w:r>
    </w:p>
  </w:endnote>
  <w:endnote w:id="16">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Pr>
          <w:rFonts w:ascii="Arial" w:hAnsi="Arial" w:cs="Arial"/>
          <w:sz w:val="16"/>
          <w:szCs w:val="16"/>
        </w:rPr>
        <w:t xml:space="preserve">The Broadband Commission for Digital Development, </w:t>
      </w:r>
      <w:r w:rsidRPr="00AB3621">
        <w:rPr>
          <w:rFonts w:ascii="Arial" w:hAnsi="Arial" w:cs="Arial"/>
          <w:i/>
          <w:sz w:val="16"/>
          <w:szCs w:val="16"/>
        </w:rPr>
        <w:t>The State of Broadband 2013: Universalizing Broadband</w:t>
      </w:r>
      <w:r w:rsidRPr="001B5D0B">
        <w:rPr>
          <w:rFonts w:ascii="Arial" w:hAnsi="Arial" w:cs="Arial"/>
          <w:sz w:val="16"/>
          <w:szCs w:val="16"/>
        </w:rPr>
        <w:t>, September 2013.</w:t>
      </w:r>
    </w:p>
  </w:endnote>
  <w:endnote w:id="17">
    <w:p w:rsidR="00E41F33" w:rsidRPr="001B5D0B" w:rsidRDefault="00E41F33" w:rsidP="001E6FB8">
      <w:pPr>
        <w:spacing w:after="40" w:line="240" w:lineRule="auto"/>
        <w:rPr>
          <w:rFonts w:cs="Arial"/>
          <w:sz w:val="16"/>
          <w:szCs w:val="16"/>
        </w:rPr>
      </w:pPr>
      <w:r w:rsidRPr="001B5D0B">
        <w:rPr>
          <w:rStyle w:val="EndnoteReference"/>
          <w:rFonts w:cs="Arial"/>
          <w:sz w:val="16"/>
          <w:szCs w:val="16"/>
        </w:rPr>
        <w:endnoteRef/>
      </w:r>
      <w:r w:rsidRPr="001B5D0B">
        <w:rPr>
          <w:rFonts w:cs="Arial"/>
          <w:sz w:val="16"/>
          <w:szCs w:val="16"/>
        </w:rPr>
        <w:t xml:space="preserve"> Roy Morgan Single Source, June 2013.</w:t>
      </w:r>
    </w:p>
  </w:endnote>
  <w:endnote w:id="18">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Pew Research </w:t>
      </w:r>
      <w:proofErr w:type="spellStart"/>
      <w:r w:rsidRPr="001B5D0B">
        <w:rPr>
          <w:rFonts w:ascii="Arial" w:hAnsi="Arial" w:cs="Arial"/>
          <w:sz w:val="16"/>
          <w:szCs w:val="16"/>
        </w:rPr>
        <w:t>Center</w:t>
      </w:r>
      <w:proofErr w:type="spellEnd"/>
      <w:r w:rsidRPr="001B5D0B">
        <w:rPr>
          <w:rFonts w:ascii="Arial" w:hAnsi="Arial" w:cs="Arial"/>
          <w:sz w:val="16"/>
          <w:szCs w:val="16"/>
        </w:rPr>
        <w:t>, May 2013 and April 2012.</w:t>
      </w:r>
    </w:p>
  </w:endnote>
  <w:endnote w:id="19">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proofErr w:type="spellStart"/>
      <w:r w:rsidRPr="001B5D0B">
        <w:rPr>
          <w:rFonts w:ascii="Arial" w:hAnsi="Arial" w:cs="Arial"/>
          <w:sz w:val="16"/>
          <w:szCs w:val="16"/>
        </w:rPr>
        <w:t>Ofcom</w:t>
      </w:r>
      <w:proofErr w:type="spellEnd"/>
      <w:r w:rsidRPr="001B5D0B">
        <w:rPr>
          <w:rFonts w:ascii="Arial" w:hAnsi="Arial" w:cs="Arial"/>
          <w:sz w:val="16"/>
          <w:szCs w:val="16"/>
        </w:rPr>
        <w:t>, March 2013 and March 2012</w:t>
      </w:r>
      <w:r>
        <w:rPr>
          <w:rFonts w:ascii="Arial" w:hAnsi="Arial" w:cs="Arial"/>
          <w:sz w:val="16"/>
          <w:szCs w:val="16"/>
        </w:rPr>
        <w:t>.</w:t>
      </w:r>
    </w:p>
  </w:endnote>
  <w:endnote w:id="20">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ACMA-commissioned research. Multiple responses were allowed.</w:t>
      </w:r>
    </w:p>
  </w:endnote>
  <w:endnote w:id="21">
    <w:p w:rsidR="00E41F33" w:rsidRDefault="00E41F33" w:rsidP="001E6FB8">
      <w:pPr>
        <w:pStyle w:val="EndnoteText"/>
        <w:spacing w:after="40"/>
      </w:pPr>
      <w:r w:rsidRPr="002F13F6">
        <w:rPr>
          <w:rStyle w:val="EndnoteReference"/>
          <w:rFonts w:ascii="Arial" w:hAnsi="Arial" w:cs="Arial"/>
          <w:sz w:val="16"/>
          <w:szCs w:val="16"/>
        </w:rPr>
        <w:endnoteRef/>
      </w:r>
      <w:r w:rsidRPr="002F13F6">
        <w:rPr>
          <w:rFonts w:ascii="Arial" w:hAnsi="Arial" w:cs="Arial"/>
          <w:sz w:val="16"/>
          <w:szCs w:val="16"/>
        </w:rPr>
        <w:t xml:space="preserve"> Includes Service Class 0 premises which were in the footprint of the NBN Fibre Network but not currently NBN serviceable for the purposes of the NBN Co fibre access service as at 30 June 2013.</w:t>
      </w:r>
    </w:p>
  </w:endnote>
  <w:endnote w:id="22">
    <w:p w:rsidR="00E41F33" w:rsidRPr="00495316" w:rsidRDefault="00E41F33" w:rsidP="001E6FB8">
      <w:pPr>
        <w:pStyle w:val="EndnoteText"/>
        <w:spacing w:after="40"/>
        <w:rPr>
          <w:rFonts w:ascii="Arial" w:hAnsi="Arial" w:cs="Arial"/>
          <w:sz w:val="16"/>
          <w:szCs w:val="16"/>
        </w:rPr>
      </w:pPr>
      <w:r w:rsidRPr="00495316">
        <w:rPr>
          <w:rStyle w:val="EndnoteReference"/>
          <w:rFonts w:ascii="Arial" w:hAnsi="Arial" w:cs="Arial"/>
          <w:sz w:val="16"/>
          <w:szCs w:val="16"/>
        </w:rPr>
        <w:endnoteRef/>
      </w:r>
      <w:r w:rsidRPr="00495316">
        <w:rPr>
          <w:rStyle w:val="EndnoteReference"/>
          <w:rFonts w:ascii="Arial" w:hAnsi="Arial" w:cs="Arial"/>
          <w:sz w:val="16"/>
          <w:szCs w:val="16"/>
        </w:rPr>
        <w:t xml:space="preserve"> </w:t>
      </w:r>
      <w:r w:rsidRPr="00851710">
        <w:rPr>
          <w:rFonts w:ascii="Arial" w:hAnsi="Arial" w:cs="Arial"/>
          <w:sz w:val="16"/>
          <w:szCs w:val="16"/>
        </w:rPr>
        <w:t>SFAA</w:t>
      </w:r>
      <w:r>
        <w:rPr>
          <w:rFonts w:ascii="Arial" w:hAnsi="Arial" w:cs="Arial"/>
          <w:sz w:val="16"/>
          <w:szCs w:val="16"/>
        </w:rPr>
        <w:t xml:space="preserve">, </w:t>
      </w:r>
      <w:r w:rsidRPr="00851710">
        <w:rPr>
          <w:rFonts w:ascii="Arial" w:hAnsi="Arial" w:cs="Arial"/>
          <w:sz w:val="16"/>
          <w:szCs w:val="16"/>
        </w:rPr>
        <w:t>WBA Product Catalogue – NBN Co Operations Manual version 1.16</w:t>
      </w:r>
      <w:r>
        <w:rPr>
          <w:rFonts w:ascii="Arial" w:hAnsi="Arial" w:cs="Arial"/>
          <w:sz w:val="16"/>
          <w:szCs w:val="16"/>
        </w:rPr>
        <w:t>,</w:t>
      </w:r>
      <w:r w:rsidRPr="00851710">
        <w:rPr>
          <w:rFonts w:ascii="Arial" w:hAnsi="Arial" w:cs="Arial"/>
          <w:sz w:val="16"/>
          <w:szCs w:val="16"/>
        </w:rPr>
        <w:t xml:space="preserve"> 14 October 2013, page 62</w:t>
      </w:r>
      <w:r>
        <w:rPr>
          <w:rFonts w:ascii="Arial" w:hAnsi="Arial" w:cs="Arial"/>
          <w:sz w:val="16"/>
          <w:szCs w:val="16"/>
        </w:rPr>
        <w:t>.</w:t>
      </w:r>
    </w:p>
  </w:endnote>
  <w:endnote w:id="23">
    <w:p w:rsidR="00E41F33" w:rsidRDefault="00E41F33" w:rsidP="001E6FB8">
      <w:pPr>
        <w:pStyle w:val="EndnoteText"/>
        <w:spacing w:after="40"/>
      </w:pPr>
      <w:r w:rsidRPr="00A36B08">
        <w:rPr>
          <w:rStyle w:val="EndnoteReference"/>
          <w:rFonts w:ascii="Arial" w:hAnsi="Arial" w:cs="Arial"/>
          <w:sz w:val="16"/>
          <w:szCs w:val="16"/>
        </w:rPr>
        <w:endnoteRef/>
      </w:r>
      <w:r>
        <w:t xml:space="preserve"> </w:t>
      </w:r>
      <w:r w:rsidRPr="00AC127A">
        <w:rPr>
          <w:rFonts w:ascii="Arial" w:hAnsi="Arial" w:cs="Arial"/>
          <w:sz w:val="16"/>
          <w:szCs w:val="16"/>
        </w:rPr>
        <w:t xml:space="preserve">NBN Co, </w:t>
      </w:r>
      <w:r w:rsidRPr="00AC127A">
        <w:rPr>
          <w:rFonts w:ascii="Arial" w:hAnsi="Arial" w:cs="Arial"/>
          <w:i/>
          <w:sz w:val="16"/>
          <w:szCs w:val="16"/>
        </w:rPr>
        <w:t>2013 Annual Report</w:t>
      </w:r>
      <w:r w:rsidRPr="00AC127A">
        <w:rPr>
          <w:rFonts w:ascii="Arial" w:hAnsi="Arial" w:cs="Arial"/>
          <w:sz w:val="16"/>
          <w:szCs w:val="16"/>
        </w:rPr>
        <w:t>.</w:t>
      </w:r>
    </w:p>
  </w:endnote>
  <w:endnote w:id="24">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A trial certificate permits the owner of one or more network units to trial new network units and services without the need for a carrier licence. A trial certificate may be issued for a period up to six months.</w:t>
      </w:r>
    </w:p>
  </w:endnote>
  <w:endnote w:id="25">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proofErr w:type="spellStart"/>
      <w:r w:rsidRPr="001B5D0B">
        <w:rPr>
          <w:rFonts w:ascii="Arial" w:hAnsi="Arial" w:cs="Arial"/>
          <w:sz w:val="16"/>
          <w:szCs w:val="16"/>
        </w:rPr>
        <w:t>Imparja</w:t>
      </w:r>
      <w:proofErr w:type="spellEnd"/>
      <w:r w:rsidRPr="001B5D0B">
        <w:rPr>
          <w:rFonts w:ascii="Arial" w:hAnsi="Arial" w:cs="Arial"/>
          <w:sz w:val="16"/>
          <w:szCs w:val="16"/>
        </w:rPr>
        <w:t xml:space="preserve"> Television Pty Ltd and Southern Cross Media Group Ltd jointly control digital-only television licences, one in each of the remote central and eastern Australia television licence areas and the Mt Isa television licence area.</w:t>
      </w:r>
    </w:p>
  </w:endnote>
  <w:endnote w:id="26">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Commercial Economic Advisory Service of Australia (CEASA) Advertising expenditure in main media: Year ended 31st December 2012. April 2013, p.1.</w:t>
      </w:r>
    </w:p>
  </w:endnote>
  <w:endnote w:id="27">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Roy Morgan Single Source.</w:t>
      </w:r>
    </w:p>
  </w:endnote>
  <w:endnote w:id="28">
    <w:p w:rsidR="00E41F33" w:rsidRDefault="00E41F33" w:rsidP="001E6FB8">
      <w:pPr>
        <w:pStyle w:val="EndnoteText"/>
        <w:spacing w:after="40"/>
      </w:pPr>
      <w:r w:rsidRPr="00337EC7">
        <w:rPr>
          <w:rStyle w:val="EndnoteReference"/>
          <w:rFonts w:ascii="Arial" w:hAnsi="Arial" w:cs="Arial"/>
          <w:sz w:val="16"/>
          <w:szCs w:val="16"/>
        </w:rPr>
        <w:endnoteRef/>
      </w:r>
      <w:r w:rsidRPr="00337EC7">
        <w:rPr>
          <w:rStyle w:val="EndnoteReference"/>
          <w:rFonts w:ascii="Arial" w:hAnsi="Arial" w:cs="Arial"/>
          <w:sz w:val="16"/>
          <w:szCs w:val="16"/>
        </w:rPr>
        <w:t xml:space="preserve"> </w:t>
      </w:r>
      <w:r w:rsidRPr="00337EC7">
        <w:rPr>
          <w:rFonts w:ascii="Arial" w:hAnsi="Arial" w:cs="Arial"/>
          <w:sz w:val="16"/>
          <w:szCs w:val="16"/>
        </w:rPr>
        <w:t>ACMA-commissioned survey, May 2013.</w:t>
      </w:r>
    </w:p>
  </w:endnote>
  <w:endnote w:id="29">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 xml:space="preserve">Mike King, ‘News Corp unveils </w:t>
      </w:r>
      <w:proofErr w:type="spellStart"/>
      <w:r w:rsidRPr="001B5D0B">
        <w:rPr>
          <w:rFonts w:ascii="Arial" w:hAnsi="Arial" w:cs="Arial"/>
          <w:sz w:val="16"/>
          <w:szCs w:val="16"/>
        </w:rPr>
        <w:t>paywall</w:t>
      </w:r>
      <w:proofErr w:type="spellEnd"/>
      <w:r w:rsidRPr="001B5D0B">
        <w:rPr>
          <w:rFonts w:ascii="Arial" w:hAnsi="Arial" w:cs="Arial"/>
          <w:sz w:val="16"/>
          <w:szCs w:val="16"/>
        </w:rPr>
        <w:t xml:space="preserve">’, </w:t>
      </w:r>
      <w:r w:rsidRPr="001B5D0B">
        <w:rPr>
          <w:rFonts w:ascii="Arial" w:hAnsi="Arial" w:cs="Arial"/>
          <w:i/>
          <w:sz w:val="16"/>
          <w:szCs w:val="16"/>
        </w:rPr>
        <w:t>The Motley Fool</w:t>
      </w:r>
      <w:r w:rsidRPr="001B5D0B">
        <w:rPr>
          <w:rFonts w:ascii="Arial" w:hAnsi="Arial" w:cs="Arial"/>
          <w:sz w:val="16"/>
          <w:szCs w:val="16"/>
        </w:rPr>
        <w:t>, 8 May 2013.</w:t>
      </w:r>
    </w:p>
  </w:endnote>
  <w:endnote w:id="30">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w:t>
      </w:r>
      <w:r w:rsidRPr="001B5D0B">
        <w:rPr>
          <w:rFonts w:ascii="Arial" w:hAnsi="Arial" w:cs="Arial"/>
          <w:i/>
          <w:sz w:val="16"/>
          <w:szCs w:val="16"/>
        </w:rPr>
        <w:t>ABC News</w:t>
      </w:r>
      <w:r w:rsidRPr="001B5D0B">
        <w:rPr>
          <w:rFonts w:ascii="Arial" w:hAnsi="Arial" w:cs="Arial"/>
          <w:sz w:val="16"/>
          <w:szCs w:val="16"/>
        </w:rPr>
        <w:t xml:space="preserve">, ‘Fairfax launches metered </w:t>
      </w:r>
      <w:proofErr w:type="spellStart"/>
      <w:r w:rsidRPr="001B5D0B">
        <w:rPr>
          <w:rFonts w:ascii="Arial" w:hAnsi="Arial" w:cs="Arial"/>
          <w:sz w:val="16"/>
          <w:szCs w:val="16"/>
        </w:rPr>
        <w:t>paywalls</w:t>
      </w:r>
      <w:proofErr w:type="spellEnd"/>
      <w:r w:rsidRPr="001B5D0B">
        <w:rPr>
          <w:rFonts w:ascii="Arial" w:hAnsi="Arial" w:cs="Arial"/>
          <w:sz w:val="16"/>
          <w:szCs w:val="16"/>
        </w:rPr>
        <w:t>’, 2 July 2013.</w:t>
      </w:r>
    </w:p>
  </w:endnote>
  <w:endnote w:id="31">
    <w:p w:rsidR="00E41F33" w:rsidRPr="001B5D0B" w:rsidRDefault="00E41F33" w:rsidP="001E6FB8">
      <w:pPr>
        <w:pStyle w:val="EndnoteText"/>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ACMA-commissioned research.</w:t>
      </w:r>
    </w:p>
  </w:endnote>
  <w:endnote w:id="32">
    <w:p w:rsidR="00E41F33" w:rsidRDefault="00E41F33" w:rsidP="001E6FB8">
      <w:pPr>
        <w:spacing w:after="80"/>
        <w:rPr>
          <w:b/>
        </w:rPr>
      </w:pPr>
      <w:r w:rsidRPr="001B5D0B">
        <w:rPr>
          <w:b/>
        </w:rPr>
        <w:t>Endnotes</w:t>
      </w:r>
    </w:p>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The definition of a carrier under section 5 of the TIA Act includes CSPs for these provisions.</w:t>
      </w:r>
    </w:p>
  </w:endnote>
  <w:endnote w:id="33">
    <w:p w:rsidR="00E41F33" w:rsidRPr="001B5D0B" w:rsidRDefault="00E41F33" w:rsidP="001E6FB8">
      <w:pPr>
        <w:pStyle w:val="EndnoteText"/>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Nominated CSPs include those covered by a declaration in force under section 197 of the TIA Act.</w:t>
      </w:r>
    </w:p>
  </w:endnote>
  <w:endnote w:id="34">
    <w:p w:rsidR="00E41F33" w:rsidRDefault="00E41F33" w:rsidP="001E6FB8">
      <w:pPr>
        <w:spacing w:after="80"/>
        <w:rPr>
          <w:b/>
        </w:rPr>
      </w:pPr>
      <w:r w:rsidRPr="001B5D0B">
        <w:rPr>
          <w:b/>
        </w:rPr>
        <w:t>Endnotes</w:t>
      </w:r>
    </w:p>
    <w:p w:rsidR="00E41F33" w:rsidRPr="000E35D4" w:rsidRDefault="00E41F33" w:rsidP="001E6FB8">
      <w:pPr>
        <w:pStyle w:val="EndnoteText"/>
        <w:spacing w:after="40"/>
        <w:rPr>
          <w:rFonts w:ascii="Arial" w:hAnsi="Arial" w:cs="Arial"/>
          <w:sz w:val="16"/>
          <w:szCs w:val="16"/>
        </w:rPr>
      </w:pPr>
      <w:r w:rsidRPr="000E35D4">
        <w:rPr>
          <w:rStyle w:val="EndnoteReference"/>
          <w:rFonts w:ascii="Arial" w:hAnsi="Arial" w:cs="Arial"/>
          <w:sz w:val="16"/>
          <w:szCs w:val="16"/>
        </w:rPr>
        <w:endnoteRef/>
      </w:r>
      <w:r w:rsidRPr="000E35D4">
        <w:rPr>
          <w:rStyle w:val="EndnoteReference"/>
          <w:rFonts w:ascii="Arial" w:hAnsi="Arial" w:cs="Arial"/>
          <w:sz w:val="16"/>
          <w:szCs w:val="16"/>
        </w:rPr>
        <w:t xml:space="preserve"> </w:t>
      </w:r>
      <w:r w:rsidRPr="000E35D4">
        <w:rPr>
          <w:rFonts w:ascii="Arial" w:hAnsi="Arial" w:cs="Arial"/>
          <w:sz w:val="16"/>
          <w:szCs w:val="16"/>
        </w:rPr>
        <w:t xml:space="preserve"> A CSP is a QCSP if on the last day of the financial year preceding the CSG benchmark period, the CSP supplied 100,000 or more CSG services nationally. The QCSP is also required to report on areas where it satisfies the following national location specific thresholds: urban (10,000 CSG services), major rural (1,000 CSG services), minor rural (1,000 CSG services) and remote (500 CSG services).</w:t>
      </w:r>
    </w:p>
  </w:endnote>
  <w:endnote w:id="35">
    <w:p w:rsidR="00E41F33" w:rsidRPr="000E35D4" w:rsidRDefault="00E41F33" w:rsidP="001E6FB8">
      <w:pPr>
        <w:pStyle w:val="EndnoteText"/>
        <w:spacing w:after="40"/>
        <w:rPr>
          <w:rFonts w:ascii="Arial" w:hAnsi="Arial" w:cs="Arial"/>
          <w:sz w:val="16"/>
          <w:szCs w:val="16"/>
        </w:rPr>
      </w:pPr>
      <w:r w:rsidRPr="000E35D4">
        <w:rPr>
          <w:rStyle w:val="EndnoteReference"/>
          <w:rFonts w:ascii="Arial" w:hAnsi="Arial" w:cs="Arial"/>
          <w:sz w:val="16"/>
          <w:szCs w:val="16"/>
        </w:rPr>
        <w:endnoteRef/>
      </w:r>
      <w:r w:rsidRPr="000E35D4">
        <w:rPr>
          <w:rFonts w:ascii="Arial" w:hAnsi="Arial" w:cs="Arial"/>
          <w:sz w:val="16"/>
          <w:szCs w:val="16"/>
        </w:rPr>
        <w:t xml:space="preserve"> TUSMA, </w:t>
      </w:r>
      <w:hyperlink r:id="rId2" w:history="1">
        <w:r w:rsidRPr="00DC1ED0">
          <w:rPr>
            <w:rStyle w:val="Hyperlink"/>
            <w:rFonts w:ascii="Arial" w:hAnsi="Arial" w:cs="Arial"/>
            <w:sz w:val="16"/>
            <w:szCs w:val="16"/>
          </w:rPr>
          <w:t>www.tusma.gov.au/</w:t>
        </w:r>
      </w:hyperlink>
      <w:r w:rsidRPr="000E35D4">
        <w:rPr>
          <w:rFonts w:ascii="Arial" w:hAnsi="Arial" w:cs="Arial"/>
          <w:sz w:val="16"/>
          <w:szCs w:val="16"/>
        </w:rPr>
        <w:t xml:space="preserve">. </w:t>
      </w:r>
    </w:p>
  </w:endnote>
  <w:endnote w:id="36">
    <w:p w:rsidR="00E41F33" w:rsidRPr="000E35D4" w:rsidRDefault="00E41F33" w:rsidP="001E6FB8">
      <w:pPr>
        <w:pStyle w:val="EndnoteText"/>
        <w:spacing w:after="40"/>
        <w:rPr>
          <w:rFonts w:ascii="Arial" w:hAnsi="Arial" w:cs="Arial"/>
          <w:sz w:val="16"/>
          <w:szCs w:val="16"/>
        </w:rPr>
      </w:pPr>
      <w:r w:rsidRPr="000E35D4">
        <w:rPr>
          <w:rStyle w:val="EndnoteReference"/>
          <w:rFonts w:ascii="Arial" w:hAnsi="Arial" w:cs="Arial"/>
          <w:sz w:val="16"/>
          <w:szCs w:val="16"/>
        </w:rPr>
        <w:endnoteRef/>
      </w:r>
      <w:r w:rsidRPr="000E35D4">
        <w:rPr>
          <w:rFonts w:ascii="Arial" w:hAnsi="Arial" w:cs="Arial"/>
          <w:sz w:val="16"/>
          <w:szCs w:val="16"/>
        </w:rPr>
        <w:t xml:space="preserve"> ACMA, ‘Generate a Click Frenzy on your website’, November 2012, </w:t>
      </w:r>
      <w:hyperlink r:id="rId3" w:history="1">
        <w:r w:rsidRPr="00207F43">
          <w:rPr>
            <w:rStyle w:val="Hyperlink"/>
            <w:rFonts w:ascii="Arial" w:hAnsi="Arial" w:cs="Arial"/>
            <w:sz w:val="16"/>
            <w:szCs w:val="16"/>
          </w:rPr>
          <w:t>www.acma.gov.au/theACMA/engage-blogs/engage-blogs/Marketers/Emarketing/Generate-a-Click-Frenzy-on-your-website</w:t>
        </w:r>
      </w:hyperlink>
      <w:r w:rsidRPr="000E35D4">
        <w:rPr>
          <w:rFonts w:ascii="Arial" w:hAnsi="Arial" w:cs="Arial"/>
          <w:sz w:val="16"/>
          <w:szCs w:val="16"/>
        </w:rPr>
        <w:t>.</w:t>
      </w:r>
    </w:p>
  </w:endnote>
  <w:endnote w:id="37">
    <w:p w:rsidR="00E41F33" w:rsidRPr="000E35D4" w:rsidRDefault="00E41F33" w:rsidP="001E6FB8">
      <w:pPr>
        <w:pStyle w:val="EndnoteText"/>
        <w:spacing w:after="40"/>
        <w:rPr>
          <w:rFonts w:ascii="Arial" w:hAnsi="Arial" w:cs="Arial"/>
          <w:sz w:val="16"/>
          <w:szCs w:val="16"/>
        </w:rPr>
      </w:pPr>
      <w:r w:rsidRPr="000E35D4">
        <w:rPr>
          <w:rFonts w:ascii="Arial" w:hAnsi="Arial" w:cs="Arial"/>
          <w:sz w:val="16"/>
          <w:szCs w:val="16"/>
          <w:vertAlign w:val="superscript"/>
        </w:rPr>
        <w:endnoteRef/>
      </w:r>
      <w:r w:rsidRPr="000E35D4">
        <w:rPr>
          <w:rFonts w:ascii="Arial" w:hAnsi="Arial" w:cs="Arial"/>
          <w:sz w:val="16"/>
          <w:szCs w:val="16"/>
        </w:rPr>
        <w:t xml:space="preserve"> </w:t>
      </w:r>
      <w:hyperlink r:id="rId4" w:history="1">
        <w:r w:rsidRPr="00207F43">
          <w:rPr>
            <w:rStyle w:val="Hyperlink"/>
            <w:rFonts w:ascii="Arial" w:hAnsi="Arial" w:cs="Arial"/>
            <w:sz w:val="16"/>
            <w:szCs w:val="16"/>
          </w:rPr>
          <w:t>www.acma.gov.au/theACMA/Newsroom/Newsroom/Media-releases/acma-issues-formal-warning-to-aapt</w:t>
        </w:r>
      </w:hyperlink>
    </w:p>
  </w:endnote>
  <w:endnote w:id="38">
    <w:p w:rsidR="00E41F33" w:rsidRPr="000E35D4" w:rsidRDefault="00E41F33" w:rsidP="001E6FB8">
      <w:pPr>
        <w:pStyle w:val="EndnoteText"/>
        <w:spacing w:after="40"/>
        <w:rPr>
          <w:rFonts w:ascii="Arial" w:hAnsi="Arial" w:cs="Arial"/>
          <w:sz w:val="16"/>
          <w:szCs w:val="16"/>
        </w:rPr>
      </w:pPr>
      <w:r w:rsidRPr="000E35D4">
        <w:rPr>
          <w:rFonts w:ascii="Arial" w:hAnsi="Arial" w:cs="Arial"/>
          <w:sz w:val="16"/>
          <w:szCs w:val="16"/>
          <w:vertAlign w:val="superscript"/>
        </w:rPr>
        <w:endnoteRef/>
      </w:r>
      <w:r w:rsidRPr="000E35D4">
        <w:rPr>
          <w:rFonts w:ascii="Arial" w:hAnsi="Arial" w:cs="Arial"/>
          <w:sz w:val="16"/>
          <w:szCs w:val="16"/>
        </w:rPr>
        <w:t xml:space="preserve"> ACMA-commissioned survey, May 2013.</w:t>
      </w:r>
    </w:p>
  </w:endnote>
  <w:endnote w:id="39">
    <w:p w:rsidR="00E41F33" w:rsidRDefault="00E41F33" w:rsidP="001E6FB8">
      <w:pPr>
        <w:spacing w:after="80"/>
        <w:rPr>
          <w:b/>
        </w:rPr>
      </w:pPr>
      <w:r w:rsidRPr="001B5D0B">
        <w:rPr>
          <w:b/>
        </w:rPr>
        <w:t>Endnotes</w:t>
      </w:r>
    </w:p>
    <w:p w:rsidR="00E41F33" w:rsidRDefault="00E41F33" w:rsidP="001E6FB8">
      <w:pPr>
        <w:pStyle w:val="EndnoteText"/>
        <w:spacing w:after="40"/>
      </w:pPr>
      <w:r w:rsidRPr="00150AED">
        <w:rPr>
          <w:rStyle w:val="EndnoteReference"/>
          <w:rFonts w:ascii="Arial" w:hAnsi="Arial" w:cs="Arial"/>
          <w:sz w:val="16"/>
          <w:szCs w:val="16"/>
        </w:rPr>
        <w:endnoteRef/>
      </w:r>
      <w:r>
        <w:t xml:space="preserve"> </w:t>
      </w:r>
      <w:r w:rsidRPr="00D51893">
        <w:rPr>
          <w:rFonts w:ascii="Arial" w:hAnsi="Arial" w:cs="Arial"/>
          <w:sz w:val="16"/>
          <w:szCs w:val="16"/>
        </w:rPr>
        <w:t>See T</w:t>
      </w:r>
      <w:r>
        <w:rPr>
          <w:rFonts w:ascii="Arial" w:hAnsi="Arial" w:cs="Arial"/>
          <w:sz w:val="16"/>
          <w:szCs w:val="16"/>
        </w:rPr>
        <w:t>elevision Program Standard 23—</w:t>
      </w:r>
      <w:r w:rsidRPr="00D51893">
        <w:rPr>
          <w:rFonts w:ascii="Arial" w:hAnsi="Arial" w:cs="Arial"/>
          <w:sz w:val="16"/>
          <w:szCs w:val="16"/>
        </w:rPr>
        <w:t>Australian Content in Advertising</w:t>
      </w:r>
      <w:r>
        <w:rPr>
          <w:rFonts w:ascii="Arial" w:hAnsi="Arial" w:cs="Arial"/>
          <w:sz w:val="16"/>
          <w:szCs w:val="16"/>
        </w:rPr>
        <w:t>.</w:t>
      </w:r>
    </w:p>
  </w:endnote>
  <w:endnote w:id="40">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Commentary on compliance with annual captioning targets was not available at the end of the reporting period.</w:t>
      </w:r>
    </w:p>
  </w:endnote>
  <w:endnote w:id="41">
    <w:p w:rsidR="00E41F33" w:rsidRPr="001B5D0B" w:rsidRDefault="00E41F33" w:rsidP="001E6FB8">
      <w:pPr>
        <w:pStyle w:val="EndnoteText"/>
        <w:spacing w:after="40"/>
        <w:rPr>
          <w:rStyle w:val="EndnoteReference"/>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Broadcasting Services (Television Captioning) Standard 2013.</w:t>
      </w:r>
    </w:p>
  </w:endnote>
  <w:endnote w:id="42">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 xml:space="preserve">Following amendments to the BSA in April 2012, the 2007 licence condition was replaced by the </w:t>
      </w:r>
      <w:r w:rsidRPr="00B520F3">
        <w:rPr>
          <w:rFonts w:ascii="Arial" w:hAnsi="Arial" w:cs="Arial"/>
          <w:sz w:val="16"/>
          <w:szCs w:val="16"/>
        </w:rPr>
        <w:t xml:space="preserve">Broadcasting Services (Regional Commercial Radio – Material of Local Significance) Licence Condition 2012 </w:t>
      </w:r>
      <w:r w:rsidRPr="001B5D0B">
        <w:rPr>
          <w:rFonts w:ascii="Arial" w:hAnsi="Arial" w:cs="Arial"/>
          <w:sz w:val="16"/>
          <w:szCs w:val="16"/>
        </w:rPr>
        <w:t xml:space="preserve">(the 2012 licence condition). The 2012 licence condition commenced on 3 October 2012 and imposes the same local content obligations on regional commercial radio licensees but, consistent with the BSA as amended, does not apply to remote area service radio licensees, regional racing service radio licensees and licensees of licences allocated under section 40(1) </w:t>
      </w:r>
      <w:r w:rsidRPr="001B5D0B">
        <w:rPr>
          <w:rFonts w:ascii="Arial" w:hAnsi="Arial" w:cs="Arial"/>
          <w:i/>
          <w:sz w:val="16"/>
          <w:szCs w:val="16"/>
        </w:rPr>
        <w:t xml:space="preserve">Broadcasting Services Act 1992. </w:t>
      </w:r>
    </w:p>
  </w:endnote>
  <w:endnote w:id="43">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The obligation on all other trigger event affected licensees to maintain levels of local presence was also reduced to 24 months and the obligation on licensees to broadcast local content and maintain minimum service standards was reduced from 52 weeks to 47 weeks per year.</w:t>
      </w:r>
    </w:p>
  </w:endnote>
  <w:endnote w:id="44">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The simulcast period is defined in clause 2 of Schedule 4 of the BSA.</w:t>
      </w:r>
    </w:p>
  </w:endnote>
  <w:endnote w:id="45">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The community digital television services provided in Adelaide and Perth are not provided under community broadcasting licences, but under open narrowcasting television class licences.</w:t>
      </w:r>
    </w:p>
  </w:endnote>
  <w:endnote w:id="46">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 xml:space="preserve">DBCDE, </w:t>
      </w:r>
      <w:r w:rsidRPr="001B5D0B">
        <w:rPr>
          <w:rFonts w:ascii="Arial" w:hAnsi="Arial" w:cs="Arial"/>
          <w:i/>
          <w:sz w:val="16"/>
          <w:szCs w:val="16"/>
        </w:rPr>
        <w:t>Digital Tracker Summary Report</w:t>
      </w:r>
      <w:r w:rsidRPr="001B5D0B">
        <w:rPr>
          <w:rFonts w:ascii="Arial" w:hAnsi="Arial" w:cs="Arial"/>
          <w:sz w:val="16"/>
          <w:szCs w:val="16"/>
        </w:rPr>
        <w:t>, Quarter 2, April to June 2013.</w:t>
      </w:r>
    </w:p>
  </w:endnote>
  <w:endnote w:id="47">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i/>
          <w:sz w:val="16"/>
          <w:szCs w:val="16"/>
        </w:rPr>
        <w:t xml:space="preserve">Nielsen Company Radio Ratings, Survey #4, 2013 All People 10+ Mon-Sun 12:00 am to 12:00 a m, GfK </w:t>
      </w:r>
      <w:proofErr w:type="spellStart"/>
      <w:r w:rsidRPr="001B5D0B">
        <w:rPr>
          <w:rFonts w:ascii="Arial" w:hAnsi="Arial" w:cs="Arial"/>
          <w:i/>
          <w:sz w:val="16"/>
          <w:szCs w:val="16"/>
        </w:rPr>
        <w:t>Marketscope</w:t>
      </w:r>
      <w:proofErr w:type="spellEnd"/>
      <w:r w:rsidRPr="001B5D0B">
        <w:rPr>
          <w:rFonts w:ascii="Arial" w:hAnsi="Arial" w:cs="Arial"/>
          <w:i/>
          <w:sz w:val="16"/>
          <w:szCs w:val="16"/>
        </w:rPr>
        <w:t xml:space="preserve"> Report Q2 2013—</w:t>
      </w:r>
      <w:r w:rsidRPr="001B5D0B">
        <w:rPr>
          <w:rFonts w:ascii="Arial" w:hAnsi="Arial" w:cs="Arial"/>
          <w:sz w:val="16"/>
          <w:szCs w:val="16"/>
        </w:rPr>
        <w:t xml:space="preserve">Commercial Radio Australia Media Release, 9 August 2013. </w:t>
      </w:r>
    </w:p>
  </w:endnote>
  <w:endnote w:id="48">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This includes ten investigations which were concluded where, for example, the complaint was withdrawn.</w:t>
      </w:r>
    </w:p>
  </w:endnote>
  <w:endnote w:id="49">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Style w:val="EndnoteReference"/>
          <w:rFonts w:ascii="Arial" w:hAnsi="Arial" w:cs="Arial"/>
          <w:sz w:val="16"/>
          <w:szCs w:val="16"/>
        </w:rPr>
        <w:t xml:space="preserve"> </w:t>
      </w:r>
      <w:r w:rsidRPr="001B5D0B">
        <w:rPr>
          <w:rFonts w:ascii="Arial" w:hAnsi="Arial" w:cs="Arial"/>
          <w:sz w:val="16"/>
          <w:szCs w:val="16"/>
        </w:rPr>
        <w:t xml:space="preserve">This does not include 2,680 complaints and enquiries received about 2DAY’s </w:t>
      </w:r>
      <w:r w:rsidRPr="008656BF">
        <w:rPr>
          <w:rFonts w:ascii="Arial" w:hAnsi="Arial" w:cs="Arial"/>
          <w:i/>
          <w:sz w:val="16"/>
          <w:szCs w:val="16"/>
        </w:rPr>
        <w:t>Summer 30</w:t>
      </w:r>
      <w:r w:rsidRPr="001B5D0B">
        <w:rPr>
          <w:rFonts w:ascii="Arial" w:hAnsi="Arial" w:cs="Arial"/>
          <w:sz w:val="16"/>
          <w:szCs w:val="16"/>
        </w:rPr>
        <w:t xml:space="preserve"> program broadcast on 4 December 2012. </w:t>
      </w:r>
    </w:p>
  </w:endnote>
  <w:endnote w:id="50">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Potential prohibited content is defined at clause 21 of Schedule 7 of the BSA.</w:t>
      </w:r>
    </w:p>
  </w:endnote>
  <w:endnote w:id="51">
    <w:p w:rsidR="00E41F33" w:rsidRPr="001B5D0B" w:rsidRDefault="00E41F33" w:rsidP="001E6FB8">
      <w:pPr>
        <w:pStyle w:val="EndnoteText"/>
        <w:spacing w:after="40"/>
        <w:rPr>
          <w:rFonts w:ascii="Arial" w:hAnsi="Arial" w:cs="Arial"/>
          <w:sz w:val="16"/>
          <w:szCs w:val="16"/>
        </w:rPr>
      </w:pPr>
      <w:r w:rsidRPr="001B5D0B">
        <w:rPr>
          <w:rStyle w:val="EndnoteReference"/>
          <w:rFonts w:ascii="Arial" w:hAnsi="Arial" w:cs="Arial"/>
          <w:sz w:val="16"/>
          <w:szCs w:val="16"/>
        </w:rPr>
        <w:endnoteRef/>
      </w:r>
      <w:r w:rsidRPr="001B5D0B">
        <w:rPr>
          <w:rFonts w:ascii="Arial" w:hAnsi="Arial" w:cs="Arial"/>
          <w:sz w:val="16"/>
          <w:szCs w:val="16"/>
        </w:rPr>
        <w:t xml:space="preserve"> Under the IGA, the ACMA must refer prohibited gambling internet content hosted in Australia which it considers worthy of investigation to an Australian police force for further investigation.</w:t>
      </w:r>
    </w:p>
  </w:endnote>
  <w:endnote w:id="52">
    <w:p w:rsidR="00E41F33" w:rsidRDefault="00E41F33" w:rsidP="001E6FB8">
      <w:pPr>
        <w:spacing w:after="80"/>
        <w:rPr>
          <w:b/>
        </w:rPr>
      </w:pPr>
      <w:r w:rsidRPr="001B5D0B">
        <w:rPr>
          <w:b/>
        </w:rPr>
        <w:t>Endnotes</w:t>
      </w:r>
    </w:p>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Roy Morgan Single Source, June 2008 and June 2013.</w:t>
      </w:r>
    </w:p>
  </w:endnote>
  <w:endnote w:id="53">
    <w:p w:rsidR="00E41F33" w:rsidRPr="008A4E9C" w:rsidRDefault="00E41F33" w:rsidP="001E6FB8">
      <w:pPr>
        <w:pStyle w:val="EndnoteText"/>
        <w:spacing w:after="40"/>
        <w:rPr>
          <w:rFonts w:ascii="Arial" w:hAnsi="Arial" w:cs="Arial"/>
          <w:i/>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Pew Internet, </w:t>
      </w:r>
      <w:r w:rsidRPr="008A4E9C">
        <w:rPr>
          <w:rFonts w:ascii="Arial" w:hAnsi="Arial" w:cs="Arial"/>
          <w:i/>
          <w:sz w:val="16"/>
          <w:szCs w:val="16"/>
        </w:rPr>
        <w:t>Home broadband 2013 and Cell internet use 2013.</w:t>
      </w:r>
    </w:p>
  </w:endnote>
  <w:endnote w:id="54">
    <w:p w:rsidR="00E41F33" w:rsidRPr="008A4E9C" w:rsidRDefault="00E41F33" w:rsidP="001E6FB8">
      <w:pPr>
        <w:pStyle w:val="EndnoteText"/>
        <w:spacing w:after="40"/>
        <w:rPr>
          <w:rFonts w:ascii="Arial" w:hAnsi="Arial" w:cs="Arial"/>
          <w:i/>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w:t>
      </w:r>
      <w:proofErr w:type="spellStart"/>
      <w:r w:rsidRPr="008A4E9C">
        <w:rPr>
          <w:rFonts w:ascii="Arial" w:hAnsi="Arial" w:cs="Arial"/>
          <w:sz w:val="16"/>
          <w:szCs w:val="16"/>
        </w:rPr>
        <w:t>Ofcom</w:t>
      </w:r>
      <w:proofErr w:type="spellEnd"/>
      <w:r w:rsidRPr="008A4E9C">
        <w:rPr>
          <w:rFonts w:ascii="Arial" w:hAnsi="Arial" w:cs="Arial"/>
          <w:sz w:val="16"/>
          <w:szCs w:val="16"/>
        </w:rPr>
        <w:t xml:space="preserve">, </w:t>
      </w:r>
      <w:r w:rsidRPr="008A4E9C">
        <w:rPr>
          <w:rFonts w:ascii="Arial" w:hAnsi="Arial" w:cs="Arial"/>
          <w:i/>
          <w:sz w:val="16"/>
          <w:szCs w:val="16"/>
        </w:rPr>
        <w:t xml:space="preserve">Internet use and attitudes 2013 Metrics Bulletin, </w:t>
      </w:r>
      <w:r w:rsidRPr="008A4E9C">
        <w:rPr>
          <w:rFonts w:ascii="Arial" w:hAnsi="Arial" w:cs="Arial"/>
          <w:sz w:val="16"/>
          <w:szCs w:val="16"/>
        </w:rPr>
        <w:t xml:space="preserve">1 August 2013 and </w:t>
      </w:r>
      <w:r w:rsidRPr="008A4E9C">
        <w:rPr>
          <w:rFonts w:ascii="Arial" w:hAnsi="Arial" w:cs="Arial"/>
          <w:i/>
          <w:sz w:val="16"/>
          <w:szCs w:val="16"/>
        </w:rPr>
        <w:t>Communications market 2013.</w:t>
      </w:r>
    </w:p>
  </w:endnote>
  <w:endnote w:id="55">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European Commission, </w:t>
      </w:r>
      <w:r w:rsidRPr="008A4E9C">
        <w:rPr>
          <w:rFonts w:ascii="Arial" w:hAnsi="Arial" w:cs="Arial"/>
          <w:i/>
          <w:sz w:val="16"/>
          <w:szCs w:val="16"/>
        </w:rPr>
        <w:t xml:space="preserve">Special </w:t>
      </w:r>
      <w:proofErr w:type="spellStart"/>
      <w:r w:rsidRPr="008A4E9C">
        <w:rPr>
          <w:rFonts w:ascii="Arial" w:hAnsi="Arial" w:cs="Arial"/>
          <w:i/>
          <w:sz w:val="16"/>
          <w:szCs w:val="16"/>
        </w:rPr>
        <w:t>Eurobarometer</w:t>
      </w:r>
      <w:proofErr w:type="spellEnd"/>
      <w:r w:rsidRPr="008A4E9C">
        <w:rPr>
          <w:rFonts w:ascii="Arial" w:hAnsi="Arial" w:cs="Arial"/>
          <w:i/>
          <w:sz w:val="16"/>
          <w:szCs w:val="16"/>
        </w:rPr>
        <w:t xml:space="preserve"> 396, </w:t>
      </w:r>
      <w:r w:rsidRPr="008A4E9C">
        <w:rPr>
          <w:rFonts w:ascii="Arial" w:hAnsi="Arial" w:cs="Arial"/>
          <w:sz w:val="16"/>
          <w:szCs w:val="16"/>
        </w:rPr>
        <w:t xml:space="preserve">August 2013. </w:t>
      </w:r>
    </w:p>
  </w:endnote>
  <w:endnote w:id="56">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ACMA-commissioned research, May 2013.</w:t>
      </w:r>
    </w:p>
  </w:endnote>
  <w:endnote w:id="57">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Roy Morgan Single Source, June 2013.</w:t>
      </w:r>
    </w:p>
  </w:endnote>
  <w:endnote w:id="58">
    <w:p w:rsidR="00E41F33" w:rsidRPr="008A4E9C" w:rsidRDefault="00E41F33" w:rsidP="001E6FB8">
      <w:pPr>
        <w:pStyle w:val="EndnoteText"/>
        <w:spacing w:after="40"/>
        <w:rPr>
          <w:rStyle w:val="EndnoteReference"/>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gov.au Domain Name Administration, Department of Finance and Deregulation, August 2013.</w:t>
      </w:r>
    </w:p>
  </w:endnote>
  <w:endnote w:id="59">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Roy Morgan Single Source.</w:t>
      </w:r>
    </w:p>
  </w:endnote>
  <w:endnote w:id="60">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ibid.</w:t>
      </w:r>
    </w:p>
  </w:endnote>
  <w:endnote w:id="61">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ACMA, </w:t>
      </w:r>
      <w:proofErr w:type="spellStart"/>
      <w:r w:rsidRPr="008A4E9C">
        <w:rPr>
          <w:rFonts w:ascii="Arial" w:hAnsi="Arial" w:cs="Arial"/>
          <w:i/>
          <w:sz w:val="16"/>
          <w:szCs w:val="16"/>
        </w:rPr>
        <w:t>Smartphones</w:t>
      </w:r>
      <w:proofErr w:type="spellEnd"/>
      <w:r w:rsidRPr="008A4E9C">
        <w:rPr>
          <w:rFonts w:ascii="Arial" w:hAnsi="Arial" w:cs="Arial"/>
          <w:i/>
          <w:sz w:val="16"/>
          <w:szCs w:val="16"/>
        </w:rPr>
        <w:t xml:space="preserve"> and tables: Take-up and use in Australia, </w:t>
      </w:r>
      <w:r w:rsidRPr="008A4E9C">
        <w:rPr>
          <w:rFonts w:ascii="Arial" w:hAnsi="Arial" w:cs="Arial"/>
          <w:sz w:val="16"/>
          <w:szCs w:val="16"/>
        </w:rPr>
        <w:t>1 February 2013.</w:t>
      </w:r>
    </w:p>
  </w:endnote>
  <w:endnote w:id="62">
    <w:p w:rsidR="00E41F33" w:rsidRPr="008A4E9C" w:rsidRDefault="00E41F33" w:rsidP="001E6FB8">
      <w:pPr>
        <w:pStyle w:val="EndnoteText"/>
        <w:spacing w:after="40"/>
        <w:rPr>
          <w:rFonts w:ascii="Arial" w:hAnsi="Arial" w:cs="Arial"/>
          <w:i/>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w:t>
      </w:r>
      <w:proofErr w:type="spellStart"/>
      <w:r w:rsidRPr="008A4E9C">
        <w:rPr>
          <w:rFonts w:ascii="Arial" w:hAnsi="Arial" w:cs="Arial"/>
          <w:sz w:val="16"/>
          <w:szCs w:val="16"/>
        </w:rPr>
        <w:t>Ofcom</w:t>
      </w:r>
      <w:proofErr w:type="spellEnd"/>
      <w:r w:rsidRPr="008A4E9C">
        <w:rPr>
          <w:rFonts w:ascii="Arial" w:hAnsi="Arial" w:cs="Arial"/>
          <w:sz w:val="16"/>
          <w:szCs w:val="16"/>
        </w:rPr>
        <w:t xml:space="preserve">, </w:t>
      </w:r>
      <w:r w:rsidRPr="008A4E9C">
        <w:rPr>
          <w:rFonts w:ascii="Arial" w:hAnsi="Arial" w:cs="Arial"/>
          <w:i/>
          <w:sz w:val="16"/>
          <w:szCs w:val="16"/>
        </w:rPr>
        <w:t xml:space="preserve">Adults’ media use and attitudes report 2013, </w:t>
      </w:r>
      <w:r w:rsidRPr="008A4E9C">
        <w:rPr>
          <w:rFonts w:ascii="Arial" w:hAnsi="Arial" w:cs="Arial"/>
          <w:sz w:val="16"/>
          <w:szCs w:val="16"/>
        </w:rPr>
        <w:t>23 April 2013.</w:t>
      </w:r>
    </w:p>
  </w:endnote>
  <w:endnote w:id="63">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ACMA-commissioned research, May 2013.</w:t>
      </w:r>
    </w:p>
  </w:endnote>
  <w:endnote w:id="64">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ABS, 8153.0–Internet Activity, Australia, June 2013.</w:t>
      </w:r>
    </w:p>
  </w:endnote>
  <w:endnote w:id="65">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ACMA-commissioned research, May 2013.</w:t>
      </w:r>
    </w:p>
  </w:endnote>
  <w:endnote w:id="66">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w:t>
      </w:r>
      <w:proofErr w:type="spellStart"/>
      <w:r w:rsidRPr="008A4E9C">
        <w:rPr>
          <w:rFonts w:ascii="Arial" w:hAnsi="Arial" w:cs="Arial"/>
          <w:sz w:val="16"/>
          <w:szCs w:val="16"/>
        </w:rPr>
        <w:t>TeleGeography</w:t>
      </w:r>
      <w:proofErr w:type="spellEnd"/>
      <w:r w:rsidRPr="008A4E9C">
        <w:rPr>
          <w:rFonts w:ascii="Arial" w:hAnsi="Arial" w:cs="Arial"/>
          <w:sz w:val="16"/>
          <w:szCs w:val="16"/>
        </w:rPr>
        <w:t xml:space="preserve">, </w:t>
      </w:r>
      <w:proofErr w:type="spellStart"/>
      <w:r w:rsidRPr="008A4E9C">
        <w:rPr>
          <w:rFonts w:ascii="Arial" w:hAnsi="Arial" w:cs="Arial"/>
          <w:i/>
          <w:sz w:val="16"/>
          <w:szCs w:val="16"/>
        </w:rPr>
        <w:t>TeleGeography</w:t>
      </w:r>
      <w:proofErr w:type="spellEnd"/>
      <w:r w:rsidRPr="008A4E9C">
        <w:rPr>
          <w:rFonts w:ascii="Arial" w:hAnsi="Arial" w:cs="Arial"/>
          <w:i/>
          <w:sz w:val="16"/>
          <w:szCs w:val="16"/>
        </w:rPr>
        <w:t xml:space="preserve"> report and database</w:t>
      </w:r>
      <w:r w:rsidRPr="008A4E9C">
        <w:rPr>
          <w:rFonts w:ascii="Arial" w:hAnsi="Arial" w:cs="Arial"/>
          <w:sz w:val="16"/>
          <w:szCs w:val="16"/>
        </w:rPr>
        <w:t>, 2012.</w:t>
      </w:r>
    </w:p>
  </w:endnote>
  <w:endnote w:id="67">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David Edwards, ‘</w:t>
      </w:r>
      <w:proofErr w:type="spellStart"/>
      <w:r w:rsidRPr="008A4E9C">
        <w:rPr>
          <w:rFonts w:ascii="Arial" w:hAnsi="Arial" w:cs="Arial"/>
          <w:sz w:val="16"/>
          <w:szCs w:val="16"/>
        </w:rPr>
        <w:t>Quickflix</w:t>
      </w:r>
      <w:proofErr w:type="spellEnd"/>
      <w:r w:rsidRPr="008A4E9C">
        <w:rPr>
          <w:rFonts w:ascii="Arial" w:hAnsi="Arial" w:cs="Arial"/>
          <w:sz w:val="16"/>
          <w:szCs w:val="16"/>
        </w:rPr>
        <w:t xml:space="preserve"> posts 33% revenue growth for 1H13’, </w:t>
      </w:r>
      <w:r w:rsidRPr="008A4E9C">
        <w:rPr>
          <w:rFonts w:ascii="Arial" w:hAnsi="Arial" w:cs="Arial"/>
          <w:i/>
          <w:sz w:val="16"/>
          <w:szCs w:val="16"/>
        </w:rPr>
        <w:t>Communications Day</w:t>
      </w:r>
      <w:r w:rsidRPr="008A4E9C">
        <w:rPr>
          <w:rFonts w:ascii="Arial" w:hAnsi="Arial" w:cs="Arial"/>
          <w:sz w:val="16"/>
          <w:szCs w:val="16"/>
        </w:rPr>
        <w:t>, 4 March 2013.</w:t>
      </w:r>
    </w:p>
  </w:endnote>
  <w:endnote w:id="68">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Stephen Withers, ‘Hoyts picks </w:t>
      </w:r>
      <w:proofErr w:type="spellStart"/>
      <w:r w:rsidRPr="008A4E9C">
        <w:rPr>
          <w:rFonts w:ascii="Arial" w:hAnsi="Arial" w:cs="Arial"/>
          <w:sz w:val="16"/>
          <w:szCs w:val="16"/>
        </w:rPr>
        <w:t>Viocorp</w:t>
      </w:r>
      <w:proofErr w:type="spellEnd"/>
      <w:r w:rsidRPr="008A4E9C">
        <w:rPr>
          <w:rFonts w:ascii="Arial" w:hAnsi="Arial" w:cs="Arial"/>
          <w:sz w:val="16"/>
          <w:szCs w:val="16"/>
        </w:rPr>
        <w:t xml:space="preserve"> for video on demand’, </w:t>
      </w:r>
      <w:proofErr w:type="spellStart"/>
      <w:r w:rsidRPr="008A4E9C">
        <w:rPr>
          <w:rFonts w:ascii="Arial" w:hAnsi="Arial" w:cs="Arial"/>
          <w:i/>
          <w:sz w:val="16"/>
          <w:szCs w:val="16"/>
        </w:rPr>
        <w:t>CommsWire</w:t>
      </w:r>
      <w:proofErr w:type="spellEnd"/>
      <w:r w:rsidRPr="008A4E9C">
        <w:rPr>
          <w:rFonts w:ascii="Arial" w:hAnsi="Arial" w:cs="Arial"/>
          <w:sz w:val="16"/>
          <w:szCs w:val="16"/>
        </w:rPr>
        <w:t>, 7 March 2013.</w:t>
      </w:r>
    </w:p>
  </w:endnote>
  <w:endnote w:id="69">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ACMA-commissioned research, May 2013.</w:t>
      </w:r>
    </w:p>
  </w:endnote>
  <w:endnote w:id="70">
    <w:p w:rsidR="00E41F33" w:rsidRPr="008A4E9C" w:rsidRDefault="00E41F33" w:rsidP="001E6FB8">
      <w:pPr>
        <w:pStyle w:val="EndnoteText"/>
        <w:spacing w:after="40"/>
        <w:rPr>
          <w:sz w:val="16"/>
          <w:szCs w:val="16"/>
        </w:rPr>
      </w:pPr>
      <w:r w:rsidRPr="008A4E9C">
        <w:rPr>
          <w:rStyle w:val="EndnoteReference"/>
          <w:rFonts w:ascii="Arial" w:hAnsi="Arial" w:cs="Arial"/>
          <w:sz w:val="16"/>
          <w:szCs w:val="16"/>
        </w:rPr>
        <w:endnoteRef/>
      </w:r>
      <w:r w:rsidRPr="008A4E9C">
        <w:rPr>
          <w:sz w:val="16"/>
          <w:szCs w:val="16"/>
        </w:rPr>
        <w:t xml:space="preserve"> </w:t>
      </w:r>
      <w:r w:rsidRPr="008A4E9C">
        <w:rPr>
          <w:rFonts w:ascii="Arial" w:hAnsi="Arial" w:cs="Arial"/>
          <w:sz w:val="16"/>
          <w:szCs w:val="16"/>
        </w:rPr>
        <w:t xml:space="preserve">Including people using the internet to work away from the office outside ‘standard working hours’ and </w:t>
      </w:r>
      <w:proofErr w:type="spellStart"/>
      <w:r w:rsidRPr="008A4E9C">
        <w:rPr>
          <w:rFonts w:ascii="Arial" w:hAnsi="Arial" w:cs="Arial"/>
          <w:sz w:val="16"/>
          <w:szCs w:val="16"/>
        </w:rPr>
        <w:t>teleworkers</w:t>
      </w:r>
      <w:proofErr w:type="spellEnd"/>
      <w:r w:rsidRPr="008A4E9C">
        <w:rPr>
          <w:rFonts w:ascii="Arial" w:hAnsi="Arial" w:cs="Arial"/>
          <w:sz w:val="16"/>
          <w:szCs w:val="16"/>
        </w:rPr>
        <w:t xml:space="preserve"> who are allowed to work away from the office, substituting coming into the office for part or all of the day.</w:t>
      </w:r>
    </w:p>
  </w:endnote>
  <w:endnote w:id="71">
    <w:p w:rsidR="00E41F33" w:rsidRPr="008A4E9C" w:rsidRDefault="00E41F33" w:rsidP="001E6FB8">
      <w:pPr>
        <w:pStyle w:val="EndnoteText"/>
        <w:spacing w:after="40"/>
        <w:rPr>
          <w:rFonts w:ascii="Arial" w:hAnsi="Arial" w:cs="Arial"/>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ACMA-commissioned research, May 2012 and May 2013.</w:t>
      </w:r>
    </w:p>
  </w:endnote>
  <w:endnote w:id="72">
    <w:p w:rsidR="00E41F33" w:rsidRPr="001B5D0B" w:rsidRDefault="00E41F33" w:rsidP="001E6FB8">
      <w:pPr>
        <w:pStyle w:val="EndnoteText"/>
        <w:spacing w:after="40"/>
        <w:rPr>
          <w:rFonts w:ascii="Arial" w:hAnsi="Arial" w:cs="Arial"/>
          <w:i/>
          <w:sz w:val="16"/>
          <w:szCs w:val="16"/>
        </w:rPr>
      </w:pPr>
      <w:r w:rsidRPr="008A4E9C">
        <w:rPr>
          <w:rStyle w:val="EndnoteReference"/>
          <w:rFonts w:ascii="Arial" w:hAnsi="Arial" w:cs="Arial"/>
          <w:sz w:val="16"/>
          <w:szCs w:val="16"/>
        </w:rPr>
        <w:endnoteRef/>
      </w:r>
      <w:r w:rsidRPr="008A4E9C">
        <w:rPr>
          <w:rFonts w:ascii="Arial" w:hAnsi="Arial" w:cs="Arial"/>
          <w:sz w:val="16"/>
          <w:szCs w:val="16"/>
        </w:rPr>
        <w:t xml:space="preserve"> ACMA, </w:t>
      </w:r>
      <w:r w:rsidRPr="008A4E9C">
        <w:rPr>
          <w:rFonts w:ascii="Arial" w:hAnsi="Arial" w:cs="Arial"/>
          <w:i/>
          <w:sz w:val="16"/>
          <w:szCs w:val="16"/>
        </w:rPr>
        <w:t>Communications report 2011–12.</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Med">
    <w:altName w:val="Arial"/>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Default="00421002">
    <w:pPr>
      <w:pStyle w:val="Footer"/>
    </w:pPr>
    <w:r>
      <w:rPr>
        <w:noProof/>
      </w:rPr>
      <w:pict>
        <v:shape id="Logo_ftr_grey_ing" o:spid="_x0000_s2064" style="position:absolute;margin-left:57.2pt;margin-top:802.6pt;width:275.95pt;height:14.5pt;z-index:-251657216;mso-position-horizontal:absolute;mso-position-horizontal-relative:page;mso-position-vertical:absolute;mso-position-vertical-relative:page" coordsize="4417,224" path="m81,103hdc81,100,81,98,80,96,79,94,77,92,75,91,74,89,72,88,70,87,67,86,65,86,63,86v-6,,-10,1,-13,3c46,91,44,94,42,97v-1,3,-3,7,-3,11c38,112,38,116,38,120v,4,,8,1,11c40,135,41,138,43,141v2,3,4,5,7,7c53,150,57,151,61,151v6,,11,-2,15,-6c79,142,81,137,82,131v37,,37,,37,c118,138,116,145,113,152v-3,6,-8,11,-13,15c95,171,89,174,83,176v-7,3,-14,4,-22,4c52,180,44,178,36,175,29,173,23,169,17,163,12,158,8,152,4,145,1,137,,129,,120,,111,1,102,4,95,7,87,11,80,16,75,22,69,28,65,35,61v8,-3,16,-4,26,-4c68,57,75,58,82,60v6,2,12,4,17,8c105,72,109,77,112,83v3,5,5,12,6,20hal81,103hdxm126,118v,-8,2,-16,5,-24c134,87,138,80,143,74v6,-5,12,-9,20,-13c170,58,178,57,187,57v9,,18,1,25,4c220,65,226,69,232,74v5,6,9,13,12,20c247,102,249,110,249,118v,9,-2,17,-5,25c241,150,237,157,232,162v-6,6,-12,10,-20,13c205,178,196,180,187,180v-9,,-17,-2,-24,-5c155,172,149,168,143,162v-5,-5,-9,-12,-12,-19c128,135,126,127,126,118xm164,118v,4,1,8,1,12c166,133,167,137,169,140v2,3,4,6,7,8c179,150,183,151,187,151v5,,9,-1,12,-3c202,146,204,143,206,140v2,-3,3,-7,4,-10c210,126,211,122,211,118v,-3,-1,-7,-1,-11c209,103,208,100,206,97v-2,-3,-4,-6,-7,-8c196,87,192,86,187,86v-4,,-8,1,-11,3c173,91,171,94,169,97v-2,3,-3,6,-4,10c165,111,164,115,164,118xm262,60v37,,37,,37,c299,76,299,76,299,76v1,,1,,1,c303,70,308,66,313,62v6,-3,13,-5,20,-5c340,57,347,58,353,61v6,3,11,8,14,15c371,69,377,65,382,61v6,-3,13,-4,21,-4c412,57,420,58,425,61v6,4,10,8,12,13c440,78,442,84,443,90v1,6,1,11,1,17c444,176,444,176,444,176v-38,,-38,,-38,c406,108,406,108,406,108v,-6,-1,-11,-4,-15c399,90,395,88,390,88v-4,,-7,1,-10,2c378,92,376,94,375,97v-1,3,-2,6,-2,10c372,111,372,115,372,119v,57,,57,,57c334,176,334,176,334,176v,-66,,-66,,-66c334,103,333,98,331,94v-2,-4,-6,-6,-11,-6c313,88,308,90,305,95v-3,5,-5,13,-5,25c300,176,300,176,300,176v-38,,-38,,-38,hal262,60hdxm463,60v37,,37,,37,c500,76,500,76,500,76v1,,1,,1,c504,70,509,66,514,62v6,-3,13,-5,20,-5c541,57,548,58,554,61v6,3,11,8,14,15c572,69,578,65,583,61v6,-3,13,-4,21,-4c613,57,621,58,626,61v6,4,10,8,12,13c641,78,643,84,644,90v1,6,1,11,1,17c645,176,645,176,645,176v-38,,-38,,-38,c607,108,607,108,607,108v,-6,-2,-11,-4,-15c600,90,596,88,591,88v-4,,-7,1,-10,2c579,92,577,94,576,97v-1,3,-2,6,-2,10c573,111,573,115,573,119v,57,,57,,57c535,176,535,176,535,176v,-66,,-66,,-66c535,103,534,98,532,94v-2,-4,-6,-6,-11,-6c514,88,509,90,506,95v-3,5,-5,13,-5,25c501,176,501,176,501,176v-38,,-38,,-38,hal463,60hdxm779,176v-37,,-37,,-37,c742,160,742,160,742,160v,,,,,c738,166,733,171,727,175v-7,3,-14,5,-20,5c698,180,691,179,686,176v-6,-2,-10,-5,-13,-10c669,162,667,157,666,151v-2,-6,-2,-13,-2,-21c664,60,664,60,664,60v38,,38,,38,c702,128,702,128,702,128v,7,1,13,4,16c710,147,714,148,720,148v3,,5,,7,-1c730,147,732,145,734,143v2,-2,4,-5,5,-8c741,132,741,128,741,122v,-62,,-62,,-62c779,60,779,60,779,60hal779,176hdxm798,60v37,,37,,37,c835,76,835,76,835,76v1,,1,,1,c838,73,840,70,843,68v2,-2,5,-4,9,-6c855,60,858,59,862,58v3,-1,7,-1,10,-1c882,57,890,58,895,61v6,4,10,7,13,12c911,78,912,82,913,88v1,5,1,10,1,14c914,176,914,176,914,176v-38,,-38,,-38,c876,120,876,120,876,120v,-4,,-8,,-11c876,105,876,101,874,98v-1,-3,-3,-5,-5,-7c866,89,862,88,857,88v-3,,-7,1,-9,2c845,92,843,94,841,96v-1,2,-2,5,-3,8c837,107,837,110,837,113v,63,,63,,63c798,176,798,176,798,176hal798,60hdxm972,46v-38,,-38,,-38,c934,16,934,16,934,16v38,,38,,38,hal972,46hdxm934,60v38,,38,,38,c972,176,972,176,972,176v-38,,-38,,-38,hal934,60hdxm1069,103v,-3,-1,-5,-2,-7c1066,94,1065,92,1063,91v-2,-2,-4,-3,-6,-4c1055,86,1052,86,1050,86v-5,,-10,1,-13,3c1034,91,1031,94,1030,97v-2,3,-3,7,-4,11c1026,112,1025,116,1025,120v,4,1,8,2,11c1027,135,1029,138,1031,141v1,3,4,5,7,7c1040,150,1044,151,1048,151v7,,12,-2,15,-6c1067,142,1069,137,1070,131v37,,37,,37,c1106,138,1104,145,1100,152v-3,6,-7,11,-12,15c1083,171,1077,174,1070,176v-7,3,-14,4,-22,4c1039,180,1031,178,1024,175v-8,-2,-14,-6,-19,-12c999,158,995,152,992,145v-3,-8,-5,-16,-5,-25c987,111,989,102,992,95v2,-8,6,-15,12,-20c1009,69,1015,65,1023,61v7,-3,16,-4,25,-4c1055,57,1062,58,1069,60v7,2,12,4,18,8c1092,72,1096,77,1099,83v4,5,6,12,7,20hal1069,103hdxm1118,96v,-8,2,-14,5,-19c1126,72,1131,68,1136,65v5,-3,11,-5,17,-6c1159,57,1166,57,1173,57v7,,13,,20,1c1199,59,1205,61,1210,64v5,3,9,7,12,12c1225,81,1227,88,1227,96v,51,,51,,51c1227,152,1227,157,1227,162v1,5,2,10,4,14c1193,176,1193,176,1193,176v-1,-1,-1,-3,-1,-5c1191,169,1191,167,1191,165v-5,6,-11,9,-18,11c1166,179,1160,180,1153,180v-6,,-11,-1,-16,-2c1132,176,1128,174,1124,171v-3,-3,-6,-6,-8,-11c1114,156,1113,151,1113,145v,-7,1,-12,3,-16c1118,125,1121,121,1125,119v3,-3,7,-5,12,-7c1142,111,1146,110,1151,109v5,-1,10,-2,15,-3c1171,106,1176,105,1181,104v3,,5,-2,7,-3c1190,100,1191,97,1191,94v,-3,-1,-5,-2,-6c1188,86,1186,85,1184,84v-1,-1,-3,-1,-6,-2c1176,82,1174,81,1172,81v-11,,-17,5,-19,15hal1118,96hdxm1151,143v,5,2,8,5,10c1159,155,1163,156,1167,156v9,,15,-2,19,-8c1189,143,1191,134,1190,122v-2,2,-6,3,-10,3c1175,126,1171,127,1167,128v-5,1,-8,3,-11,5c1153,135,1151,138,1151,143xm1316,85v-24,,-24,,-24,c1292,138,1292,138,1292,138v,4,1,7,4,9c1298,148,1302,149,1306,149v1,,3,,5,c1312,148,1314,148,1316,148v,28,,28,,28c1312,177,1309,177,1305,177v-3,,-7,1,-10,1c1287,178,1280,177,1275,175v-6,-1,-10,-3,-13,-6c1259,166,1257,161,1256,156v-1,-5,-2,-12,-2,-19c1254,85,1254,85,1254,85v-19,,-19,,-19,c1235,60,1235,60,1235,60v19,,19,,19,c1254,25,1254,25,1254,25v38,,38,,38,c1292,60,1292,60,1292,60v24,,24,,24,hal1316,85hdxm1366,46v-39,,-39,,-39,c1327,16,1327,16,1327,16v39,,39,,39,hal1366,46hdxm1327,60v39,,39,,39,c1366,176,1366,176,1366,176v-39,,-39,,-39,hal1327,60hdxm1386,60v37,,37,,37,c1423,76,1423,76,1423,76v,,,,,c1425,73,1427,70,1430,68v3,-2,6,-4,9,-6c1442,60,1446,59,1449,58v4,-1,7,-1,11,-1c1470,57,1477,58,1483,61v5,4,10,7,12,12c1498,78,1500,82,1501,88v,5,1,10,1,14c1502,176,1502,176,1502,176v-38,,-38,,-38,c1464,120,1464,120,1464,120v,-4,,-8,,-11c1464,105,1463,101,1462,98v-1,-3,-3,-5,-6,-7c1454,89,1450,88,1445,88v-4,,-7,1,-10,2c1433,92,1431,94,1429,96v-2,2,-3,5,-4,8c1424,107,1424,110,1424,113v,63,,63,,63c1386,176,1386,176,1386,176hal1386,60hdxm1633,162v,5,,11,-1,17c1631,185,1628,191,1624,197v-3,5,-9,10,-17,14c1599,215,1589,217,1575,217v-7,,-13,,-20,-1c1549,215,1543,213,1538,210v-5,-2,-10,-6,-13,-11c1521,194,1519,188,1518,180v38,,38,,38,c1557,185,1559,188,1562,190v4,2,8,3,14,3c1581,193,1584,192,1587,190v3,-1,5,-3,6,-6c1595,182,1595,179,1596,176v,-4,,-7,,-11c1596,154,1596,154,1596,154v,,,,,c1592,160,1588,164,1583,167v-6,3,-12,4,-18,4c1556,171,1549,170,1542,167v-6,-3,-12,-7,-16,-12c1522,150,1519,144,1517,137v-2,-8,-3,-15,-3,-23c1514,106,1515,99,1517,92v2,-7,6,-13,10,-18c1531,69,1537,64,1543,61v6,-3,14,-4,22,-4c1579,57,1589,63,1596,75v1,,1,,1,c1597,60,1597,60,1597,60v36,,36,,36,hal1633,162hdxm1597,115v,-4,,-7,-1,-11c1595,101,1594,98,1592,95v-2,-3,-4,-5,-7,-7c1582,87,1578,86,1574,86v-4,,-8,1,-10,2c1561,90,1558,92,1557,95v-2,3,-3,6,-4,9c1552,108,1552,111,1552,115v,3,,7,1,10c1554,128,1555,131,1557,134v2,2,4,4,7,6c1567,142,1570,142,1574,142v4,,7,,10,-2c1587,139,1590,137,1591,134v2,-2,4,-5,5,-8c1597,122,1597,119,1597,115xm1782,v12,,12,,12,c1794,224,1794,224,1794,224v-12,,-12,,-12,hal1782,hdxm1955,85v-18,,-18,,-18,c1937,60,1937,60,1937,60v18,,18,,18,c1955,52,1956,45,1958,39v1,-5,4,-10,7,-13c1969,22,1973,20,1979,19v6,-2,12,-3,21,-3c2003,16,2006,17,2009,17v3,,6,,9,c2018,44,2018,44,2018,44v-4,,-7,-1,-10,-1c2003,43,2000,44,1997,45v-2,2,-4,5,-4,10c1993,60,1993,60,1993,60v23,,23,,23,c2016,85,2016,85,2016,85v-23,,-23,,-23,c1993,176,1993,176,1993,176v-38,,-38,,-38,hal1955,85hdxm2022,96v,-8,2,-14,5,-19c2031,72,2035,68,2040,65v5,-3,11,-5,17,-6c2064,57,2070,57,2077,57v7,,14,,20,1c2104,59,2109,61,2114,64v6,3,10,7,13,12c2130,81,2131,88,2131,96v,51,,51,,51c2131,152,2131,157,2132,162v,5,1,10,4,14c2097,176,2097,176,2097,176v,-1,-1,-3,-1,-5c2096,169,2095,167,2095,165v-5,6,-11,9,-17,11c2071,179,2064,180,2057,180v-6,,-11,-1,-16,-2c2036,176,2032,174,2029,171v-4,-3,-7,-6,-9,-11c2018,156,2017,151,2017,145v,-7,1,-12,3,-16c2022,125,2025,121,2029,119v3,-3,8,-5,12,-7c2046,111,2051,110,2056,109v5,-1,10,-2,15,-3c2076,106,2080,105,2085,104v3,,6,-2,7,-3c2094,100,2095,97,2095,94v,-3,-1,-5,-2,-6c2092,86,2090,85,2089,84v-2,-1,-4,-1,-6,-2c2081,82,2079,81,2077,81v-11,,-18,5,-19,15hal2022,96hdxm2055,143v,5,2,8,5,10c2063,155,2067,156,2071,156v9,,16,-2,19,-8c2093,143,2095,134,2094,122v-2,2,-6,3,-10,3c2079,126,2075,127,2071,128v-4,1,-8,3,-11,5c2057,135,2055,138,2055,143xm2226,103v,-3,-1,-5,-2,-7c2223,94,2222,92,2220,91v-2,-2,-4,-3,-6,-4c2212,86,2209,86,2207,86v-5,,-10,1,-13,3c2191,91,2188,94,2187,97v-2,3,-3,7,-4,11c2183,112,2182,116,2182,120v,4,1,8,2,11c2184,135,2186,138,2188,141v1,3,4,5,7,7c2197,150,2201,151,2205,151v7,,12,-2,15,-6c2224,142,2226,137,2227,131v37,,37,,37,c2263,138,2261,145,2257,152v-3,6,-7,11,-12,15c2240,171,2234,174,2227,176v-7,3,-14,4,-22,4c2196,180,2188,178,2181,175v-8,-2,-14,-6,-19,-12c2156,158,2152,152,2149,145v-3,-8,-5,-16,-5,-25c2144,111,2146,102,2148,95v3,-8,7,-15,13,-20c2166,69,2172,65,2180,61v7,-3,16,-4,25,-4c2212,57,2219,58,2226,60v7,2,12,4,18,8c2249,72,2253,77,2256,83v4,5,6,12,6,20hal2226,103hdxm2316,46v-39,,-39,,-39,c2277,16,2277,16,2277,16v39,,39,,39,hal2316,46hdxm2277,60v39,,39,,39,c2316,176,2316,176,2316,176v-39,,-39,,-39,hal2277,60hdxm2337,16v38,,38,,38,c2375,176,2375,176,2375,176v-38,,-38,,-38,hal2337,16hdxm2435,46v-38,,-38,,-38,c2397,16,2397,16,2397,16v38,,38,,38,hal2435,46hdxm2397,60v38,,38,,38,c2435,176,2435,176,2435,176v-38,,-38,,-38,hal2397,60hdxm2526,85v-24,,-24,,-24,c2502,138,2502,138,2502,138v,4,1,7,4,9c2508,148,2512,149,2516,149v1,,3,,5,c2522,148,2524,148,2526,148v,28,,28,,28c2522,177,2519,177,2515,177v-3,,-7,1,-10,1c2497,178,2490,177,2485,175v-6,-1,-10,-3,-13,-6c2469,166,2467,161,2466,156v-1,-5,-2,-12,-2,-19c2464,85,2464,85,2464,85v-19,,-19,,-19,c2445,60,2445,60,2445,60v19,,19,,19,c2464,25,2464,25,2464,25v38,,38,,38,c2502,60,2502,60,2502,60v24,,24,,24,hal2526,85hdxm2535,96v,-8,2,-14,5,-19c2543,72,2548,68,2553,65v5,-3,11,-5,17,-6c2576,57,2583,57,2590,57v7,,13,,20,1c2616,59,2622,61,2627,64v5,3,9,7,12,12c2642,81,2644,88,2644,96v,51,,51,,51c2644,152,2644,157,2645,162v,5,1,10,3,14c2610,176,2610,176,2610,176v-1,-1,-1,-3,-1,-5c2608,169,2608,167,2608,165v-5,6,-11,9,-18,11c2584,179,2577,180,2570,180v-6,,-11,-1,-16,-2c2549,176,2545,174,2541,171v-3,-3,-6,-6,-8,-11c2531,156,2530,151,2530,145v,-7,1,-12,3,-16c2535,125,2538,121,2542,119v3,-3,7,-5,12,-7c2559,111,2563,110,2568,109v5,-1,10,-2,15,-3c2588,106,2593,105,2598,104v3,,5,-2,7,-3c2607,100,2608,97,2608,94v,-3,-1,-5,-2,-6c2605,86,2603,85,2601,84v-1,-1,-3,-1,-6,-2c2593,82,2591,81,2589,81v-11,,-17,5,-19,15hal2535,96hdxm2568,143v,5,2,8,5,10c2576,155,2580,156,2584,156v9,,15,-2,19,-8c2606,143,2608,134,2607,122v-2,2,-6,3,-10,3c2592,126,2588,127,2584,128v-5,1,-8,3,-11,5c2570,135,2568,138,2568,143xm2733,85v-24,,-24,,-24,c2709,138,2709,138,2709,138v,4,1,7,4,9c2715,148,2719,149,2723,149v1,,3,,5,c2729,148,2731,148,2733,148v,28,,28,,28c2729,177,2726,177,2722,177v-3,,-7,1,-10,1c2704,178,2697,177,2692,175v-6,-1,-10,-3,-13,-6c2676,166,2674,161,2673,156v-1,-5,-2,-12,-2,-19c2671,85,2671,85,2671,85v-19,,-19,,-19,c2652,60,2652,60,2652,60v19,,19,,19,c2671,25,2671,25,2671,25v38,,38,,38,c2709,60,2709,60,2709,60v24,,24,,24,hal2733,85hdxm2783,46v-38,,-38,,-38,c2745,16,2745,16,2745,16v38,,38,,38,hal2783,46hdxm2745,60v38,,38,,38,c2783,176,2783,176,2783,176v-38,,-38,,-38,hal2745,60hdxm2803,60v37,,37,,37,c2840,76,2840,76,2840,76v,,,,,c2842,73,2844,70,2847,68v3,-2,6,-4,9,-6c2859,60,2863,59,2866,58v4,-1,7,-1,11,-1c2887,57,2894,58,2900,61v5,4,10,7,12,12c2915,78,2917,82,2918,88v,5,1,10,1,14c2919,176,2919,176,2919,176v-38,,-38,,-38,c2881,120,2881,120,2881,120v,-4,,-8,,-11c2881,105,2880,101,2879,98v-1,-3,-3,-5,-6,-7c2871,89,2867,88,2862,88v-4,,-7,1,-10,2c2850,92,2848,94,2846,96v-2,2,-3,5,-4,8c2841,107,2841,110,2841,113v,63,,63,,63c2803,176,2803,176,2803,176hal2803,60hdxm3050,162v,5,,11,-1,17c3048,185,3045,191,3041,197v-3,5,-9,10,-17,14c3016,215,3006,217,2992,217v-7,,-13,,-20,-1c2966,215,2960,213,2955,210v-5,-2,-10,-6,-13,-11c2938,194,2936,188,2935,180v38,,38,,38,c2974,185,2976,188,2979,190v4,2,8,3,14,3c2998,193,3001,192,3004,190v3,-1,5,-3,6,-6c3012,182,3012,179,3013,176v,-4,,-7,,-11c3013,154,3013,154,3013,154v,,,,,c3009,160,3005,164,3000,167v-6,3,-12,4,-18,4c2973,171,2966,170,2959,167v-6,-3,-12,-7,-16,-12c2939,150,2936,144,2934,137v-2,-8,-3,-15,-3,-23c2931,106,2932,99,2934,92v2,-7,6,-13,10,-18c2948,69,2954,64,2960,61v6,-3,14,-4,22,-4c2996,57,3006,63,3013,75v1,,1,,1,c3014,60,3014,60,3014,60v36,,36,,36,hal3050,162hdxm3014,115v,-4,,-7,-1,-11c3012,101,3011,98,3009,95v-2,-3,-4,-5,-7,-7c2999,87,2995,86,2991,86v-4,,-8,1,-10,2c2978,90,2975,92,2974,95v-2,3,-3,6,-4,9c2969,108,2969,111,2969,115v,3,,7,1,10c2971,128,2972,131,2974,134v2,2,4,4,7,6c2984,142,2987,142,2991,142v4,,7,,10,-2c3004,139,3007,137,3008,134v2,-2,4,-5,5,-8c3014,122,3014,119,3014,115xm3199,v12,,12,,12,c3211,224,3211,224,3211,224v-12,,-12,,-12,hal3199,hdxm3365,60v37,,37,,37,c3402,81,3402,81,3402,81v,,,,,c3405,73,3410,67,3416,64v6,-4,13,-6,21,-6c3439,58,3440,58,3442,58v1,,3,,4,1c3446,94,3446,94,3446,94v-2,-1,-5,-2,-7,-2c3437,91,3434,91,3432,91v-5,,-9,1,-13,3c3416,95,3413,97,3410,100v-2,2,-4,5,-5,8c3404,112,3403,115,3403,119v,57,,57,,57c3365,176,3365,176,3365,176hal3365,60hdxm3481,128v,8,3,14,7,19c3493,152,3499,154,3507,154v5,,9,-1,13,-3c3524,149,3527,146,3529,141v35,,35,,35,c3563,148,3560,154,3556,159v-4,4,-8,8,-13,12c3537,174,3532,176,3526,178v-7,1,-13,2,-19,2c3497,180,3489,178,3481,176v-8,-3,-15,-7,-20,-12c3455,158,3451,152,3448,144v-3,-8,-5,-16,-5,-26c3443,109,3445,101,3448,93v3,-7,8,-14,13,-19c3467,69,3474,64,3482,61v7,-3,15,-4,24,-4c3516,57,3525,59,3533,62v8,4,14,9,19,15c3557,84,3561,91,3563,100v3,8,4,18,3,28hal3481,128hdxm3528,106v,-6,-2,-12,-6,-17c3517,85,3512,83,3506,83v-7,,-13,2,-17,6c3485,93,3482,99,3481,106hal3528,106hdxm3691,162v,5,,11,-1,17c3689,185,3686,191,3683,197v-4,5,-10,10,-18,14c3657,215,3647,217,3633,217v-7,,-13,,-20,-1c3607,215,3601,213,3596,210v-5,-2,-9,-6,-13,-11c3579,194,3577,188,3576,180v38,,38,,38,c3615,185,3617,188,3621,190v3,2,7,3,13,3c3639,193,3643,192,3645,190v3,-1,5,-3,6,-6c3653,182,3653,179,3654,176v,-4,,-7,,-11c3654,154,3654,154,3654,154v,,,,,c3651,160,3646,164,3641,167v-6,3,-12,4,-18,4c3614,171,3607,170,3600,167v-6,-3,-12,-7,-16,-12c3580,150,3577,144,3575,137v-2,-8,-3,-15,-3,-23c3572,106,3573,99,3575,92v3,-7,6,-13,10,-18c3590,69,3595,64,3601,61v7,-3,14,-4,22,-4c3637,57,3647,63,3654,75v1,,1,,1,c3655,60,3655,60,3655,60v36,,36,,36,hal3691,162hdxm3655,115v,-4,,-7,-1,-11c3653,101,3652,98,3650,95v-2,-3,-4,-5,-7,-7c3640,87,3636,86,3632,86v-4,,-7,1,-10,2c3619,90,3617,92,3615,95v-2,3,-3,6,-4,9c3610,108,3610,111,3610,115v,3,,7,1,10c3612,128,3613,131,3615,134v2,2,4,4,7,6c3625,142,3628,142,3632,142v4,,8,,10,-2c3645,139,3648,137,3650,134v1,-2,3,-5,4,-8c3655,122,3655,119,3655,115xm3825,176v-37,,-37,,-37,c3788,160,3788,160,3788,160v-1,,-1,,-1,c3784,166,3779,171,3772,175v-7,3,-13,5,-20,5c3743,180,3737,179,3731,176v-6,-2,-10,-5,-13,-10c3715,162,3712,157,3711,151v-1,-6,-2,-13,-2,-21c3709,60,3709,60,3709,60v38,,38,,38,c3747,128,3747,128,3747,128v,7,2,13,5,16c3755,147,3760,148,3766,148v2,,4,,6,-1c3775,147,3777,145,3779,143v2,-2,4,-5,5,-8c3786,132,3787,128,3787,122v,-62,,-62,,-62c3825,60,3825,60,3825,60hal3825,176hdxm3845,16v38,,38,,38,c3883,176,3883,176,3883,176v-38,,-38,,-38,hal3845,16hdxm3902,96v,-8,2,-14,5,-19c3911,72,3915,68,3920,65v5,-3,11,-5,17,-6c3944,57,3950,57,3957,57v7,,14,,20,1c3984,59,3989,61,3994,64v6,3,10,7,13,12c4010,81,4011,88,4011,96v,51,,51,,51c4011,152,4011,157,4012,162v,5,1,10,4,14c3977,176,3977,176,3977,176v,-1,-1,-3,-1,-5c3976,169,3975,167,3975,165v-5,6,-11,9,-17,11c3951,179,3944,180,3937,180v-6,,-11,-1,-16,-2c3916,176,3912,174,3909,171v-4,-3,-7,-6,-9,-11c3898,156,3897,151,3897,145v,-7,1,-12,3,-16c3902,125,3905,121,3909,119v3,-3,8,-5,12,-7c3926,111,3931,110,3936,109v5,-1,10,-2,15,-3c3956,106,3960,105,3965,104v3,,6,-2,7,-3c3974,100,3975,97,3975,94v,-3,-1,-5,-2,-6c3972,86,3970,85,3969,84v-2,-1,-4,-1,-6,-2c3961,82,3959,81,3957,81v-11,,-18,5,-19,15hal3902,96hdxm3935,143v,5,2,8,5,10c3943,155,3947,156,3951,156v9,,16,-2,19,-8c3973,143,3975,134,3975,122v-3,2,-7,3,-11,3c3959,126,3955,127,3951,128v-4,1,-8,3,-11,5c3937,135,3935,138,3935,143xm4100,85v-24,,-24,,-24,c4076,138,4076,138,4076,138v,4,2,7,4,9c4083,148,4086,149,4090,149v2,,3,,5,c4097,148,4098,148,4100,148v,28,,28,,28c4097,177,4093,177,4090,177v-4,,-7,1,-11,1c4071,178,4064,177,4059,175v-5,-1,-9,-3,-12,-6c4043,166,4041,161,4040,156v-1,-5,-2,-12,-2,-19c4038,85,4038,85,4038,85v-19,,-19,,-19,c4019,60,4019,60,4019,60v19,,19,,19,c4038,25,4038,25,4038,25v38,,38,,38,c4076,60,4076,60,4076,60v24,,24,,24,hal4100,85hdxm4150,46v-38,,-38,,-38,c4112,16,4112,16,4112,16v38,,38,,38,hal4150,46hdxm4112,60v38,,38,,38,c4150,176,4150,176,4150,176v-38,,-38,,-38,hal4112,60hdxm4170,60v37,,37,,37,c4207,76,4207,76,4207,76v1,,1,,1,c4209,73,4212,70,4214,68v3,-2,6,-4,9,-6c4227,60,4230,59,4234,58v3,-1,7,-1,10,-1c4254,57,4262,58,4267,61v6,4,10,7,13,12c4282,78,4284,82,4285,88v1,5,1,10,1,14c4286,176,4286,176,4286,176v-38,,-38,,-38,c4248,120,4248,120,4248,120v,-4,,-8,,-11c4248,105,4247,101,4246,98v-1,-3,-3,-5,-5,-7c4238,89,4234,88,4229,88v-4,,-7,1,-9,2c4217,92,4215,94,4213,96v-1,2,-3,5,-3,8c4209,107,4208,110,4208,113v,63,,63,,63c4170,176,4170,176,4170,176hal4170,60hdxm4417,162v,5,,11,-1,17c4415,185,4413,191,4409,197v-4,5,-10,10,-18,14c4384,215,4373,217,4359,217v-6,,-13,,-19,-1c4333,215,4327,213,4322,210v-5,-2,-9,-6,-13,-11c4306,194,4303,188,4302,180v38,,38,,38,c4341,185,4343,188,4347,190v3,2,8,3,14,3c4365,193,4369,192,4371,190v3,-1,5,-3,6,-6c4379,182,4380,179,4380,176v,-4,1,-7,1,-11c4381,154,4381,154,4381,154v-1,,-1,,-1,c4377,160,4372,164,4367,167v-6,3,-11,4,-18,4c4340,171,4333,170,4326,167v-6,-3,-11,-7,-15,-12c4306,150,4303,144,4301,137v-2,-8,-3,-15,-3,-23c4298,106,4299,99,4302,92v2,-7,5,-13,9,-18c4316,69,4321,64,4327,61v7,-3,14,-4,22,-4c4363,57,4374,63,4380,75v1,,1,,1,c4381,60,4381,60,4381,60v36,,36,,36,hal4417,162hdxm4381,115v,-4,,-7,-1,-11c4379,101,4378,98,4376,95v-2,-3,-4,-5,-7,-7c4366,87,4363,86,4358,86v-4,,-7,1,-10,2c4345,90,4343,92,4341,95v-2,3,-3,6,-4,9c4337,108,4336,111,4336,115v,3,1,7,1,10c4338,128,4340,131,4341,134v2,2,4,4,7,6c4351,142,4354,142,4358,142v4,,8,,11,-2c4372,139,4374,137,4376,134v2,-2,3,-5,4,-8c4381,122,4381,119,4381,115xe" fillcolor="#4d4d4f" stroked="f">
          <v:path arrowok="t"/>
          <o:lock v:ext="edit" verticies="t"/>
          <w10:wrap anchorx="page" anchory="page"/>
          <w10:anchorlock/>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Default="00E41F3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080" w:type="dxa"/>
      <w:tblLayout w:type="fixed"/>
      <w:tblCellMar>
        <w:left w:w="0" w:type="dxa"/>
        <w:right w:w="0" w:type="dxa"/>
      </w:tblCellMar>
      <w:tblLook w:val="01E0"/>
    </w:tblPr>
    <w:tblGrid>
      <w:gridCol w:w="6352"/>
      <w:gridCol w:w="1332"/>
      <w:gridCol w:w="396"/>
    </w:tblGrid>
    <w:tr w:rsidR="00E41F33" w:rsidRPr="00915B1C" w:rsidTr="002E4DDC">
      <w:tc>
        <w:tcPr>
          <w:tcW w:w="6352" w:type="dxa"/>
          <w:shd w:val="clear" w:color="auto" w:fill="auto"/>
        </w:tcPr>
        <w:p w:rsidR="00E41F33" w:rsidRPr="00915B1C" w:rsidRDefault="00E41F33" w:rsidP="00915B1C">
          <w:pPr>
            <w:pStyle w:val="Footer"/>
            <w:ind w:right="28"/>
            <w:jc w:val="right"/>
            <w:rPr>
              <w:sz w:val="2"/>
              <w:szCs w:val="2"/>
            </w:rPr>
          </w:pPr>
        </w:p>
      </w:tc>
      <w:tc>
        <w:tcPr>
          <w:tcW w:w="1332" w:type="dxa"/>
          <w:tcBorders>
            <w:top w:val="single" w:sz="2" w:space="0" w:color="505050"/>
          </w:tcBorders>
          <w:shd w:val="clear" w:color="auto" w:fill="auto"/>
        </w:tcPr>
        <w:p w:rsidR="00E41F33" w:rsidRPr="00915B1C" w:rsidRDefault="00E41F33" w:rsidP="00915B1C">
          <w:pPr>
            <w:pStyle w:val="Footer"/>
            <w:ind w:right="28"/>
            <w:jc w:val="right"/>
            <w:rPr>
              <w:sz w:val="2"/>
              <w:szCs w:val="2"/>
            </w:rPr>
          </w:pPr>
        </w:p>
      </w:tc>
      <w:tc>
        <w:tcPr>
          <w:tcW w:w="396" w:type="dxa"/>
          <w:shd w:val="clear" w:color="auto" w:fill="auto"/>
        </w:tcPr>
        <w:p w:rsidR="00E41F33" w:rsidRPr="00915B1C" w:rsidRDefault="00E41F33" w:rsidP="00332011">
          <w:pPr>
            <w:pStyle w:val="Footer"/>
            <w:rPr>
              <w:sz w:val="2"/>
              <w:szCs w:val="2"/>
            </w:rPr>
          </w:pPr>
        </w:p>
      </w:tc>
    </w:tr>
    <w:tr w:rsidR="00E41F33" w:rsidRPr="002E4DDC" w:rsidTr="00915B1C">
      <w:tc>
        <w:tcPr>
          <w:tcW w:w="7684" w:type="dxa"/>
          <w:gridSpan w:val="2"/>
          <w:shd w:val="clear" w:color="auto" w:fill="auto"/>
        </w:tcPr>
        <w:p w:rsidR="00E41F33" w:rsidRPr="002E4DDC" w:rsidRDefault="00E41F33" w:rsidP="00915B1C">
          <w:pPr>
            <w:pStyle w:val="Footer"/>
            <w:ind w:right="28"/>
            <w:jc w:val="right"/>
            <w:rPr>
              <w:color w:val="505050"/>
            </w:rPr>
          </w:pPr>
          <w:r w:rsidRPr="002E4DDC">
            <w:rPr>
              <w:color w:val="505050"/>
            </w:rPr>
            <w:t xml:space="preserve">   </w:t>
          </w:r>
          <w:r w:rsidRPr="00821A88">
            <w:rPr>
              <w:rFonts w:ascii="HelveticaNeueLT Std Med" w:hAnsi="HelveticaNeueLT Std Med"/>
              <w:b/>
              <w:noProof/>
              <w:color w:val="505050"/>
              <w:spacing w:val="-16"/>
              <w:sz w:val="20"/>
              <w:szCs w:val="20"/>
            </w:rPr>
            <w:t>a</w:t>
          </w:r>
          <w:r w:rsidRPr="00AE091D">
            <w:rPr>
              <w:rFonts w:ascii="HelveticaNeueLT Std Med" w:hAnsi="HelveticaNeueLT Std Med"/>
              <w:b/>
              <w:noProof/>
              <w:color w:val="505050"/>
              <w:spacing w:val="-15"/>
              <w:sz w:val="20"/>
              <w:szCs w:val="20"/>
            </w:rPr>
            <w:t>c</w:t>
          </w:r>
          <w:r w:rsidRPr="00821A88">
            <w:rPr>
              <w:rFonts w:ascii="HelveticaNeueLT Std Med" w:hAnsi="HelveticaNeueLT Std Med"/>
              <w:b/>
              <w:noProof/>
              <w:color w:val="505050"/>
              <w:spacing w:val="-16"/>
              <w:sz w:val="20"/>
              <w:szCs w:val="20"/>
            </w:rPr>
            <w:t>m</w:t>
          </w:r>
          <w:r w:rsidRPr="00FD2C2F">
            <w:rPr>
              <w:rFonts w:ascii="HelveticaNeueLT Std Med" w:hAnsi="HelveticaNeueLT Std Med"/>
              <w:b/>
              <w:noProof/>
              <w:color w:val="505050"/>
              <w:spacing w:val="-14"/>
              <w:sz w:val="20"/>
              <w:szCs w:val="20"/>
            </w:rPr>
            <w:t>a</w:t>
          </w:r>
          <w:r w:rsidRPr="002E4DDC">
            <w:rPr>
              <w:color w:val="505050"/>
            </w:rPr>
            <w:t xml:space="preserve">   |   </w:t>
          </w:r>
          <w:r w:rsidR="00421002" w:rsidRPr="002E4DDC">
            <w:rPr>
              <w:color w:val="505050"/>
            </w:rPr>
            <w:fldChar w:fldCharType="begin"/>
          </w:r>
          <w:r w:rsidRPr="002E4DDC">
            <w:rPr>
              <w:color w:val="505050"/>
            </w:rPr>
            <w:instrText xml:space="preserve"> PAGE  \* roman  \* MERGEFORMAT </w:instrText>
          </w:r>
          <w:r w:rsidR="00421002" w:rsidRPr="002E4DDC">
            <w:rPr>
              <w:color w:val="505050"/>
            </w:rPr>
            <w:fldChar w:fldCharType="separate"/>
          </w:r>
          <w:r w:rsidR="00AF7ED8">
            <w:rPr>
              <w:noProof/>
              <w:color w:val="505050"/>
            </w:rPr>
            <w:t>iii</w:t>
          </w:r>
          <w:r w:rsidR="00421002" w:rsidRPr="002E4DDC">
            <w:rPr>
              <w:color w:val="505050"/>
            </w:rPr>
            <w:fldChar w:fldCharType="end"/>
          </w:r>
        </w:p>
      </w:tc>
      <w:tc>
        <w:tcPr>
          <w:tcW w:w="396" w:type="dxa"/>
          <w:shd w:val="clear" w:color="auto" w:fill="auto"/>
        </w:tcPr>
        <w:p w:rsidR="00E41F33" w:rsidRPr="002E4DDC" w:rsidRDefault="00E41F33" w:rsidP="00332011">
          <w:pPr>
            <w:pStyle w:val="Footer"/>
            <w:rPr>
              <w:color w:val="505050"/>
            </w:rPr>
          </w:pPr>
        </w:p>
      </w:tc>
    </w:tr>
  </w:tbl>
  <w:p w:rsidR="00E41F33" w:rsidRDefault="00E41F3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663" w:type="dxa"/>
      <w:tblLayout w:type="fixed"/>
      <w:tblCellMar>
        <w:left w:w="0" w:type="dxa"/>
        <w:right w:w="0" w:type="dxa"/>
      </w:tblCellMar>
      <w:tblLook w:val="01E0"/>
    </w:tblPr>
    <w:tblGrid>
      <w:gridCol w:w="1311"/>
      <w:gridCol w:w="6352"/>
    </w:tblGrid>
    <w:tr w:rsidR="00E41F33" w:rsidRPr="00915B1C" w:rsidTr="00B22EB2">
      <w:tc>
        <w:tcPr>
          <w:tcW w:w="1311" w:type="dxa"/>
          <w:tcBorders>
            <w:top w:val="single" w:sz="2" w:space="0" w:color="505050"/>
          </w:tcBorders>
          <w:shd w:val="clear" w:color="auto" w:fill="auto"/>
        </w:tcPr>
        <w:p w:rsidR="00E41F33" w:rsidRPr="00915B1C" w:rsidRDefault="00E41F33" w:rsidP="00332011">
          <w:pPr>
            <w:pStyle w:val="Footer"/>
            <w:rPr>
              <w:sz w:val="2"/>
              <w:szCs w:val="2"/>
            </w:rPr>
          </w:pPr>
        </w:p>
      </w:tc>
      <w:tc>
        <w:tcPr>
          <w:tcW w:w="6352" w:type="dxa"/>
          <w:shd w:val="clear" w:color="auto" w:fill="auto"/>
        </w:tcPr>
        <w:p w:rsidR="00E41F33" w:rsidRPr="00915B1C" w:rsidRDefault="00E41F33" w:rsidP="00332011">
          <w:pPr>
            <w:pStyle w:val="Footer"/>
            <w:rPr>
              <w:sz w:val="2"/>
              <w:szCs w:val="2"/>
            </w:rPr>
          </w:pPr>
        </w:p>
      </w:tc>
    </w:tr>
    <w:tr w:rsidR="00E41F33" w:rsidRPr="002E4DDC" w:rsidTr="00B22EB2">
      <w:tc>
        <w:tcPr>
          <w:tcW w:w="7663" w:type="dxa"/>
          <w:gridSpan w:val="2"/>
          <w:shd w:val="clear" w:color="auto" w:fill="auto"/>
        </w:tcPr>
        <w:p w:rsidR="00E41F33" w:rsidRPr="002E4DDC" w:rsidRDefault="00421002" w:rsidP="00332011">
          <w:pPr>
            <w:pStyle w:val="Footer"/>
            <w:rPr>
              <w:color w:val="505050"/>
            </w:rPr>
          </w:pPr>
          <w:r w:rsidRPr="002E4DDC">
            <w:rPr>
              <w:color w:val="505050"/>
            </w:rPr>
            <w:fldChar w:fldCharType="begin"/>
          </w:r>
          <w:r w:rsidR="00E41F33" w:rsidRPr="002E4DDC">
            <w:rPr>
              <w:color w:val="505050"/>
            </w:rPr>
            <w:instrText xml:space="preserve"> PAGE  \* roman  \* MERGEFORMAT </w:instrText>
          </w:r>
          <w:r w:rsidRPr="002E4DDC">
            <w:rPr>
              <w:color w:val="505050"/>
            </w:rPr>
            <w:fldChar w:fldCharType="separate"/>
          </w:r>
          <w:r w:rsidR="00AF7ED8">
            <w:rPr>
              <w:noProof/>
              <w:color w:val="505050"/>
            </w:rPr>
            <w:t>vi</w:t>
          </w:r>
          <w:r w:rsidRPr="002E4DDC">
            <w:rPr>
              <w:color w:val="505050"/>
            </w:rPr>
            <w:fldChar w:fldCharType="end"/>
          </w:r>
          <w:r w:rsidR="00E41F33" w:rsidRPr="002E4DDC">
            <w:rPr>
              <w:color w:val="505050"/>
            </w:rPr>
            <w:t xml:space="preserve">   |   </w:t>
          </w:r>
          <w:r w:rsidR="00E41F33" w:rsidRPr="00821A88">
            <w:rPr>
              <w:rFonts w:ascii="HelveticaNeueLT Std Med" w:hAnsi="HelveticaNeueLT Std Med"/>
              <w:b/>
              <w:noProof/>
              <w:color w:val="505050"/>
              <w:spacing w:val="-16"/>
              <w:sz w:val="20"/>
              <w:szCs w:val="20"/>
            </w:rPr>
            <w:t>a</w:t>
          </w:r>
          <w:r w:rsidR="00E41F33" w:rsidRPr="00AE091D">
            <w:rPr>
              <w:rFonts w:ascii="HelveticaNeueLT Std Med" w:hAnsi="HelveticaNeueLT Std Med"/>
              <w:b/>
              <w:noProof/>
              <w:color w:val="505050"/>
              <w:spacing w:val="-15"/>
              <w:sz w:val="20"/>
              <w:szCs w:val="20"/>
            </w:rPr>
            <w:t>c</w:t>
          </w:r>
          <w:r w:rsidR="00E41F33" w:rsidRPr="00821A88">
            <w:rPr>
              <w:rFonts w:ascii="HelveticaNeueLT Std Med" w:hAnsi="HelveticaNeueLT Std Med"/>
              <w:b/>
              <w:noProof/>
              <w:color w:val="505050"/>
              <w:spacing w:val="-16"/>
              <w:sz w:val="20"/>
              <w:szCs w:val="20"/>
            </w:rPr>
            <w:t>m</w:t>
          </w:r>
          <w:r w:rsidR="00E41F33" w:rsidRPr="00FD2C2F">
            <w:rPr>
              <w:rFonts w:ascii="HelveticaNeueLT Std Med" w:hAnsi="HelveticaNeueLT Std Med"/>
              <w:b/>
              <w:noProof/>
              <w:color w:val="505050"/>
              <w:spacing w:val="-14"/>
              <w:sz w:val="20"/>
              <w:szCs w:val="20"/>
            </w:rPr>
            <w:t>a</w:t>
          </w:r>
          <w:r w:rsidR="00E41F33" w:rsidRPr="002E4DDC">
            <w:rPr>
              <w:color w:val="505050"/>
            </w:rPr>
            <w:t xml:space="preserve">  </w:t>
          </w:r>
        </w:p>
      </w:tc>
    </w:tr>
  </w:tbl>
  <w:p w:rsidR="00E41F33" w:rsidRDefault="00E41F3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080" w:type="dxa"/>
      <w:tblLayout w:type="fixed"/>
      <w:tblCellMar>
        <w:left w:w="0" w:type="dxa"/>
        <w:right w:w="0" w:type="dxa"/>
      </w:tblCellMar>
      <w:tblLook w:val="01E0"/>
    </w:tblPr>
    <w:tblGrid>
      <w:gridCol w:w="6352"/>
      <w:gridCol w:w="1332"/>
      <w:gridCol w:w="396"/>
    </w:tblGrid>
    <w:tr w:rsidR="00E41F33" w:rsidRPr="00915B1C" w:rsidTr="002E4DDC">
      <w:tc>
        <w:tcPr>
          <w:tcW w:w="6352" w:type="dxa"/>
          <w:shd w:val="clear" w:color="auto" w:fill="auto"/>
        </w:tcPr>
        <w:p w:rsidR="00E41F33" w:rsidRPr="00915B1C" w:rsidRDefault="00E41F33" w:rsidP="00915B1C">
          <w:pPr>
            <w:pStyle w:val="Footer"/>
            <w:ind w:right="28"/>
            <w:jc w:val="right"/>
            <w:rPr>
              <w:sz w:val="2"/>
              <w:szCs w:val="2"/>
            </w:rPr>
          </w:pPr>
        </w:p>
      </w:tc>
      <w:tc>
        <w:tcPr>
          <w:tcW w:w="1332" w:type="dxa"/>
          <w:tcBorders>
            <w:top w:val="single" w:sz="2" w:space="0" w:color="505050"/>
          </w:tcBorders>
          <w:shd w:val="clear" w:color="auto" w:fill="auto"/>
        </w:tcPr>
        <w:p w:rsidR="00E41F33" w:rsidRPr="00915B1C" w:rsidRDefault="00E41F33" w:rsidP="00915B1C">
          <w:pPr>
            <w:pStyle w:val="Footer"/>
            <w:ind w:right="28"/>
            <w:jc w:val="right"/>
            <w:rPr>
              <w:sz w:val="2"/>
              <w:szCs w:val="2"/>
            </w:rPr>
          </w:pPr>
        </w:p>
      </w:tc>
      <w:tc>
        <w:tcPr>
          <w:tcW w:w="396" w:type="dxa"/>
          <w:shd w:val="clear" w:color="auto" w:fill="auto"/>
        </w:tcPr>
        <w:p w:rsidR="00E41F33" w:rsidRPr="00915B1C" w:rsidRDefault="00E41F33" w:rsidP="00332011">
          <w:pPr>
            <w:pStyle w:val="Footer"/>
            <w:rPr>
              <w:sz w:val="2"/>
              <w:szCs w:val="2"/>
            </w:rPr>
          </w:pPr>
        </w:p>
      </w:tc>
    </w:tr>
    <w:tr w:rsidR="00E41F33" w:rsidRPr="002E4DDC" w:rsidTr="00915B1C">
      <w:tc>
        <w:tcPr>
          <w:tcW w:w="7684" w:type="dxa"/>
          <w:gridSpan w:val="2"/>
          <w:shd w:val="clear" w:color="auto" w:fill="auto"/>
        </w:tcPr>
        <w:p w:rsidR="00E41F33" w:rsidRPr="002E4DDC" w:rsidRDefault="00E41F33" w:rsidP="00915B1C">
          <w:pPr>
            <w:pStyle w:val="Footer"/>
            <w:ind w:right="28"/>
            <w:jc w:val="right"/>
            <w:rPr>
              <w:color w:val="505050"/>
            </w:rPr>
          </w:pPr>
          <w:r w:rsidRPr="002E4DDC">
            <w:rPr>
              <w:color w:val="505050"/>
            </w:rPr>
            <w:t xml:space="preserve">   </w:t>
          </w:r>
          <w:r w:rsidRPr="00821A88">
            <w:rPr>
              <w:rFonts w:ascii="HelveticaNeueLT Std Med" w:hAnsi="HelveticaNeueLT Std Med"/>
              <w:b/>
              <w:noProof/>
              <w:color w:val="505050"/>
              <w:spacing w:val="-16"/>
              <w:sz w:val="20"/>
              <w:szCs w:val="20"/>
            </w:rPr>
            <w:t>a</w:t>
          </w:r>
          <w:r w:rsidRPr="00AE091D">
            <w:rPr>
              <w:rFonts w:ascii="HelveticaNeueLT Std Med" w:hAnsi="HelveticaNeueLT Std Med"/>
              <w:b/>
              <w:noProof/>
              <w:color w:val="505050"/>
              <w:spacing w:val="-15"/>
              <w:sz w:val="20"/>
              <w:szCs w:val="20"/>
            </w:rPr>
            <w:t>c</w:t>
          </w:r>
          <w:r w:rsidRPr="00821A88">
            <w:rPr>
              <w:rFonts w:ascii="HelveticaNeueLT Std Med" w:hAnsi="HelveticaNeueLT Std Med"/>
              <w:b/>
              <w:noProof/>
              <w:color w:val="505050"/>
              <w:spacing w:val="-16"/>
              <w:sz w:val="20"/>
              <w:szCs w:val="20"/>
            </w:rPr>
            <w:t>m</w:t>
          </w:r>
          <w:r w:rsidRPr="00FD2C2F">
            <w:rPr>
              <w:rFonts w:ascii="HelveticaNeueLT Std Med" w:hAnsi="HelveticaNeueLT Std Med"/>
              <w:b/>
              <w:noProof/>
              <w:color w:val="505050"/>
              <w:spacing w:val="-14"/>
              <w:sz w:val="20"/>
              <w:szCs w:val="20"/>
            </w:rPr>
            <w:t>a</w:t>
          </w:r>
          <w:r w:rsidRPr="002E4DDC">
            <w:rPr>
              <w:color w:val="505050"/>
            </w:rPr>
            <w:t xml:space="preserve">   |   </w:t>
          </w:r>
          <w:r w:rsidR="00421002" w:rsidRPr="002E4DDC">
            <w:rPr>
              <w:color w:val="505050"/>
            </w:rPr>
            <w:fldChar w:fldCharType="begin"/>
          </w:r>
          <w:r w:rsidRPr="002E4DDC">
            <w:rPr>
              <w:color w:val="505050"/>
            </w:rPr>
            <w:instrText xml:space="preserve"> PAGE  \* roman  \* MERGEFORMAT </w:instrText>
          </w:r>
          <w:r w:rsidR="00421002" w:rsidRPr="002E4DDC">
            <w:rPr>
              <w:color w:val="505050"/>
            </w:rPr>
            <w:fldChar w:fldCharType="separate"/>
          </w:r>
          <w:r w:rsidR="00465B4B">
            <w:rPr>
              <w:noProof/>
              <w:color w:val="505050"/>
            </w:rPr>
            <w:t>ix</w:t>
          </w:r>
          <w:r w:rsidR="00421002" w:rsidRPr="002E4DDC">
            <w:rPr>
              <w:color w:val="505050"/>
            </w:rPr>
            <w:fldChar w:fldCharType="end"/>
          </w:r>
        </w:p>
      </w:tc>
      <w:tc>
        <w:tcPr>
          <w:tcW w:w="396" w:type="dxa"/>
          <w:shd w:val="clear" w:color="auto" w:fill="auto"/>
        </w:tcPr>
        <w:p w:rsidR="00E41F33" w:rsidRPr="002E4DDC" w:rsidRDefault="00E41F33" w:rsidP="00332011">
          <w:pPr>
            <w:pStyle w:val="Footer"/>
            <w:rPr>
              <w:color w:val="505050"/>
            </w:rPr>
          </w:pPr>
        </w:p>
      </w:tc>
    </w:tr>
  </w:tbl>
  <w:p w:rsidR="00E41F33" w:rsidRDefault="00E41F3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684" w:type="dxa"/>
      <w:tblLayout w:type="fixed"/>
      <w:tblCellMar>
        <w:left w:w="0" w:type="dxa"/>
        <w:right w:w="0" w:type="dxa"/>
      </w:tblCellMar>
      <w:tblLook w:val="01E0"/>
    </w:tblPr>
    <w:tblGrid>
      <w:gridCol w:w="6352"/>
      <w:gridCol w:w="1332"/>
    </w:tblGrid>
    <w:tr w:rsidR="00E41F33" w:rsidRPr="00915B1C" w:rsidTr="00B22EB2">
      <w:tc>
        <w:tcPr>
          <w:tcW w:w="6352" w:type="dxa"/>
          <w:shd w:val="clear" w:color="auto" w:fill="auto"/>
        </w:tcPr>
        <w:p w:rsidR="00E41F33" w:rsidRPr="00915B1C" w:rsidRDefault="00E41F33" w:rsidP="00915B1C">
          <w:pPr>
            <w:pStyle w:val="Footer"/>
            <w:ind w:right="28"/>
            <w:jc w:val="right"/>
            <w:rPr>
              <w:sz w:val="2"/>
              <w:szCs w:val="2"/>
            </w:rPr>
          </w:pPr>
        </w:p>
      </w:tc>
      <w:tc>
        <w:tcPr>
          <w:tcW w:w="1332" w:type="dxa"/>
          <w:tcBorders>
            <w:top w:val="single" w:sz="2" w:space="0" w:color="505050"/>
          </w:tcBorders>
          <w:shd w:val="clear" w:color="auto" w:fill="auto"/>
        </w:tcPr>
        <w:p w:rsidR="00E41F33" w:rsidRPr="00915B1C" w:rsidRDefault="00E41F33" w:rsidP="00915B1C">
          <w:pPr>
            <w:pStyle w:val="Footer"/>
            <w:ind w:right="28"/>
            <w:jc w:val="right"/>
            <w:rPr>
              <w:sz w:val="2"/>
              <w:szCs w:val="2"/>
            </w:rPr>
          </w:pPr>
        </w:p>
      </w:tc>
    </w:tr>
    <w:tr w:rsidR="00E41F33" w:rsidRPr="002E4DDC" w:rsidTr="00B22EB2">
      <w:tc>
        <w:tcPr>
          <w:tcW w:w="7684" w:type="dxa"/>
          <w:gridSpan w:val="2"/>
          <w:shd w:val="clear" w:color="auto" w:fill="auto"/>
        </w:tcPr>
        <w:p w:rsidR="00E41F33" w:rsidRPr="002E4DDC" w:rsidRDefault="00E41F33" w:rsidP="00915B1C">
          <w:pPr>
            <w:pStyle w:val="Footer"/>
            <w:ind w:right="28"/>
            <w:jc w:val="right"/>
            <w:rPr>
              <w:color w:val="505050"/>
            </w:rPr>
          </w:pPr>
          <w:r w:rsidRPr="002E4DDC">
            <w:rPr>
              <w:color w:val="505050"/>
            </w:rPr>
            <w:t xml:space="preserve">   </w:t>
          </w:r>
          <w:r w:rsidRPr="00821A88">
            <w:rPr>
              <w:rFonts w:ascii="HelveticaNeueLT Std Med" w:hAnsi="HelveticaNeueLT Std Med"/>
              <w:b/>
              <w:noProof/>
              <w:color w:val="505050"/>
              <w:spacing w:val="-16"/>
              <w:sz w:val="20"/>
              <w:szCs w:val="20"/>
            </w:rPr>
            <w:t>a</w:t>
          </w:r>
          <w:r w:rsidRPr="00AE091D">
            <w:rPr>
              <w:rFonts w:ascii="HelveticaNeueLT Std Med" w:hAnsi="HelveticaNeueLT Std Med"/>
              <w:b/>
              <w:noProof/>
              <w:color w:val="505050"/>
              <w:spacing w:val="-15"/>
              <w:sz w:val="20"/>
              <w:szCs w:val="20"/>
            </w:rPr>
            <w:t>c</w:t>
          </w:r>
          <w:r w:rsidRPr="00821A88">
            <w:rPr>
              <w:rFonts w:ascii="HelveticaNeueLT Std Med" w:hAnsi="HelveticaNeueLT Std Med"/>
              <w:b/>
              <w:noProof/>
              <w:color w:val="505050"/>
              <w:spacing w:val="-16"/>
              <w:sz w:val="20"/>
              <w:szCs w:val="20"/>
            </w:rPr>
            <w:t>m</w:t>
          </w:r>
          <w:r w:rsidRPr="00FD2C2F">
            <w:rPr>
              <w:rFonts w:ascii="HelveticaNeueLT Std Med" w:hAnsi="HelveticaNeueLT Std Med"/>
              <w:b/>
              <w:noProof/>
              <w:color w:val="505050"/>
              <w:spacing w:val="-14"/>
              <w:sz w:val="20"/>
              <w:szCs w:val="20"/>
            </w:rPr>
            <w:t>a</w:t>
          </w:r>
          <w:r w:rsidRPr="00906F40">
            <w:rPr>
              <w:rFonts w:ascii="HelveticaNeueLT Std" w:hAnsi="HelveticaNeueLT Std"/>
              <w:color w:val="505050"/>
            </w:rPr>
            <w:t xml:space="preserve"> </w:t>
          </w:r>
          <w:r w:rsidRPr="002E4DDC">
            <w:rPr>
              <w:color w:val="505050"/>
            </w:rPr>
            <w:t xml:space="preserve">  |   </w:t>
          </w:r>
          <w:r w:rsidR="00421002" w:rsidRPr="002E4DDC">
            <w:rPr>
              <w:color w:val="505050"/>
            </w:rPr>
            <w:fldChar w:fldCharType="begin"/>
          </w:r>
          <w:r w:rsidRPr="002E4DDC">
            <w:rPr>
              <w:color w:val="505050"/>
            </w:rPr>
            <w:instrText xml:space="preserve"> PAGE  \* roman  \* MERGEFORMAT </w:instrText>
          </w:r>
          <w:r w:rsidR="00421002" w:rsidRPr="002E4DDC">
            <w:rPr>
              <w:color w:val="505050"/>
            </w:rPr>
            <w:fldChar w:fldCharType="separate"/>
          </w:r>
          <w:r w:rsidR="00AF7ED8">
            <w:rPr>
              <w:noProof/>
              <w:color w:val="505050"/>
            </w:rPr>
            <w:t>v</w:t>
          </w:r>
          <w:r w:rsidR="00421002" w:rsidRPr="002E4DDC">
            <w:rPr>
              <w:color w:val="505050"/>
            </w:rPr>
            <w:fldChar w:fldCharType="end"/>
          </w:r>
        </w:p>
      </w:tc>
    </w:tr>
  </w:tbl>
  <w:p w:rsidR="00E41F33" w:rsidRDefault="00E41F3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692" w:type="dxa"/>
      <w:tblLayout w:type="fixed"/>
      <w:tblCellMar>
        <w:left w:w="0" w:type="dxa"/>
        <w:right w:w="0" w:type="dxa"/>
      </w:tblCellMar>
      <w:tblLook w:val="01E0"/>
    </w:tblPr>
    <w:tblGrid>
      <w:gridCol w:w="1311"/>
      <w:gridCol w:w="6381"/>
    </w:tblGrid>
    <w:tr w:rsidR="00E41F33" w:rsidRPr="00915B1C" w:rsidTr="00D61006">
      <w:tc>
        <w:tcPr>
          <w:tcW w:w="1311" w:type="dxa"/>
          <w:tcBorders>
            <w:top w:val="single" w:sz="2" w:space="0" w:color="auto"/>
          </w:tcBorders>
          <w:shd w:val="clear" w:color="auto" w:fill="auto"/>
        </w:tcPr>
        <w:p w:rsidR="00E41F33" w:rsidRPr="00915B1C" w:rsidRDefault="00E41F33" w:rsidP="00D61006">
          <w:pPr>
            <w:pStyle w:val="Footer"/>
            <w:rPr>
              <w:sz w:val="2"/>
              <w:szCs w:val="2"/>
            </w:rPr>
          </w:pPr>
        </w:p>
      </w:tc>
      <w:tc>
        <w:tcPr>
          <w:tcW w:w="6381" w:type="dxa"/>
          <w:shd w:val="clear" w:color="auto" w:fill="auto"/>
        </w:tcPr>
        <w:p w:rsidR="00E41F33" w:rsidRPr="00915B1C" w:rsidRDefault="00E41F33" w:rsidP="00D61006">
          <w:pPr>
            <w:pStyle w:val="Footer"/>
            <w:rPr>
              <w:sz w:val="2"/>
              <w:szCs w:val="2"/>
            </w:rPr>
          </w:pPr>
        </w:p>
      </w:tc>
    </w:tr>
    <w:tr w:rsidR="00E41F33" w:rsidTr="00D61006">
      <w:tc>
        <w:tcPr>
          <w:tcW w:w="7692" w:type="dxa"/>
          <w:gridSpan w:val="2"/>
          <w:shd w:val="clear" w:color="auto" w:fill="auto"/>
        </w:tcPr>
        <w:p w:rsidR="00E41F33" w:rsidRPr="00575AC5" w:rsidRDefault="00421002" w:rsidP="00D61006">
          <w:pPr>
            <w:pStyle w:val="Footer"/>
            <w:rPr>
              <w:color w:val="505050"/>
            </w:rPr>
          </w:pPr>
          <w:r w:rsidRPr="00575AC5">
            <w:rPr>
              <w:color w:val="505050"/>
            </w:rPr>
            <w:fldChar w:fldCharType="begin"/>
          </w:r>
          <w:r w:rsidR="00E41F33" w:rsidRPr="00575AC5">
            <w:rPr>
              <w:color w:val="505050"/>
            </w:rPr>
            <w:instrText xml:space="preserve"> PAGE  \* Arabic  \* MERGEFORMAT </w:instrText>
          </w:r>
          <w:r w:rsidRPr="00575AC5">
            <w:rPr>
              <w:color w:val="505050"/>
            </w:rPr>
            <w:fldChar w:fldCharType="separate"/>
          </w:r>
          <w:r w:rsidR="00AF7ED8">
            <w:rPr>
              <w:noProof/>
              <w:color w:val="505050"/>
            </w:rPr>
            <w:t>116</w:t>
          </w:r>
          <w:r w:rsidRPr="00575AC5">
            <w:rPr>
              <w:color w:val="505050"/>
            </w:rPr>
            <w:fldChar w:fldCharType="end"/>
          </w:r>
          <w:r w:rsidR="00E41F33" w:rsidRPr="00575AC5">
            <w:rPr>
              <w:color w:val="505050"/>
            </w:rPr>
            <w:t xml:space="preserve">   |   </w:t>
          </w:r>
          <w:r w:rsidR="00E41F33" w:rsidRPr="00821A88">
            <w:rPr>
              <w:rFonts w:ascii="HelveticaNeueLT Std Med" w:hAnsi="HelveticaNeueLT Std Med"/>
              <w:b/>
              <w:noProof/>
              <w:color w:val="505050"/>
              <w:spacing w:val="-16"/>
              <w:sz w:val="20"/>
              <w:szCs w:val="20"/>
            </w:rPr>
            <w:t>a</w:t>
          </w:r>
          <w:r w:rsidR="00E41F33" w:rsidRPr="00AE091D">
            <w:rPr>
              <w:rFonts w:ascii="HelveticaNeueLT Std Med" w:hAnsi="HelveticaNeueLT Std Med"/>
              <w:b/>
              <w:noProof/>
              <w:color w:val="505050"/>
              <w:spacing w:val="-15"/>
              <w:sz w:val="20"/>
              <w:szCs w:val="20"/>
            </w:rPr>
            <w:t>c</w:t>
          </w:r>
          <w:r w:rsidR="00E41F33" w:rsidRPr="00821A88">
            <w:rPr>
              <w:rFonts w:ascii="HelveticaNeueLT Std Med" w:hAnsi="HelveticaNeueLT Std Med"/>
              <w:b/>
              <w:noProof/>
              <w:color w:val="505050"/>
              <w:spacing w:val="-16"/>
              <w:sz w:val="20"/>
              <w:szCs w:val="20"/>
            </w:rPr>
            <w:t>m</w:t>
          </w:r>
          <w:r w:rsidR="00E41F33" w:rsidRPr="00FD2C2F">
            <w:rPr>
              <w:rFonts w:ascii="HelveticaNeueLT Std Med" w:hAnsi="HelveticaNeueLT Std Med"/>
              <w:b/>
              <w:noProof/>
              <w:color w:val="505050"/>
              <w:spacing w:val="-14"/>
              <w:sz w:val="20"/>
              <w:szCs w:val="20"/>
            </w:rPr>
            <w:t>a</w:t>
          </w:r>
          <w:r w:rsidR="00E41F33" w:rsidRPr="00575AC5">
            <w:rPr>
              <w:color w:val="505050"/>
            </w:rPr>
            <w:t xml:space="preserve">  </w:t>
          </w:r>
        </w:p>
      </w:tc>
    </w:tr>
  </w:tbl>
  <w:p w:rsidR="00E41F33" w:rsidRDefault="00E41F33">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683" w:type="dxa"/>
      <w:tblLayout w:type="fixed"/>
      <w:tblCellMar>
        <w:left w:w="0" w:type="dxa"/>
        <w:right w:w="0" w:type="dxa"/>
      </w:tblCellMar>
      <w:tblLook w:val="01E0"/>
    </w:tblPr>
    <w:tblGrid>
      <w:gridCol w:w="6355"/>
      <w:gridCol w:w="1328"/>
    </w:tblGrid>
    <w:tr w:rsidR="00E41F33" w:rsidRPr="00915B1C" w:rsidTr="00915B1C">
      <w:tc>
        <w:tcPr>
          <w:tcW w:w="6355" w:type="dxa"/>
          <w:shd w:val="clear" w:color="auto" w:fill="auto"/>
        </w:tcPr>
        <w:p w:rsidR="00E41F33" w:rsidRPr="00915B1C" w:rsidRDefault="00E41F33" w:rsidP="00915B1C">
          <w:pPr>
            <w:pStyle w:val="Footer"/>
            <w:ind w:right="28"/>
            <w:jc w:val="right"/>
            <w:rPr>
              <w:sz w:val="2"/>
              <w:szCs w:val="2"/>
            </w:rPr>
          </w:pPr>
        </w:p>
      </w:tc>
      <w:tc>
        <w:tcPr>
          <w:tcW w:w="1328" w:type="dxa"/>
          <w:tcBorders>
            <w:top w:val="single" w:sz="2" w:space="0" w:color="auto"/>
          </w:tcBorders>
          <w:shd w:val="clear" w:color="auto" w:fill="auto"/>
        </w:tcPr>
        <w:p w:rsidR="00E41F33" w:rsidRPr="00915B1C" w:rsidRDefault="00E41F33" w:rsidP="00915B1C">
          <w:pPr>
            <w:pStyle w:val="Footer"/>
            <w:ind w:right="28"/>
            <w:jc w:val="right"/>
            <w:rPr>
              <w:sz w:val="2"/>
              <w:szCs w:val="2"/>
            </w:rPr>
          </w:pPr>
        </w:p>
      </w:tc>
    </w:tr>
    <w:tr w:rsidR="00E41F33" w:rsidTr="00915B1C">
      <w:tc>
        <w:tcPr>
          <w:tcW w:w="7683" w:type="dxa"/>
          <w:gridSpan w:val="2"/>
          <w:shd w:val="clear" w:color="auto" w:fill="auto"/>
        </w:tcPr>
        <w:p w:rsidR="00E41F33" w:rsidRPr="00575AC5" w:rsidRDefault="00E41F33" w:rsidP="00915B1C">
          <w:pPr>
            <w:pStyle w:val="Footer"/>
            <w:ind w:right="28"/>
            <w:jc w:val="right"/>
            <w:rPr>
              <w:color w:val="505050"/>
            </w:rPr>
          </w:pPr>
          <w:r w:rsidRPr="00575AC5">
            <w:rPr>
              <w:color w:val="505050"/>
            </w:rPr>
            <w:t xml:space="preserve">   </w:t>
          </w:r>
          <w:r w:rsidRPr="00821A88">
            <w:rPr>
              <w:rFonts w:ascii="HelveticaNeueLT Std Med" w:hAnsi="HelveticaNeueLT Std Med"/>
              <w:b/>
              <w:noProof/>
              <w:color w:val="505050"/>
              <w:spacing w:val="-16"/>
              <w:sz w:val="20"/>
              <w:szCs w:val="20"/>
            </w:rPr>
            <w:t>a</w:t>
          </w:r>
          <w:r w:rsidRPr="00AE091D">
            <w:rPr>
              <w:rFonts w:ascii="HelveticaNeueLT Std Med" w:hAnsi="HelveticaNeueLT Std Med"/>
              <w:b/>
              <w:noProof/>
              <w:color w:val="505050"/>
              <w:spacing w:val="-15"/>
              <w:sz w:val="20"/>
              <w:szCs w:val="20"/>
            </w:rPr>
            <w:t>c</w:t>
          </w:r>
          <w:r w:rsidRPr="00821A88">
            <w:rPr>
              <w:rFonts w:ascii="HelveticaNeueLT Std Med" w:hAnsi="HelveticaNeueLT Std Med"/>
              <w:b/>
              <w:noProof/>
              <w:color w:val="505050"/>
              <w:spacing w:val="-16"/>
              <w:sz w:val="20"/>
              <w:szCs w:val="20"/>
            </w:rPr>
            <w:t>m</w:t>
          </w:r>
          <w:r w:rsidRPr="00FD2C2F">
            <w:rPr>
              <w:rFonts w:ascii="HelveticaNeueLT Std Med" w:hAnsi="HelveticaNeueLT Std Med"/>
              <w:b/>
              <w:noProof/>
              <w:color w:val="505050"/>
              <w:spacing w:val="-14"/>
              <w:sz w:val="20"/>
              <w:szCs w:val="20"/>
            </w:rPr>
            <w:t>a</w:t>
          </w:r>
          <w:r w:rsidRPr="00575AC5">
            <w:rPr>
              <w:color w:val="505050"/>
            </w:rPr>
            <w:t xml:space="preserve">   |   </w:t>
          </w:r>
          <w:r w:rsidR="00421002" w:rsidRPr="00575AC5">
            <w:rPr>
              <w:color w:val="505050"/>
            </w:rPr>
            <w:fldChar w:fldCharType="begin"/>
          </w:r>
          <w:r w:rsidRPr="00575AC5">
            <w:rPr>
              <w:color w:val="505050"/>
            </w:rPr>
            <w:instrText xml:space="preserve"> PAGE  \* Arabic  \* MERGEFORMAT </w:instrText>
          </w:r>
          <w:r w:rsidR="00421002" w:rsidRPr="00575AC5">
            <w:rPr>
              <w:color w:val="505050"/>
            </w:rPr>
            <w:fldChar w:fldCharType="separate"/>
          </w:r>
          <w:r w:rsidR="00AF7ED8">
            <w:rPr>
              <w:noProof/>
              <w:color w:val="505050"/>
            </w:rPr>
            <w:t>115</w:t>
          </w:r>
          <w:r w:rsidR="00421002" w:rsidRPr="00575AC5">
            <w:rPr>
              <w:color w:val="505050"/>
            </w:rPr>
            <w:fldChar w:fldCharType="end"/>
          </w:r>
        </w:p>
      </w:tc>
    </w:tr>
  </w:tbl>
  <w:p w:rsidR="00E41F33" w:rsidRDefault="00E41F33">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7692" w:type="dxa"/>
      <w:tblLayout w:type="fixed"/>
      <w:tblCellMar>
        <w:left w:w="0" w:type="dxa"/>
        <w:right w:w="0" w:type="dxa"/>
      </w:tblCellMar>
      <w:tblLook w:val="01E0"/>
    </w:tblPr>
    <w:tblGrid>
      <w:gridCol w:w="1311"/>
      <w:gridCol w:w="6381"/>
    </w:tblGrid>
    <w:tr w:rsidR="00E41F33" w:rsidRPr="00915B1C" w:rsidTr="00D61006">
      <w:tc>
        <w:tcPr>
          <w:tcW w:w="1311" w:type="dxa"/>
          <w:tcBorders>
            <w:top w:val="single" w:sz="2" w:space="0" w:color="auto"/>
          </w:tcBorders>
          <w:shd w:val="clear" w:color="auto" w:fill="auto"/>
        </w:tcPr>
        <w:p w:rsidR="00E41F33" w:rsidRPr="00915B1C" w:rsidRDefault="00E41F33" w:rsidP="00D61006">
          <w:pPr>
            <w:pStyle w:val="Footer"/>
            <w:rPr>
              <w:sz w:val="2"/>
              <w:szCs w:val="2"/>
            </w:rPr>
          </w:pPr>
        </w:p>
      </w:tc>
      <w:tc>
        <w:tcPr>
          <w:tcW w:w="6381" w:type="dxa"/>
          <w:shd w:val="clear" w:color="auto" w:fill="auto"/>
        </w:tcPr>
        <w:p w:rsidR="00E41F33" w:rsidRPr="00915B1C" w:rsidRDefault="00E41F33" w:rsidP="00D61006">
          <w:pPr>
            <w:pStyle w:val="Footer"/>
            <w:rPr>
              <w:sz w:val="2"/>
              <w:szCs w:val="2"/>
            </w:rPr>
          </w:pPr>
        </w:p>
      </w:tc>
    </w:tr>
    <w:tr w:rsidR="00E41F33" w:rsidTr="00D61006">
      <w:tc>
        <w:tcPr>
          <w:tcW w:w="7692" w:type="dxa"/>
          <w:gridSpan w:val="2"/>
          <w:shd w:val="clear" w:color="auto" w:fill="auto"/>
        </w:tcPr>
        <w:p w:rsidR="00E41F33" w:rsidRPr="00575AC5" w:rsidRDefault="00421002" w:rsidP="00D61006">
          <w:pPr>
            <w:pStyle w:val="Footer"/>
            <w:rPr>
              <w:color w:val="505050"/>
            </w:rPr>
          </w:pPr>
          <w:r w:rsidRPr="00575AC5">
            <w:rPr>
              <w:color w:val="505050"/>
            </w:rPr>
            <w:fldChar w:fldCharType="begin"/>
          </w:r>
          <w:r w:rsidR="00E41F33" w:rsidRPr="00575AC5">
            <w:rPr>
              <w:color w:val="505050"/>
            </w:rPr>
            <w:instrText xml:space="preserve"> PAGE  \* Arabic  \* MERGEFORMAT </w:instrText>
          </w:r>
          <w:r w:rsidRPr="00575AC5">
            <w:rPr>
              <w:color w:val="505050"/>
            </w:rPr>
            <w:fldChar w:fldCharType="separate"/>
          </w:r>
          <w:r w:rsidR="00B602D5">
            <w:rPr>
              <w:noProof/>
              <w:color w:val="505050"/>
            </w:rPr>
            <w:t>144</w:t>
          </w:r>
          <w:r w:rsidRPr="00575AC5">
            <w:rPr>
              <w:color w:val="505050"/>
            </w:rPr>
            <w:fldChar w:fldCharType="end"/>
          </w:r>
          <w:r w:rsidR="00E41F33" w:rsidRPr="00575AC5">
            <w:rPr>
              <w:color w:val="505050"/>
            </w:rPr>
            <w:t xml:space="preserve">   |   </w:t>
          </w:r>
          <w:r w:rsidR="00E41F33" w:rsidRPr="00821A88">
            <w:rPr>
              <w:rFonts w:ascii="HelveticaNeueLT Std Med" w:hAnsi="HelveticaNeueLT Std Med"/>
              <w:b/>
              <w:noProof/>
              <w:color w:val="505050"/>
              <w:spacing w:val="-16"/>
              <w:sz w:val="20"/>
              <w:szCs w:val="20"/>
            </w:rPr>
            <w:t>a</w:t>
          </w:r>
          <w:r w:rsidR="00E41F33" w:rsidRPr="00AE091D">
            <w:rPr>
              <w:rFonts w:ascii="HelveticaNeueLT Std Med" w:hAnsi="HelveticaNeueLT Std Med"/>
              <w:b/>
              <w:noProof/>
              <w:color w:val="505050"/>
              <w:spacing w:val="-15"/>
              <w:sz w:val="20"/>
              <w:szCs w:val="20"/>
            </w:rPr>
            <w:t>c</w:t>
          </w:r>
          <w:r w:rsidR="00E41F33" w:rsidRPr="00821A88">
            <w:rPr>
              <w:rFonts w:ascii="HelveticaNeueLT Std Med" w:hAnsi="HelveticaNeueLT Std Med"/>
              <w:b/>
              <w:noProof/>
              <w:color w:val="505050"/>
              <w:spacing w:val="-16"/>
              <w:sz w:val="20"/>
              <w:szCs w:val="20"/>
            </w:rPr>
            <w:t>m</w:t>
          </w:r>
          <w:r w:rsidR="00E41F33" w:rsidRPr="00FD2C2F">
            <w:rPr>
              <w:rFonts w:ascii="HelveticaNeueLT Std Med" w:hAnsi="HelveticaNeueLT Std Med"/>
              <w:b/>
              <w:noProof/>
              <w:color w:val="505050"/>
              <w:spacing w:val="-14"/>
              <w:sz w:val="20"/>
              <w:szCs w:val="20"/>
            </w:rPr>
            <w:t>a</w:t>
          </w:r>
          <w:r w:rsidR="00E41F33" w:rsidRPr="00575AC5">
            <w:rPr>
              <w:color w:val="505050"/>
            </w:rPr>
            <w:t xml:space="preserve">  </w:t>
          </w:r>
        </w:p>
      </w:tc>
    </w:tr>
  </w:tbl>
  <w:p w:rsidR="00E41F33" w:rsidRDefault="00E41F3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F65" w:rsidRDefault="00572F65">
      <w:r>
        <w:separator/>
      </w:r>
    </w:p>
  </w:footnote>
  <w:footnote w:type="continuationSeparator" w:id="0">
    <w:p w:rsidR="00572F65" w:rsidRDefault="00572F6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Default="00421002">
    <w:pPr>
      <w:pStyle w:val="Header"/>
    </w:pPr>
    <w:r>
      <w:rPr>
        <w:noProof/>
      </w:rPr>
      <w:pict>
        <v:shape id="acma" o:spid="_x0000_s2063" style="position:absolute;margin-left:456.4pt;margin-top:45.55pt;width:86pt;height:26.8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4160,1294" path="m120,hdc205,,205,,205,,324,320,324,320,324,320v-87,,-87,,-87,c218,262,218,262,218,262v-112,,-112,,-112,c86,320,86,320,86,320,,320,,320,,320hal120,hdxm125,201v73,,73,,73,c163,89,163,89,163,89v-1,,-1,,-1,hal125,201hdxm555,320v-74,,-74,,-74,c481,288,481,288,481,288v-1,,-1,,-1,c473,300,462,309,449,316v-13,7,-27,10,-40,10c392,326,378,324,367,319v-11,-4,-20,-11,-26,-19c334,291,330,280,327,268v-3,-12,-4,-26,-4,-41c323,87,323,87,323,87v76,,76,,76,c399,222,399,222,399,222v,16,3,26,10,32c415,261,424,264,437,264v4,,8,-1,13,-3c455,260,459,257,464,253v4,-4,7,-9,10,-16c477,231,478,222,478,212v,-125,,-125,,-125c555,87,555,87,555,87hal555,320hdxm643,243v,6,1,11,3,15c648,262,651,266,655,269v4,3,8,5,13,6c673,276,678,277,684,277v3,,7,,11,-1c699,275,703,273,707,272v3,-2,6,-5,9,-8c718,261,719,257,719,252v,-4,-1,-8,-4,-11c713,239,710,236,706,235v-4,-2,-8,-4,-12,-4c689,230,686,229,682,228v-12,-3,-24,-6,-37,-8c633,217,621,214,610,209v-10,-5,-19,-12,-26,-21c578,180,574,168,574,152v,-14,4,-26,10,-35c591,108,600,101,610,95v11,-5,22,-9,35,-11c657,82,669,80,680,80v13,,26,2,38,4c731,86,742,90,752,95v10,6,19,14,25,23c783,128,787,140,788,156v-71,,-71,,-71,c717,146,714,140,707,136v-6,-4,-14,-6,-24,-6c680,130,676,130,673,130v-4,,-8,1,-11,2c659,134,656,135,654,138v-2,2,-4,5,-4,9c650,153,653,157,659,161v6,3,13,6,21,8c689,172,698,174,708,175v10,2,20,4,28,6c748,183,758,187,765,192v8,5,14,11,19,17c788,215,791,221,793,227v2,6,3,12,3,17c796,259,792,272,786,283v-7,10,-16,19,-26,25c749,315,737,319,724,322v-14,3,-27,4,-40,4c670,326,657,325,643,323v-13,-3,-25,-7,-36,-14c597,303,588,294,581,283v-6,-10,-10,-24,-11,-40hal643,243hdxm951,136v-47,,-47,,-47,c904,242,904,242,904,242v,9,2,15,7,18c916,263,923,265,931,265v3,,6,-1,10,-1c944,264,947,264,951,264v,56,,56,,56c944,320,937,320,930,321v-7,1,-14,1,-21,1c893,322,879,321,869,318v-11,-3,-19,-7,-25,-14c838,298,833,290,831,279v-2,-10,-4,-23,-4,-39c827,136,827,136,827,136v-38,,-38,,-38,c789,87,789,87,789,87v38,,38,,38,c827,17,827,17,827,17v77,,77,,77,c904,87,904,87,904,87v47,,47,,47,hal951,136hdxm965,87v74,,74,,74,c1039,128,1039,128,1039,128v1,,1,,1,c1046,113,1055,102,1067,94v12,-8,27,-11,43,-11c1113,83,1116,83,1119,83v3,,6,1,9,1c1128,154,1128,154,1128,154v-5,-2,-10,-3,-15,-3c1109,150,1104,149,1099,149v-10,,-18,2,-25,5c1067,157,1061,161,1056,166v-5,5,-8,11,-11,18c1043,190,1042,197,1042,205v,115,,115,,115c965,320,965,320,965,320hal965,87hdxm1128,159v1,-15,5,-28,11,-38c1146,111,1154,103,1165,97v10,-6,22,-11,34,-13c1212,82,1225,80,1239,80v13,,27,1,40,3c1292,85,1303,89,1313,95v11,5,19,13,25,24c1344,129,1347,142,1347,158v,102,,102,,102c1347,270,1347,280,1348,290v1,11,4,20,8,30c1279,320,1279,320,1279,320v-1,-4,-2,-7,-3,-11c1276,305,1276,302,1275,298v-10,10,-22,18,-35,22c1226,324,1212,326,1198,326v-11,,-21,-1,-31,-4c1157,319,1149,315,1142,309v-7,-6,-13,-13,-17,-22c1121,278,1119,268,1119,256v,-12,2,-23,6,-31c1129,216,1135,209,1142,204v7,-5,16,-9,25,-12c1176,189,1186,186,1196,184v10,-1,20,-3,30,-4c1236,179,1245,177,1254,175v7,-1,12,-3,15,-6c1273,166,1274,161,1274,154v,-5,-1,-8,-3,-11c1269,140,1266,137,1262,135v-4,-2,-8,-3,-12,-4c1246,130,1242,130,1238,130v-22,,-35,9,-38,29hal1128,159hdxm1195,253v,9,3,16,10,20c1211,277,1218,279,1227,279v18,,31,-5,38,-16c1271,252,1274,235,1274,211v-6,3,-13,5,-22,7c1243,219,1235,221,1227,223v-9,2,-17,6,-23,10c1198,237,1195,244,1195,253xm1378,v76,,76,,76,c1454,320,1454,320,1454,320v-76,,-76,,-76,hal1378,hdxm1565,58v-76,,-76,,-76,c1489,,1489,,1489,v76,,76,,76,hal1565,58hdxm1489,87v76,,76,,76,c1565,320,1565,320,1565,320v-76,,-76,,-76,hal1489,87hdxm1593,159v1,-15,5,-28,11,-38c1611,111,1619,103,1630,97v10,-6,22,-11,34,-13c1677,82,1690,80,1704,80v13,,27,1,40,3c1757,85,1768,89,1778,95v11,5,19,13,25,24c1809,129,1812,142,1812,158v,102,,102,,102c1812,270,1812,280,1813,290v1,11,4,20,8,30c1744,320,1744,320,1744,320v-1,-4,-2,-7,-3,-11c1741,305,1741,302,1740,298v-10,10,-22,18,-35,22c1691,324,1677,326,1663,326v-11,,-21,-1,-31,-4c1622,319,1614,315,1607,309v-7,-6,-13,-13,-17,-22c1586,278,1584,268,1584,256v,-12,2,-23,6,-31c1594,216,1600,209,1607,204v7,-5,16,-9,25,-12c1641,189,1651,186,1661,184v10,-1,20,-3,30,-4c1701,179,1710,177,1719,175v7,-1,12,-3,15,-6c1738,166,1739,161,1739,154v,-5,-1,-8,-3,-11c1734,140,1731,137,1727,135v-4,-2,-8,-3,-12,-4c1711,130,1707,130,1703,130v-22,,-35,9,-38,29hal1593,159hdxm1660,253v,9,3,16,10,20c1676,277,1683,279,1692,279v18,,31,-5,38,-16c1736,252,1739,235,1739,211v-6,3,-13,5,-22,7c1708,219,1700,221,1692,223v-9,2,-17,6,-23,10c1663,237,1660,244,1660,253xm1840,87v74,,74,,74,c1914,119,1914,119,1914,119v1,,1,,1,c1919,113,1923,108,1929,103v5,-5,11,-9,17,-12c1953,87,1960,85,1967,83v7,-2,14,-3,21,-3c2008,80,2023,84,2034,90v11,6,20,14,25,23c2065,122,2068,132,2070,142v1,11,2,20,2,28c2072,320,2072,320,2072,320v-76,,-76,,-76,c1996,207,1996,207,1996,207v,-8,,-16,,-23c1996,176,1995,169,1992,163v-2,-6,-6,-11,-11,-14c1976,145,1968,143,1958,143v-8,,-14,2,-19,4c1934,150,1930,154,1926,159v-3,4,-5,10,-7,16c1917,180,1916,187,1916,193v,127,,127,,127c1840,320,1840,320,1840,320hal1840,87hdxm245,562v-2,-16,-9,-28,-20,-37c213,517,199,513,181,513v-14,,-25,2,-34,8c137,526,130,533,124,542v-6,9,-11,19,-13,31c108,584,107,596,107,608v,12,1,23,4,35c113,654,118,664,124,673v6,9,13,16,23,22c156,700,167,703,181,703v20,,35,-5,46,-16c238,677,244,662,245,644v84,,84,,84,c328,664,323,683,315,699v-7,16,-18,30,-31,41c272,751,256,760,239,766v-17,6,-36,8,-56,8c159,774,137,770,117,761,97,753,80,741,66,726,53,711,42,693,34,673,27,653,23,631,23,608v,-24,4,-45,11,-65c42,522,53,505,66,490v14,-15,31,-27,51,-36c137,445,159,441,183,441v17,,34,3,51,8c252,455,267,462,281,473v14,10,25,23,34,38c323,526,328,543,329,562hal245,562hdxm337,652v,-18,3,-34,9,-49c352,588,360,575,371,564v11,-11,24,-20,39,-26c425,532,441,528,459,528v18,,35,4,50,10c524,544,537,553,548,564v10,11,19,24,25,39c579,618,582,634,582,652v,17,-3,34,-9,49c567,715,558,728,548,739v-11,11,-24,20,-39,26c494,771,477,774,459,774v-18,,-34,-3,-49,-9c395,759,382,750,371,739,360,728,352,715,346,701v-6,-15,-9,-32,-9,-49xm413,652v,7,1,15,2,22c417,682,419,689,423,695v3,6,8,11,14,15c443,714,450,716,459,716v9,,17,-2,23,-6c487,706,492,701,496,695v3,-6,6,-13,7,-21c505,667,506,659,506,652v,-8,-1,-15,-3,-23c502,621,499,614,496,608v-4,-6,-9,-11,-14,-15c476,589,468,587,459,587v-9,,-16,2,-22,6c431,597,426,602,423,608v-4,6,-6,13,-8,21c414,637,413,644,413,652xm600,535v74,,74,,74,c674,567,674,567,674,567v1,,1,,1,c682,555,691,546,702,539v12,-7,25,-11,39,-11c756,528,769,531,781,537v13,5,22,15,28,29c818,554,829,544,840,538v12,-6,26,-10,42,-10c900,528,915,532,926,538v11,6,19,14,24,24c956,572,959,583,961,595v2,11,3,23,3,34c964,768,964,768,964,768v-77,,-77,,-77,c887,631,887,631,887,631v,-13,-2,-22,-8,-29c873,595,865,591,856,591v-8,,-15,2,-20,5c832,599,828,603,825,608v-2,6,-4,13,-4,20c820,636,820,645,820,654v,114,,114,,114c744,768,744,768,744,768v,-132,,-132,,-132c744,622,741,611,737,603v-4,-8,-12,-12,-22,-12c701,591,691,596,685,605v-6,9,-9,26,-9,49c676,768,676,768,676,768v-76,,-76,,-76,hal600,535hdxm992,535v74,,74,,74,c1066,567,1066,567,1066,567v1,,1,,1,c1074,555,1083,546,1095,539v11,-7,24,-11,39,-11c1148,528,1162,531,1174,537v12,5,21,15,27,29c1211,554,1221,544,1233,538v11,-6,25,-10,41,-10c1293,528,1307,532,1318,538v11,6,19,14,25,24c1348,572,1352,583,1354,595v1,11,2,23,2,34c1356,768,1356,768,1356,768v-76,,-76,,-76,c1280,631,1280,631,1280,631v,-13,-3,-22,-9,-29c1266,595,1258,591,1248,591v-8,,-14,2,-19,5c1224,599,1220,603,1218,608v-3,6,-4,13,-5,20c1213,636,1212,645,1212,654v,114,,114,,114c1136,768,1136,768,1136,768v,-132,,-132,,-132c1136,622,1134,611,1130,603v-5,-8,-12,-12,-23,-12c1094,591,1084,596,1078,605v-7,9,-10,26,-10,49c1068,768,1068,768,1068,768v-76,,-76,,-76,hal992,535hdxm1616,768v-74,,-74,,-74,c1542,736,1542,736,1542,736v-1,,-1,,-1,c1534,748,1524,757,1510,764v-13,7,-26,10,-40,10c1454,774,1440,772,1429,767v-11,-4,-20,-11,-27,-19c1396,739,1391,728,1388,716v-2,-12,-4,-26,-4,-41c1384,535,1384,535,1384,535v76,,76,,76,c1460,670,1460,670,1460,670v,16,4,26,10,33c1476,709,1486,712,1498,712v4,,9,-1,13,-3c1516,708,1521,705,1525,701v4,-4,8,-9,10,-16c1538,679,1540,670,1540,660v,-125,,-125,,-125c1616,535,1616,535,1616,535hal1616,768hdxm1645,535v74,,74,,74,c1719,567,1719,567,1719,567v1,,1,,1,c1723,561,1728,556,1733,551v6,-5,12,-9,18,-12c1758,535,1765,533,1772,531v7,-2,14,-3,21,-3c1812,528,1828,532,1839,538v11,6,19,14,25,23c1869,570,1873,580,1874,590v2,11,3,20,3,28c1877,768,1877,768,1877,768v-77,,-77,,-77,c1800,655,1800,655,1800,655v,-8,,-16,,-23c1800,624,1799,617,1797,611v-2,-6,-6,-11,-11,-14c1781,593,1773,591,1762,591v-7,,-13,2,-18,4c1738,598,1734,602,1731,607v-3,4,-6,10,-7,16c1722,628,1721,635,1721,641v,127,,127,,127c1645,768,1645,768,1645,768hal1645,535hdxm1984,506v-76,,-76,,-76,c1908,448,1908,448,1908,448v76,,76,,76,hal1984,506hdxm1908,535v76,,76,,76,c1984,768,1984,768,1984,768v-76,,-76,,-76,hal1908,535hdxm2167,620v,-4,-1,-9,-3,-13c2162,603,2159,599,2156,596v-3,-3,-7,-5,-12,-7c2140,588,2135,587,2130,587v-11,,-19,2,-26,6c2098,597,2093,602,2090,609v-4,6,-6,14,-7,22c2081,639,2081,647,2081,655v,8,1,15,2,22c2085,685,2088,691,2091,697v4,6,9,10,14,14c2111,714,2118,716,2126,716v14,,24,-3,31,-10c2163,699,2168,689,2170,676v74,,74,,74,c2242,692,2238,706,2231,718v-7,12,-15,23,-25,31c2195,757,2183,764,2170,768v-13,4,-28,6,-43,6c2109,774,2093,772,2078,766v-15,-6,-28,-14,-39,-24c2028,731,2020,719,2014,704v-6,-15,-9,-31,-9,-49c2005,637,2008,620,2013,604v6,-15,14,-29,25,-40c2048,553,2061,544,2076,538v15,-6,32,-10,51,-10c2141,528,2155,530,2168,534v13,4,25,10,36,18c2214,559,2223,569,2229,580v7,12,11,25,12,40hal2167,620hdxm2257,607v,-15,4,-28,10,-38c2274,559,2282,551,2293,545v10,-6,22,-11,35,-13c2340,530,2353,528,2367,528v13,,27,1,40,3c2420,533,2431,537,2442,543v10,5,18,13,24,24c2472,577,2475,590,2475,606v,102,,102,,102c2475,718,2476,728,2476,738v1,11,4,20,8,30c2408,768,2408,768,2408,768v-2,-4,-3,-7,-3,-11c2404,753,2404,750,2403,746v-10,10,-22,18,-35,22c2354,772,2340,774,2326,774v-11,,-21,-1,-31,-4c2286,767,2277,763,2270,757v-7,-6,-13,-13,-17,-22c2249,726,2247,716,2247,704v,-12,2,-23,6,-31c2258,664,2263,657,2270,652v8,-5,16,-9,25,-12c2304,637,2314,634,2324,632v10,-1,20,-3,30,-4c2364,627,2373,625,2382,623v7,-1,12,-3,15,-6c2401,614,2403,609,2403,602v,-5,-2,-8,-4,-11c2397,588,2394,585,2390,583v-4,-2,-7,-3,-12,-4c2374,578,2370,578,2366,578v-22,,-35,9,-38,29hal2257,607hdxm2323,701v,10,3,16,10,20c2339,725,2346,727,2355,727v18,,31,-5,38,-16c2400,701,2403,683,2402,659v-6,3,-13,5,-22,7c2372,667,2363,669,2355,671v-9,2,-16,6,-23,10c2326,685,2323,692,2323,701xm2644,584v-47,,-47,,-47,c2597,690,2597,690,2597,690v,9,2,16,7,18c2609,711,2616,713,2624,713v3,,6,-1,10,-1c2637,712,2640,712,2644,712v,56,,56,,56c2637,768,2630,768,2623,769v-7,1,-14,1,-21,1c2586,770,2572,769,2562,766v-11,-3,-19,-7,-25,-14c2531,746,2526,738,2524,727v-2,-10,-4,-23,-4,-39c2520,584,2520,584,2520,584v-38,,-38,,-38,c2482,535,2482,535,2482,535v38,,38,,38,c2520,465,2520,465,2520,465v77,,77,,77,c2597,535,2597,535,2597,535v47,,47,,47,hal2644,584hdxm2735,506v-77,,-77,,-77,c2658,448,2658,448,2658,448v77,,77,,77,hal2735,506hdxm2658,535v77,,77,,77,c2735,768,2735,768,2735,768v-77,,-77,,-77,hal2658,535hdxm2755,652v,-18,3,-34,9,-49c2770,588,2778,575,2789,564v11,-11,24,-20,39,-26c2843,532,2860,528,2877,528v18,,35,4,50,10c2942,544,2955,553,2966,564v11,11,19,24,25,39c2997,618,3000,634,3000,652v,17,-3,34,-9,49c2985,715,2977,728,2966,739v-11,11,-24,20,-39,26c2912,771,2895,774,2877,774v-17,,-34,-3,-49,-9c2813,759,2800,750,2789,739v-11,-11,-19,-24,-25,-38c2758,686,2755,669,2755,652xm2831,652v,7,1,15,3,22c2835,682,2838,689,2841,695v4,6,8,11,14,15c2861,714,2868,716,2877,716v9,,17,-2,23,-6c2906,706,2911,701,2914,695v4,-6,6,-13,8,-21c2923,667,2924,659,2924,652v,-8,-1,-15,-2,-23c2920,621,2918,614,2914,608v-3,-6,-8,-11,-14,-15c2894,589,2886,587,2877,587v-9,,-16,2,-22,6c2849,597,2845,602,2841,608v-3,6,-6,13,-7,21c2832,637,2831,644,2831,652xm3018,535v74,,74,,74,c3092,567,3092,567,3092,567v1,,1,,1,c3097,561,3101,556,3106,551v6,-5,12,-9,18,-12c3131,535,3138,533,3145,531v7,-2,14,-3,21,-3c3185,528,3201,532,3212,538v11,6,19,14,25,23c3243,570,3246,580,3248,590v1,11,2,20,2,28c3250,768,3250,768,3250,768v-76,,-76,,-76,c3174,655,3174,655,3174,655v,-8,,-16,,-23c3174,624,3172,617,3170,611v-2,-6,-6,-11,-11,-14c3154,593,3146,591,3136,591v-8,,-14,2,-19,4c3112,598,3107,602,3104,607v-3,4,-6,10,-7,16c3095,628,3094,635,3094,641v,127,,127,,127c3018,768,3018,768,3018,768hal3018,535hdxm3338,691v,6,1,11,3,15c3343,711,3346,714,3350,717v4,3,8,5,13,6c3368,724,3373,725,3378,725v4,,8,,12,-1c3394,723,3398,721,3402,720v3,-2,6,-5,9,-8c3413,709,3414,705,3414,701v,-5,-1,-9,-4,-11c3407,687,3404,684,3400,683v-3,-2,-7,-4,-12,-4c3384,678,3380,677,3377,676v-12,-3,-24,-6,-37,-8c3327,665,3316,662,3305,657v-11,-5,-19,-12,-26,-21c3272,628,3269,616,3269,600v,-14,3,-26,10,-35c3286,556,3294,549,3305,543v10,-5,22,-9,34,-11c3352,530,3364,528,3375,528v13,,26,2,38,4c3425,534,3437,538,3447,543v10,6,18,14,25,23c3478,576,3482,588,3482,604v-70,,-70,,-70,c3412,594,3409,588,3402,584v-6,-4,-14,-6,-24,-6c3375,578,3371,578,3367,578v-3,,-7,1,-10,2c3353,582,3351,583,3348,586v-2,2,-3,5,-3,9c3345,601,3348,605,3354,609v5,3,12,6,21,8c3383,620,3393,622,3403,623v10,2,19,4,28,6c3443,631,3452,635,3460,640v8,5,14,11,18,17c3483,663,3486,669,3488,675v1,6,2,12,2,17c3490,707,3487,720,3480,731v-7,10,-15,19,-26,25c3444,763,3432,767,3418,770v-13,3,-26,4,-39,4c3365,774,3351,773,3338,771v-13,-3,-26,-7,-36,-14c3291,751,3283,742,3276,731v-7,-10,-10,-24,-11,-40hal3338,691hdxm27,1055v,-15,4,-28,11,-38c44,1007,53,999,63,993v11,-6,22,-11,35,-13c111,978,124,976,137,976v14,,27,1,40,3c190,981,202,985,212,991v10,5,18,13,24,24c242,1025,245,1038,245,1054v,102,,102,,102c245,1166,246,1176,247,1186v,11,3,20,7,30c178,1216,178,1216,178,1216v-2,-4,-3,-7,-3,-11c174,1201,174,1198,173,1194v-10,10,-21,18,-35,22c125,1220,111,1222,97,1222v-11,,-22,-1,-31,-4c56,1215,47,1211,40,1205v-7,-6,-13,-13,-17,-22c19,1174,17,1164,17,1152v,-12,2,-23,7,-31c28,1112,34,1105,41,1100v7,-5,15,-9,24,-12c75,1085,84,1082,94,1080v10,-1,20,-3,30,-4c134,1075,144,1073,153,1071v6,-1,11,-3,15,-6c171,1062,173,1057,173,1050v,-5,-1,-8,-4,-11c167,1036,164,1033,160,1031v-3,-2,-7,-3,-12,-4c144,1026,140,1026,136,1026v-22,,-34,9,-38,29hal27,1055hdxm94,1149v,10,3,16,9,20c109,1173,117,1175,125,1175v19,,31,-5,38,-16c170,1149,173,1131,172,1107v-5,3,-13,5,-21,7c142,1115,133,1117,125,1119v-9,2,-16,6,-22,10c97,1133,94,1140,94,1149xm274,983v74,,74,,74,c348,1015,348,1015,348,1015v,,,,,c352,1009,357,1004,362,999v5,-5,11,-9,18,-12c386,983,393,981,400,979v8,-2,15,-3,21,-3c441,976,456,980,467,986v12,6,20,14,25,23c498,1018,502,1028,503,1038v1,11,2,20,2,29c505,1216,505,1216,505,1216v-76,,-76,,-76,c429,1103,429,1103,429,1103v,-8,,-16,,-23c429,1072,428,1065,426,1059v-3,-6,-6,-10,-11,-14c409,1041,401,1039,391,1039v-7,,-13,2,-19,4c367,1046,363,1050,360,1055v-4,4,-6,10,-8,16c351,1077,350,1083,350,1089v,127,,127,,127c274,1216,274,1216,274,1216hal274,983hdxm764,1216v-72,,-72,,-72,c692,1189,692,1189,692,1189v-1,,-1,,-1,c676,1211,654,1222,627,1222v-19,,-34,-3,-47,-10c566,1205,556,1195,547,1183v-8,-12,-14,-26,-18,-41c525,1127,523,1111,523,1094v,-15,2,-30,6,-44c533,1036,539,1024,547,1013v8,-11,19,-20,31,-27c590,980,604,976,621,976v28,,50,11,66,32c688,1008,688,1008,688,1008v,-112,,-112,,-112c764,896,764,896,764,896hal764,1216hdxm645,1035v-8,,-15,2,-21,5c618,1044,613,1049,609,1055v-3,6,-6,12,-8,20c600,1082,599,1090,599,1097v,8,1,16,2,24c603,1129,606,1136,609,1142v4,7,9,12,15,16c630,1162,637,1164,645,1164v10,,17,-2,23,-6c674,1154,679,1149,682,1143v3,-7,6,-14,7,-21c690,1114,691,1107,691,1099v,-8,-1,-16,-3,-24c687,1067,684,1060,680,1054v-3,-6,-8,-10,-13,-14c661,1037,654,1035,645,1035xm917,896v123,,123,,123,c1095,1109,1095,1109,1095,1109v1,,1,,1,c1151,896,1151,896,1151,896v123,,123,,123,c1274,1216,1274,1216,1274,1216v-79,,-79,,-79,c1195,973,1195,973,1195,973v-1,,-1,,-1,c1127,1216,1127,1216,1127,1216v-64,,-64,,-64,c996,973,996,973,996,973v-1,,-1,,-1,c995,1216,995,1216,995,1216v-78,,-78,,-78,hal917,896hdxm1371,1118v1,16,6,29,15,39c1395,1166,1407,1171,1423,1171v9,,18,-2,26,-6c1457,1160,1463,1154,1467,1145v71,,71,,71,c1534,1159,1529,1170,1521,1180v-8,10,-17,18,-27,24c1484,1210,1473,1215,1460,1218v-12,3,-25,4,-38,4c1403,1222,1386,1220,1371,1214v-16,-5,-30,-13,-41,-24c1319,1179,1310,1166,1304,1151v-6,-15,-9,-33,-9,-52c1295,1081,1298,1064,1305,1049v6,-14,16,-27,27,-38c1344,1000,1357,992,1372,986v15,-6,31,-10,48,-10c1441,976,1460,980,1475,987v16,8,29,18,39,31c1524,1031,1531,1046,1536,1063v5,17,7,35,6,55hal1371,1118hdxm1466,1075v-1,-13,-5,-24,-14,-33c1444,1033,1433,1028,1420,1028v-13,,-24,4,-32,13c1379,1050,1374,1061,1371,1075hal1466,1075hdxm1788,1216v-73,,-73,,-73,c1715,1189,1715,1189,1715,1189v-1,,-1,,-1,c1699,1211,1678,1222,1650,1222v-18,,-34,-3,-47,-10c1590,1205,1579,1195,1571,1183v-8,-12,-15,-26,-19,-41c1548,1127,1546,1111,1546,1094v,-15,2,-30,6,-44c1556,1036,1563,1024,1571,1013v8,-11,18,-20,30,-27c1614,980,1628,976,1644,976v29,,51,11,67,32c1712,1008,1712,1008,1712,1008v,-112,,-112,,-112c1788,896,1788,896,1788,896hal1788,1216hdxm1669,1035v-9,,-16,2,-22,5c1641,1044,1636,1049,1633,1055v-4,6,-6,12,-8,20c1623,1082,1623,1090,1623,1097v,8,,16,2,24c1627,1129,1629,1136,1633,1142v3,7,8,12,14,16c1653,1162,1660,1164,1669,1164v9,,17,-2,23,-6c1698,1154,1702,1149,1706,1143v3,-7,5,-14,7,-21c1714,1114,1714,1107,1714,1099v,-8,,-16,-2,-24c1710,1067,1708,1060,1704,1054v-4,-6,-8,-10,-14,-14c1684,1037,1677,1035,1669,1035xm1897,954v-76,,-76,,-76,c1821,896,1821,896,1821,896v76,,76,,76,hal1897,954hdxm1821,983v76,,76,,76,c1897,1216,1897,1216,1897,1216v-76,,-76,,-76,hal1821,983hdxm1925,1055v1,-15,5,-28,11,-38c1943,1007,1951,999,1962,993v10,-6,22,-11,34,-13c2009,978,2022,976,2036,976v13,,27,1,40,3c2089,981,2100,985,2110,991v11,5,19,13,25,24c2141,1025,2144,1038,2144,1054v,102,,102,,102c2144,1166,2144,1176,2145,1186v1,11,4,20,8,30c2076,1216,2076,1216,2076,1216v-1,-4,-2,-7,-3,-11c2073,1201,2072,1198,2072,1194v-10,10,-22,18,-35,22c2023,1220,2009,1222,1995,1222v-11,,-21,-1,-31,-4c1954,1215,1946,1211,1939,1205v-7,-6,-13,-13,-17,-22c1918,1174,1916,1164,1916,1152v,-12,2,-23,6,-31c1926,1112,1932,1105,1939,1100v7,-5,16,-9,25,-12c1973,1085,1983,1082,1993,1080v10,-1,20,-3,30,-4c2033,1075,2042,1073,2051,1071v7,-1,12,-3,15,-6c2070,1062,2071,1057,2071,1050v,-5,-1,-8,-3,-11c2065,1036,2062,1033,2059,1031v-4,-2,-8,-3,-12,-4c2043,1026,2039,1026,2035,1026v-22,,-35,9,-38,29hal1925,1055hdxm1992,1149v,10,3,16,10,20c2008,1173,2015,1175,2024,1175v18,,31,-5,38,-16c2068,1149,2071,1131,2071,1107v-6,3,-13,5,-22,7c2040,1115,2032,1117,2023,1119v-8,2,-16,6,-22,10c1995,1133,1992,1140,1992,1149xm2381,896v85,,85,,85,c2586,1216,2586,1216,2586,1216v-87,,-87,,-87,c2479,1158,2479,1158,2479,1158v-111,,-111,,-111,c2347,1216,2347,1216,2347,1216v-85,,-85,,-85,hal2381,896hdxm2387,1097v72,,72,,72,c2424,985,2424,985,2424,985v-1,,-1,,-1,hal2387,1097hdxm2816,1216v-74,,-74,,-74,c2742,1184,2742,1184,2742,1184v-1,,-1,,-1,c2734,1196,2724,1205,2711,1212v-14,7,-27,10,-41,10c2654,1222,2640,1220,2629,1215v-11,-4,-20,-11,-27,-19c2596,1187,2591,1176,2588,1164v-2,-12,-4,-26,-4,-41c2584,983,2584,983,2584,983v77,,77,,77,c2661,1118,2661,1118,2661,1118v,16,3,26,9,33c2677,1157,2686,1160,2698,1160v4,,9,-1,14,-3c2716,1156,2721,1153,2725,1149v4,-4,8,-9,11,-16c2738,1127,2740,1118,2740,1108v,-125,,-125,,-125c2816,983,2816,983,2816,983hal2816,1216hdxm2985,1032v-47,,-47,,-47,c2938,1138,2938,1138,2938,1138v,9,3,16,8,18c2951,1159,2957,1161,2966,1161v3,,6,-1,10,-1c2979,1160,2982,1160,2985,1160v,56,,56,,56c2979,1216,2972,1216,2965,1217v-7,1,-14,1,-21,1c2928,1218,2914,1217,2904,1214v-11,-3,-19,-7,-25,-14c2872,1194,2868,1186,2866,1175v-3,-10,-4,-23,-4,-39c2862,1032,2862,1032,2862,1032v-38,,-38,,-38,c2824,983,2824,983,2824,983v38,,38,,38,c2862,913,2862,913,2862,913v76,,76,,76,c2938,983,2938,983,2938,983v47,,47,,47,hal2985,1032hdxm2998,896v76,,76,,76,c3074,1015,3074,1015,3074,1015v1,,1,,1,c3078,1009,3082,1004,3087,999v5,-5,10,-9,17,-12c3110,983,3117,981,3124,979v7,-2,14,-3,21,-3c3165,976,3180,980,3191,986v11,6,20,14,25,23c3222,1018,3225,1028,3227,1038v1,11,2,20,2,29c3229,1216,3229,1216,3229,1216v-76,,-76,,-76,c3153,1103,3153,1103,3153,1103v,-8,,-16,,-23c3153,1072,3152,1065,3150,1059v-3,-6,-6,-10,-12,-14c3133,1041,3125,1039,3115,1039v-7,,-13,2,-19,4c3091,1046,3087,1050,3084,1055v-4,4,-6,10,-8,16c3074,1077,3074,1083,3074,1089v,127,,127,,127c2998,1216,2998,1216,2998,1216hal2998,896hdxm3247,1100v,-18,3,-34,9,-49c3261,1036,3270,1023,3281,1012v10,-11,23,-20,38,-26c3334,980,3351,976,3369,976v18,,34,4,49,10c3433,992,3446,1001,3457,1012v11,11,20,24,26,39c3489,1066,3492,1082,3492,1100v,17,-3,34,-9,49c3477,1163,3468,1176,3457,1187v-11,11,-24,20,-39,26c3403,1219,3387,1222,3369,1222v-18,,-35,-3,-50,-9c3304,1207,3291,1198,3281,1187v-11,-11,-20,-24,-25,-38c3250,1134,3247,1117,3247,1100xm3323,1100v,7,,15,2,22c3326,1130,3329,1137,3333,1143v3,6,8,11,14,15c3353,1162,3360,1164,3369,1164v9,,16,-2,22,-6c3397,1154,3402,1149,3406,1143v3,-6,6,-13,7,-21c3415,1115,3415,1107,3415,1100v,-8,,-15,-2,-23c3412,1069,3409,1062,3406,1056v-4,-6,-9,-11,-15,-15c3385,1037,3378,1035,3369,1035v-9,,-16,2,-22,6c3341,1045,3336,1050,3333,1056v-4,6,-7,13,-8,21c3323,1085,3323,1092,3323,1100xm3512,983v74,,74,,74,c3586,1024,3586,1024,3586,1024v1,,1,,1,c3592,1009,3601,998,3614,990v12,-7,26,-11,43,-11c3660,979,3662,979,3665,979v3,,6,1,9,2c3674,1050,3674,1050,3674,1050v-5,-2,-9,-3,-14,-3c3655,1046,3650,1045,3645,1045v-9,,-18,2,-25,5c3613,1053,3607,1057,3603,1062v-5,5,-9,11,-11,18c3589,1086,3588,1093,3588,1101v,115,,115,,115c3512,1216,3512,1216,3512,1216hal3512,983hdxm3757,954v-76,,-76,,-76,c3681,896,3681,896,3681,896v76,,76,,76,hal3757,954hdxm3681,983v76,,76,,76,c3757,1216,3757,1216,3757,1216v-76,,-76,,-76,hal3681,983hdxm3929,1032v-47,,-47,,-47,c3882,1138,3882,1138,3882,1138v,9,2,16,7,18c3894,1159,3901,1161,3909,1161v3,,7,-1,10,-1c3922,1160,3926,1160,3929,1160v,56,,56,,56c3922,1216,3915,1216,3908,1217v-7,1,-14,1,-21,1c3871,1218,3858,1217,3847,1214v-11,-3,-19,-7,-25,-14c3816,1194,3812,1186,3809,1175v-2,-10,-3,-23,-3,-39c3806,1032,3806,1032,3806,1032v-39,,-39,,-39,c3767,983,3767,983,3767,983v39,,39,,39,c3806,913,3806,913,3806,913v76,,76,,76,c3882,983,3882,983,3882,983v47,,47,,47,hal3929,1032hdxm4068,1236v-5,13,-10,23,-16,31c4046,1274,4039,1280,4031,1284v-7,4,-16,7,-26,8c3995,1293,3983,1294,3971,1294v-36,,-36,,-36,c3935,1232,3935,1232,3935,1232v26,,26,,26,c3970,1232,3977,1230,3983,1225v6,-5,9,-11,9,-19c3992,1203,3991,1199,3989,1193v-2,-6,-3,-12,-5,-18c3981,1169,3979,1164,3977,1158v-2,-5,-4,-10,-5,-13c3912,983,3912,983,3912,983v81,,81,,81,c4037,1135,4037,1135,4037,1135v1,,1,,1,c4082,983,4082,983,4082,983v78,,78,,78,hal4068,1236hdxe" fillcolor="#4d4d4f" stroked="f">
          <v:path arrowok="t"/>
          <o:lock v:ext="edit" verticies="t"/>
          <w10:wrap anchorx="page" anchory="page"/>
          <w10:anchorlock/>
        </v:shape>
      </w:pict>
    </w:r>
    <w:r>
      <w:rPr>
        <w:noProof/>
      </w:rPr>
      <w:pict>
        <v:group id="Logo_acma_bw" o:spid="_x0000_s2053" style="position:absolute;margin-left:134.45pt;margin-top:34.4pt;width:118.3pt;height:36.6pt;z-index:-251659264;mso-position-horizontal-relative:page;mso-position-vertical-relative:page" coordorigin="1810,866" coordsize="2162,672">
          <v:group id="black_curl" o:spid="_x0000_s2054" style="position:absolute;left:1950;top:913;width:800;height:466;mso-position-horizontal-relative:page;mso-position-vertical-relative:page" coordorigin="702,1163" coordsize="1674,986">
            <v:line id="_x0000_s2055" style="position:absolute;visibility:visible" from="1140,1618" to="1140,1618" stroked="f">
              <o:lock v:ext="edit" aspectratio="t"/>
            </v:line>
            <v:line id="_x0000_s2056" style="position:absolute;visibility:visible" from="1140,1618" to="1140,1618" stroked="f">
              <o:lock v:ext="edit" aspectratio="t"/>
            </v:line>
            <v:shape id="_x0000_s2057" style="position:absolute;left:702;top:1297;width:831;height:434;visibility:visible" coordsize="3087,1614" path="m2115,416hdc2173,450,2317,542,2507,653v580,37,580,37,580,37c3058,376,3058,376,3058,376v,,,,,c2897,291,2751,217,2643,166v-10,-4,-20,-9,-30,-13c2598,144,2598,144,2598,144,2488,100,2393,73,2320,54v,,-3,-1,-6,-2c2165,17,2003,1,1834,,1178,,464,268,202,659,,961,106,1263,472,1449v,,2,1,4,2c666,1547,919,1606,1216,1614v66,-115,198,-302,403,-418c1627,1191,1627,1191,1627,1191v46,-39,196,-165,361,-261c1987,931,1987,931,1987,931v-15,9,-30,18,-44,27c1925,965,1925,965,1925,965v-140,57,-297,88,-451,88c1084,1053,857,868,959,661v93,-190,461,-332,760,-332c1777,329,1753,328,1827,331v73,4,180,32,240,60c2084,399,2115,416,2115,416e" fillcolor="black" stroked="f">
              <v:path arrowok="t"/>
              <o:lock v:ext="edit" aspectratio="t"/>
            </v:shape>
            <v:shape id="_x0000_s2058" style="position:absolute;left:1048;top:1468;width:964;height:681;visibility:visible" coordsize="3581,2529" path="m1010,890hdc1034,831,1105,745,1193,687v23,-15,46,-30,69,-43c1262,644,1623,426,1768,338,1788,,1788,,1788,,1224,17,1224,17,1224,17v2,1,2,1,2,1c1031,118,844,216,705,294,540,390,390,516,344,555v-7,7,-7,7,-7,7c208,686,113,824,57,974v,,,,,c53,985,49,996,46,1007,15,1100,,1194,1,1287v1,649,720,1242,1777,1242c2579,2529,3204,2176,3446,1710v2,-3,2,-3,2,-3c3554,1500,3581,1277,3521,1056,3343,1038,3040,991,2819,876v-22,-11,-22,-11,-22,-11c2740,849,2561,795,2345,682v7,4,7,4,7,4c2370,698,2370,698,2370,698v7,5,7,5,7,5c2486,790,2556,895,2573,1007v49,318,-305,607,-796,607c1287,1614,931,1325,979,1007v,,4,-56,31,-117e" fillcolor="black" stroked="f">
              <v:path arrowok="t"/>
              <o:lock v:ext="edit" aspectratio="t"/>
            </v:shape>
            <v:shape id="_x0000_s2059" style="position:absolute;left:1518;top:1296;width:858;height:433;visibility:visible" coordsize="3183,1611" path="m1167,232hdc1162,235,1162,235,1162,235v-28,39,-78,96,-168,165c1015,390,1015,390,1015,390v82,-34,193,-63,339,-63c1683,327,2021,468,2113,657v102,208,-125,392,-514,392c1529,1049,1444,1047,1357,1028v-87,-20,-209,-65,-294,-107c978,879,802,787,635,702,609,688,583,674,557,661,,630,,630,,630,21,977,21,977,21,977v1,-1,1,-1,1,-1c40,987,67,1003,99,1022v163,100,309,190,417,253c543,1291,570,1306,598,1320v216,114,395,168,452,184c1286,1573,1533,1608,1776,1608v949,3,1407,-471,1092,-949c2694,395,2317,189,1903,83v12,2,12,2,12,2c1718,34,1506,4,1293,v1,56,-14,156,-119,227hal1167,232hdxe" fillcolor="black" stroked="f">
              <v:path arrowok="t"/>
              <o:lock v:ext="edit" aspectratio="t"/>
            </v:shape>
            <v:shape id="_x0000_s2060" style="position:absolute;left:1206;top:1163;width:643;height:313;visibility:visible" coordsize="2385,1164" path="m1712,1152hdc1876,1057,2012,979,2099,927v17,-11,34,-22,51,-33c2152,893,2152,893,2152,893v96,-74,147,-134,173,-172c2372,646,2385,569,2365,495v-5,-16,-5,-16,-5,-16c2356,468,2356,468,2356,468,2253,193,1734,,1174,1,810,1,473,80,250,207v-4,2,-13,7,-17,10c121,285,38,366,,457v116,9,317,32,442,91c516,567,616,596,726,640,669,598,621,544,631,479,651,344,895,241,1176,241v281,,525,103,546,238c1725,499,1721,518,1715,536v-12,40,-36,80,-93,111c1609,654,1600,659,1588,664v-61,30,-213,108,-402,208c1154,1164,1154,1164,1154,1164v561,-10,561,-10,561,-10hal1712,1152hdxe" fillcolor="black" stroked="f">
              <v:path arrowok="t"/>
              <o:lock v:ext="edit" aspectratio="t"/>
            </v:shape>
          </v:group>
          <v:line id="black_line" o:spid="_x0000_s2061" style="position:absolute;visibility:visible;mso-position-horizontal-relative:page;mso-position-vertical-relative:page" from="1810,866" to="1810,1535"/>
          <v:shape id="grey" o:spid="_x0000_s2062" style="position:absolute;left:2574;top:1218;width:1398;height:320;visibility:visible;mso-position-horizontal:absolute;mso-position-horizontal-relative:page;mso-position-vertical:absolute;mso-position-vertical-relative:page" coordsize="10982,2496" path="m1096,1936hdc1464,1936,1587,1722,1568,1225v-108,70,-309,84,-477,130c919,1397,773,1471,773,1662v,195,150,274,323,274m96,796c109,487,255,286,464,164,673,46,946,,1214,v559,,1100,123,1100,791c2314,1823,2314,1823,2314,1823v,200,,418,91,604c1628,2427,1628,2427,1628,2427v-27,-72,-37,-145,-46,-222c1382,2414,1087,2496,805,2496,355,2496,,2268,,1782,,1014,837,1073,1373,964v132,-28,205,-73,205,-218c1578,568,1364,500,1205,500v-214,,-350,96,-386,296hal96,796hdxm4004,932c4000,732,3823,591,3627,591v-432,,-500,368,-500,696c3127,1591,3259,1905,3586,1905v268,,405,-155,441,-405c4777,1500,4777,1500,4777,1500v-69,632,-559,996,-1186,996c2882,2496,2354,2009,2354,1287,2354,537,2832,,3591,v586,,1109,309,1163,932hal4004,932hdxm4835,69v750,,750,,750,c5585,391,5585,391,5585,391v9,,9,,9,c5735,155,5985,,6271,v296,,560,96,687,382c7144,132,7376,,7694,v750,,832,568,832,1019c8526,2427,8526,2427,8526,2427v-773,,-773,,-773,c7753,1041,7753,1041,7753,1041v,-254,-122,-405,-322,-405c7099,636,7067,891,7067,1273v,1154,,1154,,1154c6294,2427,6294,2427,6294,2427v,-1340,,-1340,,-1340c6294,809,6212,636,6003,636v-277,,-396,160,-396,641c5607,2427,5607,2427,5607,2427v-772,,-772,,-772,hal4835,69hdxm9673,1938v369,,491,-209,473,-695c10037,1311,9837,1324,9668,1369v-172,42,-318,114,-318,301c9350,1861,9500,1938,9673,1938m8673,796v14,-309,159,-510,368,-632c9250,46,9523,,9791,v559,,1100,123,1100,791c10891,1823,10891,1823,10891,1823v,200,,418,91,604c10205,2427,10205,2427,10205,2427v-27,-72,-36,-145,-46,-222c9960,2414,9664,2496,9382,2496v-449,,-804,-228,-804,-714c8578,1014,9414,1073,9950,964v132,-28,205,-73,205,-218c10155,568,9941,500,9782,500v-213,,-350,96,-386,296hal8673,796hdxe" fillcolor="black" stroked="f">
            <v:path arrowok="t"/>
            <o:lock v:ext="edit" aspectratio="t" verticies="t"/>
          </v:shape>
          <w10:wrap anchorx="page" anchory="page"/>
          <w10:anchorlock/>
        </v:group>
      </w:pict>
    </w:r>
    <w:r>
      <w:rPr>
        <w:noProof/>
      </w:rPr>
      <w:pict>
        <v:group id="Logo_AustGov" o:spid="_x0000_s2049" style="position:absolute;margin-left:56.8pt;margin-top:34.1pt;width:68.8pt;height:36.25pt;z-index:-251660288;mso-position-horizontal-relative:page;mso-position-vertical-relative:page" coordorigin="-17209,-8401" coordsize="40176,21123">
          <o:lock v:ext="edit" aspectratio="t"/>
          <v:shape id="_x0000_s2050" style="position:absolute;left:-9301;top:-8401;width:22727;height:16658;visibility:visible" coordsize="9621,7052" path="m3475,3887hdc3449,3887,3429,3866,3429,3839v,-26,20,-47,46,-47c3501,3792,3522,3813,3522,3839v,27,-21,48,-47,48m5607,1945v-515,,-515,,-515,c5092,2854,5092,2854,5092,2854v515,,515,,515,hal5607,1945hdxm5607,2900v-515,,-515,,-515,c5092,3753,5092,3753,5092,3753v405,-241,405,-241,405,-241c5565,3465,5598,3384,5607,3285hal5607,2900hdxm5045,1945v-476,,-476,,-476,c4569,2854,4569,2854,4569,2854v476,,476,,476,hal5045,1945hdxm5045,2900v-476,,-476,,-476,c4569,3782,4569,3782,4569,3782v187,111,187,111,187,111c4769,3904,4786,3910,4806,3910v18,,35,-6,49,-17c4858,3893,4858,3893,4858,3893v187,-111,187,-111,187,-111hal5045,2900hdxm4376,2854v147,,147,,147,c4523,2521,4523,2521,4523,2521v-147,,-147,,-147,hal4376,2854hdxm4523,2900v-515,,-515,,-515,c4008,3285,4008,3285,4008,3285v8,99,42,180,109,227c4523,3753,4523,3753,4523,3753hal4523,2900hdxm4185,1945v-177,,-177,,-177,c4008,2296,4008,2296,4008,2296v177,,177,,177,hal4185,1945hdxm4256,2082v,29,,29,,29c4282,2092,4282,2092,4282,2092v25,19,25,19,25,19c4307,2082,4307,2082,4307,2082v27,-6,27,-6,27,-6c4313,2055,4313,2055,4313,2055v12,-24,12,-24,12,-24c4298,2033,4298,2033,4298,2033v-16,-28,-16,-28,-16,-28c4265,2034,4265,2034,4265,2034v-27,-3,-27,-3,-27,-3c4251,2055,4251,2055,4251,2055v-21,21,-21,21,-21,21hal4256,2082hdxm4356,2443v,3,-19,21,5,21c4416,2464,4355,2339,4307,2339v-33,,-25,48,-33,48c4267,2387,4280,2339,4231,2339v-26,,-35,13,-35,25c4183,2352,4176,2345,4165,2362v24,13,36,41,59,45c4208,2422,4156,2475,4184,2475v17,,20,-50,130,-50c4286,2448,4286,2448,4286,2448v17,10,17,10,17,10c4316,2458,4322,2432,4338,2432v18,11,18,11,18,11m4251,2734v-21,22,-21,22,-21,22c4256,2761,4256,2761,4256,2761v,30,,30,,30c4282,2772,4282,2772,4282,2772v25,19,25,19,25,19c4307,2761,4307,2761,4307,2761v27,-5,27,-5,27,-5c4313,2734,4313,2734,4313,2734v12,-24,12,-24,12,-24c4298,2713,4298,2713,4298,2713v-16,-29,-16,-29,-16,-29c4265,2714,4265,2714,4265,2714v-27,-4,-27,-4,-27,-4hal4251,2734hdxm4050,2396v-21,21,-21,21,-21,21c4056,2423,4056,2423,4056,2423v,29,,29,,29c4081,2434,4081,2434,4081,2434v25,18,25,18,25,18c4106,2423,4106,2423,4106,2423v26,-6,26,-6,26,-6c4112,2396,4112,2396,4112,2396v13,-24,13,-24,13,-24c4097,2374,4097,2374,4097,2374v-16,-28,-16,-28,-16,-28c4064,2374,4064,2374,4064,2374v-27,-2,-27,-2,-27,-2hal4050,2396hdxm4008,2854v177,,177,,177,c4185,2521,4185,2521,4185,2521v-177,,-177,,-177,hal4008,2854hdxm4444,2423v,29,,29,,29c4469,2434,4469,2434,4469,2434v25,18,25,18,25,18c4494,2423,4494,2423,4494,2423v26,-6,26,-6,26,-6c4499,2396,4499,2396,4499,2396v13,-24,13,-24,13,-24c4484,2374,4484,2374,4484,2374v-15,-28,-15,-28,-15,-28c4452,2374,4452,2374,4452,2374v-28,-2,-28,-2,-28,-2c4438,2396,4438,2396,4438,2396v-21,21,-21,21,-21,21hal4444,2423hdxm4523,1945v-147,,-147,,-147,c4376,2296,4376,2296,4376,2296v147,,147,,147,hal4523,1945hdxm5655,1899v-1,1369,-1,1369,-1,1369c5654,3400,5598,3516,5520,3552v-662,395,-662,395,-662,395c4845,3960,4826,3968,4806,3968v-24,,-46,-11,-60,-27c4093,3552,4093,3552,4093,3552v-76,-36,-132,-152,-132,-284c3959,1899,3959,1899,3959,1899v1,,1,,1,c3960,1898,3960,1898,3960,1898v1695,,1695,,1695,c5655,1899,5655,1899,5655,1899xm4496,3214v-3,-5,-65,21,-47,19c4451,3214,4485,3177,4500,3163v-3,-21,-30,-2,-59,13c4537,3038,4475,3095,4422,3104v85,-92,63,-91,,-62c4471,3003,4482,2956,4474,2941v-46,64,-89,54,-89,111c4385,3090,4371,3153,4351,3174v-25,28,-6,-102,-72,-102c4258,3072,4208,3070,4193,3097v34,47,34,47,34,47c4227,3158,4239,3196,4217,3196v-23,,-50,-48,-50,-71c4167,3102,4166,3108,4166,3075v,-55,-89,-131,-125,-131c4041,2981,4090,2991,4090,3039v-21,,-51,-39,-51,-15c4039,3049,4071,3053,4071,3074v,22,-36,-7,-36,15c4035,3109,4054,3106,4059,3126v-30,5,-30,5,-30,5c4044,3152,4044,3152,4044,3152v-5,5,-9,17,-9,48c4035,3308,4103,3359,4152,3359v36,,30,-25,34,-37c4188,3341,4205,3313,4205,3345v,33,-34,19,-34,48c4171,3432,4226,3391,4226,3434v,52,-7,51,-7,70c4273,3480,4273,3480,4273,3480v13,5,12,45,38,44c4327,3523,4330,3483,4343,3479v-7,3,52,39,52,20c4395,3449,4374,3471,4374,3436v,-32,70,-26,59,-42c4424,3380,4417,3389,4410,3365v2,4,-55,-81,12,-37c4491,3374,4499,3222,4496,3214t1808,358c6335,3572,6360,3550,6360,3523v,-27,-25,-49,-56,-49c6274,3474,6249,3496,6249,3523v,27,25,49,55,49m6078,3706v31,,56,-22,56,-50c6134,3630,6109,3607,6078,3607v-30,,-55,23,-55,49c6023,3684,6048,3706,6078,3706m3399,4015v31,,56,-22,56,-50c3455,3939,3430,3917,3399,3917v-30,,-55,22,-55,48c3344,3993,3369,4015,3399,4015t174,15c3604,4030,3629,4008,3629,3981v,-28,-25,-50,-56,-50c3542,3931,3517,3953,3517,3981v,27,25,49,56,49m8396,1692v-20,-21,-5,-69,-44,-74c8299,1743,8347,1883,8406,1993v5,24,,65,32,68c8497,1948,8479,1790,8396,1692m1319,1826v-12,-60,-36,-110,-88,-146c1200,1686,1200,1686,1200,1686v31,117,-23,280,92,363c1319,2061,1319,2061,1319,2061v-18,-65,-18,-163,,-235m8651,1835v-18,-27,-48,-33,-77,-30c8547,1820,8529,1849,8539,1882v17,24,47,39,74,33c8636,1900,8668,1868,8651,1835m1138,1966v-9,-24,-29,-30,-50,-39c1067,1930,1044,1934,1032,1954v-9,21,-6,48,12,63c1056,2032,1082,2032,1100,2032v24,-13,33,-39,38,-66m8766,2017v-17,-15,-35,-30,-62,-30c8683,1996,8660,2017,8654,2041v6,17,12,38,32,50c8716,2103,8745,2091,8766,2064v6,-17,6,-30,,-47m8598,2019v-18,-9,-33,-21,-57,-15c8512,2013,8500,2043,8500,2073v6,21,23,21,39,36c8565,2118,8586,2094,8601,2079v2,-18,20,-48,-3,-60m8382,2064v-15,-17,-35,-32,-60,-32c8293,2043,8275,2073,8278,2103v9,24,33,53,69,41c8385,2139,8382,2097,8382,2064t-6921,15c1449,2047,1404,2026,1375,2052v-6,18,-33,36,-12,57c1375,2130,1401,2147,1422,2142v18,-15,47,-33,39,-63m1283,2088v-11,-21,-33,-51,-65,-39c1195,2061,1177,2088,1192,2118v12,18,35,36,58,26c1272,2136,1283,2111,1283,2088t6383,12c7657,2085,7657,2055,7633,2064v-17,102,-64,223,-11,328c7649,2418,7652,2469,7693,2484v42,-39,21,-113,32,-170c7719,2237,7696,2162,7666,2100t-6522,36c1130,2109,1100,2094,1070,2097v-23,12,-41,42,-38,71c1047,2192,1070,2219,1106,2210v21,-21,47,-39,38,-74m8134,2222v-30,-17,-45,-57,-48,-89c8077,2115,8065,2097,8045,2111v-24,51,-36,108,-36,170c8030,2368,8089,2442,8130,2523v18,-15,18,-15,18,-15c8175,2412,8172,2308,8134,2222t372,-54c8491,2144,8459,2115,8426,2133v-23,14,-41,41,-32,71c8403,2237,8432,2246,8462,2240v29,-9,41,-42,44,-72m1286,2261v-6,-30,-33,-42,-59,-56c1210,2210,1189,2210,1180,2228v-15,24,-9,45,,68c1200,2306,1218,2335,1242,2317v23,-6,44,-33,44,-56m1416,2246v-15,-27,-32,-51,-68,-42c1328,2222,1310,2240,1316,2269v14,22,32,49,68,37c1396,2291,1428,2276,1416,2246t7172,-9c8498,2261,8411,2311,8350,2392v-33,53,-87,107,-81,167c8296,2555,8320,2534,8338,2520v79,-27,150,-87,183,-167c8527,2314,8586,2276,8588,2237m1227,2362v-38,-51,-94,-63,-145,-101c1062,2264,1023,2237,1015,2270v70,104,168,252,313,262c1348,2502,1348,2502,1348,2502v-53,-45,-76,-90,-121,-140m8607,2403v-104,114,-199,218,-260,346c8379,2770,8414,2737,8447,2725v115,-62,177,-193,184,-322hal8607,2403hdxm8062,2490v-14,-15,-23,-30,-41,-36c7986,2463,7986,2463,7986,2463v-27,9,-45,36,-42,66c7959,2552,7980,2579,8012,2576v36,-15,60,-42,50,-86m1064,2517v-61,-15,-115,-45,-180,-39c863,2487,825,2475,822,2508v103,30,172,116,272,151c1138,2659,1186,2684,1224,2657v-53,-48,-104,-102,-160,-140m4491,1740v22,-4,22,-4,22,-4hal4491,1740hdxm1916,2570v-6,-26,-36,-30,-59,-36c1833,2547,1804,2570,1815,2603v15,24,33,27,56,36c1898,2627,1919,2606,1916,2570t-192,c1700,2547,1665,2565,1644,2585v-15,24,3,45,21,63c1682,2672,1715,2657,1736,2639v9,-21,6,-51,-12,-69m8092,2654v-12,-18,-35,-39,-62,-30c8009,2630,7989,2645,7986,2669v,38,38,44,68,53c8077,2710,8104,2687,8092,2654t157,-6c8234,2636,8219,2621,8198,2627v-23,14,-50,30,-44,62c8163,2719,8192,2731,8226,2725v29,-24,29,-24,29,-24c8278,2687,8257,2663,8249,2648m981,2683v-8,-32,-34,-47,-70,-50c887,2642,881,2663,878,2683v24,39,24,39,24,39c940,2734,970,2719,981,2683t997,51c1966,2701,1931,2678,1898,2689v-24,7,-35,36,-35,60c1878,2770,1898,2794,1928,2791v21,-12,47,-33,50,-57m1804,2713v-18,-12,-30,-27,-54,-21c1733,2698,1718,2716,1706,2728v-6,30,15,42,33,57c1768,2803,1795,2776,1812,2761v-8,-48,-8,-48,-8,-48m8701,2749v-15,-18,-33,-36,-59,-42c8621,2713,8601,2725,8586,2746v,15,-6,39,12,45c8613,2809,8639,2815,8663,2805v15,-8,38,-32,38,-56m8890,2776v-9,-30,-44,-45,-73,-30c8801,2752,8790,2773,8790,2794v-6,27,27,33,44,35c8861,2827,8881,2803,8890,2776t-7571,41c1304,2797,1289,2785,1262,2782v-18,12,-44,6,-50,33c1200,2835,1212,2859,1227,2874v15,12,35,27,56,14c1313,2877,1325,2853,1319,2817t144,27c1449,2809,1387,2785,1363,2829v-21,27,3,54,24,72c1404,2913,1425,2904,1440,2895v6,-18,32,-27,23,-51m8527,2829v-15,-24,-42,-26,-68,-24c8438,2821,8424,2838,8426,2862v6,24,33,42,59,36c8503,2880,8529,2859,8527,2829t242,48c8751,2868,8745,2853,8725,2841v-30,-6,-57,12,-71,36c8645,2898,8648,2925,8666,2940v17,14,47,17,70,12c8766,2934,8763,2904,8769,2877t-7563,63c1194,2904,1141,2868,1115,2919v-3,15,-12,44,9,56c1141,2985,1162,2993,1183,2981v9,-11,35,-18,23,-41m8583,2996v-95,-3,-163,-83,-249,-95c8296,2910,8243,2907,8228,2945v39,24,83,36,119,66c8409,3067,8514,3059,8586,3023v-3,-27,-3,-27,-3,-27m1348,2970v-18,-33,-56,-51,-88,-18c1242,2975,1254,3008,1280,3026v16,6,39,12,50,-6c1336,3003,1354,2993,1348,2970t261,17c1588,2954,1535,2931,1508,2975v-27,24,,48,14,69c1541,3047,1558,3065,1579,3053v24,-15,41,-39,30,-66m5026,3113v-27,-31,-70,-87,-120,-48c4878,3088,4864,3124,4872,3165v11,75,45,146,56,217c4911,3373,4900,3356,4886,3345v-59,-76,-168,-54,-236,-125c4569,3227,4704,3311,4608,3329v-2,19,20,31,20,50c4600,3393,4600,3393,4600,3393v,51,31,96,47,142c4687,3640,4810,3588,4894,3597v46,-23,88,-54,113,-96c5010,3453,5024,3391,4996,3351v-34,-43,-45,-111,-59,-167c4922,3105,5021,3173,5026,3113m1869,3094v-12,-21,-36,-29,-57,-29c1795,3080,1774,3094,1783,3124v12,15,27,45,53,33c1854,3142,1877,3124,1869,3094t1824,30c3684,3094,3648,3106,3642,3136v-32,116,-91,271,-11,381c3663,3520,3655,3482,3657,3458v60,-99,71,-218,36,-334m6223,3181v-11,-24,-8,-78,-50,-69c6170,3169,6153,3216,6138,3270v8,75,35,143,68,212c6229,3458,6229,3458,6229,3458v39,-84,36,-194,-6,-277m2072,3193v-141,-30,-260,32,-336,139c1825,3348,1927,3335,1999,3282v32,-24,83,-33,100,-69hal2072,3193hdxm855,3332v-3,132,67,257,180,308c1068,3633,1091,3670,1115,3651v11,-23,-18,-27,-27,-39c1023,3505,993,3398,884,3321hal855,3332hdxm6108,3413v-15,-27,-56,-39,-80,-15c6023,3413,6005,3425,6014,3446v9,27,35,44,68,36c6105,3473,6111,3443,6108,3413t2703,42c8787,3443,8754,3455,8730,3466v-156,39,-209,206,-310,313c8450,3788,8450,3788,8450,3788v165,-48,266,-199,361,-333m739,3601v-6,-30,-29,-39,-53,-51c662,3556,636,3586,648,3615v12,25,38,39,62,28c737,3640,725,3612,739,3601t852,42c1490,3568,1348,3592,1227,3562v-12,27,-12,27,-12,27c1304,3678,1431,3719,1555,3675v15,-5,44,-5,36,-32m902,3603v-15,-14,-33,-20,-56,-23c822,3589,799,3607,796,3636v11,18,20,30,38,39c863,3681,890,3675,908,3648v-6,-45,-6,-45,-6,-45m3672,3618v-8,-26,-50,-29,-77,-23c3575,3601,3566,3630,3575,3651v11,19,35,30,62,24c3655,3663,3678,3645,3672,3618t5209,-17c8852,3597,8825,3609,8814,3636v-6,21,11,34,14,48c8846,3693,8867,3702,8884,3693v21,-18,48,-33,39,-63hal8881,3601hdxm9118,3618v-24,,-35,-29,-65,-17c9035,3609,9009,3627,9009,3651v3,27,26,36,44,54c9070,3714,9094,3708,9106,3687v15,-21,30,-42,12,-69m616,3705v-10,-27,-37,-39,-60,-45c527,3670,509,3693,503,3720v9,20,24,38,44,48c565,3773,579,3761,595,3756v5,-18,23,-30,21,-51m6841,3705v-23,-39,-74,-27,-97,6c6735,3738,6755,3756,6774,3773v29,15,53,-5,71,-29c6841,3705,6841,3705,6841,3705t-5750,44c1091,3711,1059,3681,1023,3693v-26,15,-23,42,-23,68c1015,3773,1023,3797,1050,3794v27,-3,35,-23,41,-45m807,3756v-14,-16,-29,-45,-56,-45c721,3720,701,3752,698,3779v15,27,44,54,80,42c796,3806,816,3785,807,3756t6229,-7c7021,3728,7004,3717,6978,3717v-36,6,-39,39,-54,62c6939,3803,6969,3833,7004,3821v29,-13,38,-42,32,-72m947,3761v-10,-23,-27,-44,-57,-41c869,3731,849,3746,851,3777v4,20,27,26,39,41c908,3824,917,3807,931,3807v6,-16,24,-25,16,-46m8760,3785v,-56,-79,-80,-109,-29c8654,3808,8654,3808,8654,3808v18,10,32,31,56,25c8734,3821,8752,3808,8760,3785t226,12c8976,3768,8949,3740,8914,3753v-18,3,-24,15,-36,26c8858,3815,8887,3836,8914,3847v29,-2,62,-17,72,-50m7581,3818v-18,-21,-33,-33,-60,-33c7489,3800,7474,3830,7480,3863v18,11,35,21,56,24c7560,3868,7595,3857,7581,3818t-814,36c6753,3821,6691,3824,6676,3857v-6,27,8,45,29,56c6732,3931,6755,3902,6773,3890v-6,-36,-6,-36,-6,-36m6933,3874v-9,-23,-32,-23,-53,-29c6841,3868,6841,3868,6841,3868v4,45,4,45,4,45c6865,3919,6889,3943,6909,3922v21,-12,27,-23,24,-48m1916,3877v-18,-14,-32,-26,-59,-30c1833,3847,1833,3868,1815,3874v-5,24,-8,63,21,75c1863,3966,1895,3952,1910,3934v3,-18,23,-39,6,-57m7897,3890v-21,-24,-47,-54,-89,-37c7802,3868,7785,3880,7785,3899v14,23,32,50,67,38c7873,3931,7903,3919,7897,3890t-160,c7725,3869,7699,3853,7672,3853v-20,7,-29,24,-48,39c7624,3910,7624,3928,7640,3937v17,18,44,21,64,12c7716,3934,7749,3919,7737,3890t1324,26c8934,3910,8805,3812,8678,3893v-24,14,-68,,-77,38c8719,3976,8878,4032,9003,3958v20,-12,73,8,68,-32hal9061,3916hdxm970,3880v-142,-20,-287,,-396,80c586,3979,586,3979,586,3979v130,41,272,-3,380,-69c979,3890,979,3890,979,3890hal970,3880hdxm8198,3910v-11,-30,-47,-33,-67,-33c8106,3887,8083,3910,8092,3934v9,32,48,42,77,32c8187,3955,8198,3934,8198,3910t-6690,12c1490,3895,1463,3868,1428,3887v-15,15,-38,23,-29,56c1408,3967,1443,3993,1472,3981v30,-11,24,-35,36,-59m1299,3937v-7,-30,-34,-42,-60,-48c1218,3898,1210,3907,1192,3922v-9,33,12,54,32,72c1242,4000,1268,4002,1283,3985v6,-15,24,-27,16,-48m8405,4006v-5,-25,-26,-46,-53,-48c8314,3973,8314,3973,8314,3973v-18,15,-21,39,-12,57c8314,4044,8334,4062,8358,4059v24,-6,45,-27,47,-53m1070,3967v-121,53,-212,140,-298,250c784,4240,784,4240,784,4240v79,-20,159,-20,216,-88c1023,4107,1056,4074,1064,4023v3,-17,24,-27,15,-50hal1070,3967hdxm8258,4039v-9,-25,-36,-46,-66,-39c8175,4014,8145,4026,8154,4059v12,21,33,36,59,36c8234,4080,8263,4074,8258,4039t-6839,c1410,4012,1375,4008,1349,4012v-30,8,-42,41,-30,68c1336,4100,1357,4110,1384,4110v17,-15,41,-23,44,-57c1419,4039,1419,4039,1419,4039t7382,89c8754,4074,8683,4006,8598,4012v-33,23,23,44,35,71c8668,4173,8760,4232,8846,4268v35,-4,35,-4,35,-4c8878,4240,8861,4220,8840,4205v-3,-39,41,-6,62,-21c8926,4169,8953,4152,8940,4116v-14,-21,-41,-39,-70,-33c8837,4089,8831,4125,8801,4128t285,-93c9065,4020,9044,4008,9018,4014v-21,9,-33,21,-45,39c8968,4077,8982,4092,8997,4107v26,3,71,15,86,-15c9086,4035,9086,4035,9086,4035m8013,4196v-12,-32,-36,-47,-57,-77c7903,4077,7829,4020,7752,4035v-3,21,20,36,29,48c7820,4202,7950,4264,8051,4321v26,-6,26,-6,26,-6c8065,4280,8039,4229,8013,4196m1254,4083v-15,-15,-30,-39,-54,-36c1177,4059,1138,4086,1159,4119v18,18,35,30,68,24c1242,4130,1265,4110,1254,4083t7128,69c8361,4122,8314,4089,8281,4130v-18,15,-3,39,3,54c8305,4205,8329,4196,8352,4193v9,-12,33,-24,30,-41m9083,4164v-30,-12,-57,2,-77,20c9003,4205,8991,4223,9006,4240v17,16,41,36,70,28c9100,4253,9127,4229,9118,4193hal9083,4164hdxm7072,4604v-142,-42,-295,-9,-402,81c6670,4703,6670,4703,6670,4703v109,2,219,2,311,-45c7007,4631,7072,4640,7072,4604m2759,4732v-6,-21,-30,-41,-57,-45c2682,4702,2653,4717,2664,4753v8,18,29,30,51,30c2741,4774,2756,4759,2759,4732t4262,33c7001,4711,6924,4711,6904,4765v8,47,8,47,8,47c6933,4825,6950,4839,6978,4833v29,-12,38,-41,43,-68m7611,4759v-154,-12,-332,-12,-430,107c7196,4879,7196,4879,7196,4879v160,2,160,2,160,2c7454,4881,7537,4825,7611,4777hal7611,4759hdxm1949,4848v-12,-23,-45,-59,-78,-38c1848,4825,1836,4852,1848,4878v12,21,32,32,62,27c1937,4896,1949,4875,1949,4848t147,30c2088,4857,2066,4848,2046,4839v-9,12,-27,9,-36,27c2002,4884,2007,4905,2028,4916v15,16,38,9,57,c2096,4878,2096,4878,2096,4878m965,5178c896,5089,872,4994,771,4937v-20,-8,-44,-21,-61,-32c689,4910,662,4872,651,4908v103,68,100,184,203,244c887,5170,934,5214,965,5178t3916,-56c4879,5074,4916,5036,4899,4985v-29,-36,-44,-75,-86,-92c4792,4926,4743,4946,4769,4995v20,38,20,82,44,118c4802,5161,4846,5188,4837,5232v12,-5,12,-5,12,-5c4846,5188,4870,5158,4881,5122m9582,4023v39,80,30,203,-20,274c9491,4419,9357,4468,9222,4468v-1168,17,-2280,26,-3466,38c5594,4512,5413,4565,5351,4729v18,36,39,-21,74,-9c5644,4583,5981,4589,6233,4652v73,21,147,39,221,59c6496,4723,6537,4735,6581,4747v201,72,411,125,600,223c7250,4997,7317,5029,7385,5062v33,6,60,33,92,39c7566,5143,7655,5181,7746,5224v26,-3,26,-3,26,-3c7752,5214,7731,5188,7728,5163v3,-20,27,-41,44,-50c7802,5113,7826,5125,7841,5146v3,32,-18,59,-47,75c7770,5227,7770,5227,7770,5227v183,71,378,125,582,145c8391,5402,8462,5363,8494,5405v3,-3,3,-3,3,-3c8497,5408,8497,5408,8497,5408v-89,21,-163,-21,-251,-12c8124,5366,7997,5348,7882,5304v-41,,-74,-15,-103,-33c7643,5235,7521,5170,7388,5125v-5,9,-5,9,-5,9c7430,5176,7459,5241,7489,5292v3,-24,21,-47,36,-65c7554,5221,7592,5221,7611,5247v13,15,2,36,,54c7599,5322,7572,5322,7554,5334v-17,-7,-35,-9,-50,-27c7483,5346,7527,5375,7530,5414v50,208,,435,-97,598c7415,6039,7410,6078,7377,6102v-27,-21,15,-47,23,-72c7474,5869,7510,5711,7510,5522v-30,-242,-196,-474,-432,-540c7007,4952,6933,4935,6862,4914v-9,12,-9,12,-9,12c6921,5051,7051,5086,7069,5235v18,31,18,80,,111c7061,5352,7061,5352,7061,5352v-83,-93,-137,-203,-169,-323c6815,4819,6578,4836,6416,4756v-133,-27,-255,-75,-399,-71c6005,4697,6005,4697,6005,4697v68,71,130,134,159,219c6244,5077,6197,5301,6300,5444v42,53,104,92,113,166c6419,5634,6439,5661,6422,5688v-71,-9,-116,-80,-142,-134c6268,5500,6262,5447,6223,5405v-8,51,-11,111,-26,152c6167,5548,6185,5504,6182,5471v-6,-18,-6,-18,-6,-18c6138,5485,6105,5557,6049,5578v-35,15,-86,35,-121,15c5942,5557,5978,5522,6008,5497v73,-33,168,-74,192,-163c6215,5152,6170,4985,6084,4845v-49,-65,-117,-113,-180,-154c5869,4697,5869,4697,5869,4697v56,53,76,109,112,175c6008,4976,6064,5093,6019,5199v-14,30,-14,78,-50,84c5875,5128,6040,4929,5904,4789v-42,-45,-94,-87,-156,-98c5591,4705,5455,4762,5325,4839v-24,48,-7,90,,137c5351,5024,5372,5068,5408,5107v74,51,197,71,284,27c5745,5110,5783,5051,5789,4995v-3,-46,-9,-90,-41,-117c5721,4860,5685,4842,5653,4860v-35,24,-74,45,-80,89c5565,4967,5541,4965,5529,4965v-21,-13,-18,-39,-18,-63c5549,4845,5597,4792,5674,4792v65,,120,27,162,77c5902,4944,5854,5048,5816,5119v-77,95,-196,126,-320,105c5387,5191,5283,5110,5239,4997v-12,-21,,-89,-50,-60c5044,5065,4922,5229,4885,5426v-10,21,-18,47,-10,71c4772,5488,4772,5488,4772,5488v12,-44,-3,-98,-3,-148c4713,5184,4607,5033,4464,4946v-20,49,-29,90,-65,128c4314,5191,4172,5232,4036,5199v-92,-26,-163,-95,-184,-190c3835,4935,3858,4854,3920,4800v39,-38,107,-41,163,-32c4128,4774,4139,4819,4172,4836v-12,48,-12,48,-12,48c4121,4902,4095,4872,4065,4857v-53,-18,-97,12,-130,48c3920,4965,3938,5042,3983,5086v73,57,189,51,268,3c4314,5051,4358,4970,4361,4889v-6,-41,-56,-58,-85,-79c4133,4747,3991,4664,3829,4679v-68,26,-130,56,-160,131c3613,4905,3672,4997,3681,5095v-21,60,-24,129,-62,182c3578,5250,3586,5191,3569,5152v-47,-84,-24,-185,26,-259c3642,4816,3652,4729,3731,4666v-3,-8,-3,-8,-3,-8c3719,4658,3719,4658,3719,4658v-64,15,-133,50,-186,101c3506,4792,3465,4831,3450,4872v-35,57,-47,123,-59,185c3385,5176,3385,5298,3444,5396v113,6,243,24,308,126c3731,5542,3731,5542,3731,5542v-64,,-118,-26,-180,-42c3513,5488,3492,5429,3444,5456v4,32,42,56,21,89c3441,5539,3415,5516,3409,5485v-3,78,-50,144,-101,197c3250,5676,3250,5676,3250,5676v17,-30,22,-73,40,-98c3329,5506,3409,5456,3382,5363v-41,-160,-44,-384,51,-515c3459,4768,3545,4705,3604,4640v-3,-18,-24,-4,-32,-12c3290,4631,3063,4756,2821,4852v-136,97,-59,264,-80,398c2715,5301,2682,5360,2631,5387v-11,-18,6,-44,,-72c2620,5158,2693,5033,2744,4902v-9,-13,-9,-13,-9,-13c2548,4985,2288,5060,2247,5313v-53,149,-89,330,-27,488c2203,5807,2203,5807,2203,5807v-83,-152,-47,-360,,-518c2229,5245,2250,5197,2265,5146v-36,-15,-68,21,-107,24c2120,5188,2079,5203,2034,5211v-62,30,-133,39,-195,69c1854,5289,1878,5292,1883,5313v12,39,-14,59,-44,71c1815,5378,1786,5366,1780,5340v-12,-33,18,-36,27,-60c1788,5262,1768,5280,1750,5283v-109,3,-221,27,-334,30c1372,5331,1316,5301,1274,5327v12,25,15,51,-3,75c1251,5417,1251,5417,1251,5417v-33,9,-53,-15,-77,-36c1156,5343,1221,5319,1162,5304v-100,-15,-219,-30,-302,36c784,5384,727,5492,630,5500v-56,24,-127,6,-183,30c435,5500,435,5500,435,5500v59,-27,118,-83,168,-137c642,5348,683,5331,730,5334v36,-19,77,-21,113,-30c872,5301,899,5295,922,5280v-26,-9,-55,-24,-70,-42c940,5235,1026,5262,1115,5266v301,11,612,2,881,-88c2017,5167,2017,5167,2017,5167v-54,-12,-107,-21,-154,-42c1798,5113,1727,5081,1670,5042v-38,-57,-118,-6,-159,-57c1446,4940,1396,4863,1330,4825v18,-22,18,-22,18,-22c1479,4798,1599,4860,1647,4976v109,113,275,161,438,143c2238,5128,2353,5004,2492,4949v21,-14,45,-20,63,-41c2487,4863,2401,4899,2327,4866v-51,-24,-103,-50,-128,-98c2217,4756,2241,4774,2268,4768v77,6,180,-21,236,42c2540,4833,2563,4875,2608,4884v145,-42,275,-119,411,-185c2992,4675,2969,4708,2939,4702v-130,-15,-216,-140,-361,-128c2575,4553,2575,4553,2575,4553v136,-35,322,-41,429,54c3040,4640,3093,4666,3149,4655v106,-30,212,-75,331,-69c3778,4551,4086,4607,4320,4759v20,-3,20,-3,20,-3c4314,4640,4204,4562,4101,4529v-284,-56,-600,-8,-881,-23c343,4494,343,4494,343,4494,210,4476,71,4387,24,4255,3,4172,,4065,71,4006v50,-54,127,-75,201,-69c328,3952,394,3996,411,4059v21,15,12,44,9,66c411,4164,382,4205,343,4220v-20,9,-32,-15,-36,-27c323,4160,355,4125,355,4087v-21,-34,-53,-79,-101,-84c195,4008,136,4026,104,4083v-24,42,-24,119,,164c139,4375,288,4417,408,4428v869,15,1667,-23,2543,-11c4027,4423,4027,4423,4027,4423v74,20,169,26,213,92c4361,4571,4444,4705,4464,4845v74,78,163,131,225,227c4710,5039,4680,5004,4678,4970,4497,4559,4231,4190,3829,3966v-98,-56,-192,-119,-296,-157c3533,3809,3303,3669,3216,3647v28,-76,28,-76,28,-76c3587,3732,3923,3937,4228,4167v,-7,,-7,,-7c4198,4050,4267,3958,4260,3853v45,37,45,37,45,37c4325,3937,4325,3937,4325,3937v30,69,18,173,-38,227c4273,4193,4299,4217,4305,4244v153,170,281,336,378,545c4713,4810,4707,4857,4739,4878v15,-15,45,-21,33,-50c4725,4750,4671,4693,4645,4607v-44,-45,-47,-118,-77,-173c4512,4324,4538,4178,4609,4087v30,16,30,16,30,16c4648,4182,4692,4255,4666,4342v-39,86,-39,215,26,277c4733,4679,4760,4759,4831,4789v57,-36,77,-90,118,-143c4949,4634,4949,4634,4949,4634v145,-161,-48,-411,79,-578c5084,4030,5084,4030,5084,4030v-68,41,38,101,19,166c5127,4235,5094,4282,5100,4330v-21,18,-6,57,-26,72c5044,4565,4964,4708,4864,4836v15,33,32,66,67,72c5026,4711,5106,4503,5248,4330v42,-48,-3,-110,-12,-163c5210,4098,5233,3979,5260,3913v43,-28,43,-28,43,-28c5296,3903,5318,3950,5325,3966v29,37,26,87,32,132c5354,4143,5345,4187,5328,4223v304,-304,703,-462,1088,-611c6466,3612,6505,3583,6551,3573v33,-11,63,-32,75,-68c6797,3478,6797,3478,6797,3478v124,-26,243,-83,360,-133c7974,2978,7974,2978,7974,2978v44,-26,101,-68,136,-116c8110,2829,8075,2796,8110,2770v14,-18,38,-21,59,-12c8190,2767,8204,2791,8201,2815v-67,86,-141,170,-224,244c7185,3422,7185,3422,7185,3422v-107,27,-199,89,-305,116c6889,3556,6889,3556,6889,3556v301,,301,,301,c7356,3571,7356,3571,7356,3571v68,30,148,36,222,47c7728,3657,7882,3693,8033,3728v124,-26,178,-172,301,-196c8369,3535,8414,3496,8441,3527v3,23,-30,17,-35,35c8334,3642,8249,3717,8148,3728v-38,21,-38,21,-38,21c8148,3791,8219,3794,8269,3824v78,33,163,63,225,119c8432,3946,8379,3905,8323,3887v-201,-87,-411,-140,-630,-179c7681,3731,7723,3758,7684,3785v-15,6,-29,22,-51,15c7607,3788,7580,3765,7599,3731v28,-32,28,-32,28,-32c7569,3672,7495,3654,7430,3670v15,26,76,44,47,86c7421,3753,7397,3690,7344,3684v-142,-36,-142,-36,-142,-36c7181,3630,7181,3630,7181,3630v-150,3,-319,-38,-452,6c6705,3627,6705,3627,6705,3627v-156,43,-156,43,-156,43c6508,3642,6466,3681,6422,3681v-110,42,-219,72,-323,128c5972,3863,5845,3922,5733,4006v9,17,9,17,9,17c5866,4032,5978,3958,6097,4014v47,39,115,54,156,93c6244,4128,6244,4128,6244,4128v-147,15,-289,-3,-411,-60c5721,4068,5591,4050,5517,4149v-174,127,-281,312,-393,494c5091,4708,5091,4789,5047,4848v-15,72,-48,134,-62,206c4994,5062,4994,5062,4994,5062v65,-80,150,-163,230,-234c5257,4705,5318,4568,5443,4509v272,-167,633,-78,949,-107c6392,4402,9086,4414,9331,4378v77,-15,151,-74,183,-149c9532,4178,9532,4122,9514,4071v-18,-41,-53,-63,-89,-86c9390,3985,9340,3970,9310,4000v-29,26,-44,62,-32,103c9283,4133,9325,4133,9310,4172v-12,21,-38,24,-59,15c9201,4149,9177,4089,9195,4023v32,-65,88,-116,166,-121c9455,3902,9535,3937,9582,4023m8089,4935v-159,-36,-322,23,-429,139c7666,5095,7666,5095,7666,5095v39,-9,39,-9,39,-9c7852,5081,7997,5054,8101,4961v-12,-26,-12,-26,-12,-26m7613,4982v-12,-42,-68,-42,-92,-17c7512,4979,7492,4991,7501,5014v14,25,32,46,65,49c7599,5048,7625,5024,7613,4982t-5620,6c1975,4961,1949,4965,1925,4965v-24,14,-39,30,-39,56c1892,5039,1904,5062,1925,5065v53,-14,53,-14,53,-14c1996,5036,1998,5009,1993,4988t-530,193c1352,5101,1263,4982,1115,4982v-18,6,,18,,27c1183,5039,1230,5099,1272,5158v53,42,121,60,191,45c1463,5181,1463,5181,1463,5181m8497,4982v-115,47,-216,170,-263,284c8252,5286,8269,5256,8290,5256v121,-45,180,-170,249,-271hal8497,4982hdxm2164,5021v-12,-21,-38,-39,-62,-33c2088,5004,2061,5015,2072,5045v16,17,27,36,51,32c2144,5060,2167,5054,2164,5021t6732,c8801,5060,8742,5161,8701,5250v-15,27,-50,57,-35,87c8760,5322,8810,5245,8870,5176v26,-42,14,-99,41,-137hal8896,5021hdxm547,5065v-20,-36,-73,-20,-92,7c444,5095,453,5128,479,5142v24,10,51,4,68,-11c565,5107,556,5086,547,5065t-169,36c364,5081,334,5065,307,5077v-22,12,-32,36,-29,63c293,5167,313,5184,346,5178v18,-2,32,-20,41,-36c378,5101,378,5101,378,5101t349,18c707,5095,680,5093,650,5095v-20,12,-34,33,-34,60c639,5178,662,5208,704,5191v35,-7,29,-48,23,-72m1212,5158v-12,-24,-38,-15,-56,-24c1138,5143,1127,5152,1115,5167v-18,21,15,36,20,54c1192,5214,1192,5214,1192,5214v23,-6,18,-36,20,-56m9195,5178v-6,-32,-45,-44,-74,-44c9098,5143,9071,5161,9082,5194v16,27,42,29,68,32c9174,5226,9186,5200,9195,5178t-541,16c8636,5164,8615,5143,8577,5146v-24,9,-45,27,-50,53c8541,5232,8577,5262,8618,5245v13,-10,39,-27,36,-51m9020,5188v-8,-36,-59,-39,-85,-24c8917,5181,8896,5203,8923,5227v17,18,47,20,71,11c9009,5229,9020,5208,9020,5188m470,5238v-17,-21,-41,-39,-71,-30c375,5217,367,5245,370,5271v8,27,38,42,65,42c464,5300,476,5271,470,5238t8036,33c8488,5238,8429,5221,8406,5266v-24,14,-10,47,2,61c8426,5343,8441,5354,8465,5348v32,-14,50,-44,41,-77m2061,5304v-18,-18,-30,-48,-62,-39c1981,5271,1975,5283,1960,5295v-9,27,9,45,24,62c2028,5360,2028,5360,2028,5360v9,-17,44,-23,33,-56m9142,5325v-9,-30,-42,-42,-68,-42c9053,5289,9050,5304,9032,5315v,28,,51,27,67c9080,5387,9109,5384,9127,5369v3,-15,20,-24,15,-44m8958,5334v-11,-18,-23,-33,-44,-42c8890,5286,8878,5304,8861,5307v-50,36,33,65,-6,107c8801,5417,8731,5402,8692,5440v24,21,60,21,80,36c8849,5560,8958,5586,9065,5589v,-23,,-23,,-23c9005,5510,8958,5447,8881,5408v3,-18,21,-9,33,-12c8938,5387,8970,5369,8958,5334t-1209,3c7740,5292,7663,5283,7640,5327v-9,30,15,48,29,69c7690,5405,7716,5402,7734,5384v15,-47,15,-47,15,-47m1138,5440v3,-44,-56,-62,-89,-35c1047,5419,1032,5432,1034,5453v10,23,30,33,54,36c1118,5486,1129,5468,1138,5440t223,-38c1274,5465,1180,5518,1133,5619v-12,27,-62,60,-51,87c1195,5697,1274,5608,1319,5510v14,-43,59,-66,59,-108hal1361,5402hdxm7678,5444v-23,-33,-74,-63,-109,-27c7557,5440,7542,5464,7566,5489v15,11,35,33,61,23c7651,5500,7681,5476,7678,5444t184,20c7852,5429,7808,5426,7782,5429v-21,3,-27,27,-42,42c7740,5494,7758,5512,7779,5524v29,6,29,6,29,6c7838,5522,7859,5497,7862,5464t-6026,-2c1815,5444,1806,5417,1771,5429v-15,15,-41,33,-35,59c1748,5510,1765,5527,1792,5524v23,-12,47,-29,44,-62m2040,5473v-6,-33,-38,-44,-68,-44c1951,5444,1928,5459,1931,5488v9,24,32,30,53,36c2013,5518,2031,5500,2040,5473t6457,209c8462,5596,8397,5522,8329,5465v-24,-9,-54,-42,-80,-15c8278,5539,8331,5617,8402,5688v45,9,83,63,131,42c8539,5709,8512,5693,8497,5682t110,-209c8586,5465,8571,5447,8551,5450v-22,9,-48,15,-57,38c8477,5516,8503,5539,8518,5557v27,6,65,12,83,-18c8613,5518,8615,5495,8607,5473t-6295,78c2294,5536,2279,5524,2256,5530v-18,18,-50,24,-36,59c2230,5622,2265,5631,2291,5626v30,-16,24,-51,21,-75m7770,5655v-30,-8,-51,-62,-80,-35c7702,5649,7702,5649,7702,5649v50,134,80,269,213,363c7927,6012,7927,6012,7927,6012v17,-15,-6,-35,3,-56c7924,5879,7894,5805,7852,5744hal7770,5655hdxm2555,5619v-92,-11,-175,30,-261,57c2279,5703,2279,5703,2279,5703v136,80,302,30,420,-54c2696,5644,2696,5644,2696,5644hal2555,5619hdxm2022,5634v-156,15,-330,101,-384,263c1667,5914,1682,5881,1706,5873v124,-30,216,-152,316,-215hal2022,5634hdxm7678,5792v-15,-24,-35,-24,-62,-30c7601,5771,7581,5774,7572,5795v,21,,48,27,60c7655,5855,7655,5855,7655,5855v23,-6,32,-39,23,-63m7394,5804v-103,-26,-204,-6,-302,15c7078,5834,7049,5825,7045,5849v89,24,181,71,281,35c7365,5873,7415,5849,7433,5807hal7394,5804hdxm2022,5893v-5,-29,-29,-47,-59,-50c1946,5849,1922,5855,1916,5875v-15,22,6,36,12,54c1946,5941,1966,5950,1987,5941v23,-9,27,-35,35,-48m2197,5920v-12,-23,-39,-53,-68,-51c2088,5897,2088,5897,2088,5897v-9,20,,41,8,59c2113,5970,2132,5983,2156,5977v23,-12,32,-39,41,-57m7622,5950v-15,-44,-68,-59,-101,-33c7512,5938,7483,5953,7501,5977v9,15,14,38,36,41c7557,6030,7587,6027,7601,6007v12,-18,24,-33,21,-57m7752,5944v-15,-9,-33,-33,-59,-24c7655,5926,7646,5970,7657,6000v9,7,18,31,36,25c7729,6039,7740,6000,7758,5986v-6,-42,-6,-42,-6,-42m2090,6030v-15,-35,-50,-41,-80,-38c1975,6010,1972,6048,1975,6078v12,39,53,39,86,33c2085,6092,2096,6063,2090,6030t169,-12c2185,6102,2072,6170,2011,6260v,15,,15,,15c2058,6304,2105,6260,2153,6251v82,-48,100,-149,106,-233m7157,6087v-14,-21,-38,-45,-65,-41c7078,6051,7061,6061,7054,6078v-9,21,-5,50,15,60c7090,6146,7122,6155,7140,6135v9,-16,30,-30,17,-48m2555,6223v2,-17,-21,-17,-15,-38c2504,6147,2472,6090,2427,6061v-20,5,-20,5,-20,5c2436,6170,2427,6289,2492,6379v33,29,54,86,104,80c2572,6385,2596,6292,2555,6223m7306,6111v-9,-33,-39,-48,-68,-36c7223,6090,7199,6099,7208,6128v18,15,36,24,56,27c7279,6140,7306,6134,7306,6111t351,265c7654,6254,7566,6179,7486,6111v-18,3,-18,3,-18,3c7457,6233,7542,6319,7627,6397v13,,13,,13,c7657,6376,7657,6376,7657,6376t-222,-95c7424,6253,7400,6230,7365,6239v-15,14,-48,30,-44,59c7326,6343,7377,6346,7410,6337v14,-15,29,-33,25,-56m7241,6343v-10,-24,38,-57,-10,-62c7122,6325,7034,6435,7004,6549v6,44,6,44,6,44c7087,6510,7199,6453,7241,6343t221,89c7451,6409,7424,6394,7394,6400v-17,15,-41,23,-38,53c7374,6477,7397,6483,7421,6486v14,-15,41,-27,41,-54m5267,1050v61,,58,103,,103c5221,1153,5148,1050,5234,1050v33,,33,,33,m4916,1153v-46,,-127,-103,-42,-103c4961,1050,4961,1050,4961,1050v46,,126,103,41,103hal4916,1153hdxm4557,1153v-46,,-127,-103,-41,-103c4601,1050,4601,1050,4601,1050v46,,127,103,41,103hal4557,1153hdxm4386,1026v-41,,-74,34,-74,74c4312,1141,4345,1174,4386,1174v876,,876,,876,c5303,1174,5335,1141,5335,1100v,-40,-32,-74,-73,-74hal4386,1026hdxm5269,2385v,-54,52,-36,90,-36c5398,2349,5449,2331,5449,2385v,40,-51,13,-90,13c5321,2398,5269,2425,5269,2385t29,92c5239,2477,5239,2437,5239,2378v,-87,83,-13,113,-94c5393,2380,5474,2279,5474,2380v,45,-4,97,-41,97hal5298,2477hdxm5248,2279v-128,-21,-128,-21,-128,-21c5156,2401,5156,2401,5156,2401v-36,150,-36,150,-36,150c5254,2513,5254,2513,5254,2513v-68,267,-68,267,-68,267c5353,2715,5353,2715,5353,2715v165,65,165,65,165,65c5468,2513,5468,2513,5468,2513v115,32,115,32,115,32c5539,2401,5539,2401,5539,2401v44,-149,44,-149,44,-149c5453,2279,5453,2279,5453,2279v65,-247,65,-247,65,-247c5353,2096,5353,2096,5353,2096v-167,-64,-167,-64,-167,-64hal5248,2279hdxm4820,2375v27,20,27,20,27,20c4847,2364,4847,2364,4847,2364v27,-6,27,-6,27,-6c4853,2335,4853,2335,4853,2335v13,-24,13,-24,13,-24c4837,2313,4837,2313,4837,2313v-17,-30,-17,-30,-17,-30c4803,2313,4803,2313,4803,2313v-29,-2,-29,-2,-29,-2c4787,2335,4787,2335,4787,2335v-22,23,-22,23,-22,23c4793,2364,4793,2364,4793,2364v,31,,31,,31hal4820,2375hdxm4690,2542v26,21,26,21,26,21c4716,2531,4716,2531,4716,2531v28,-5,28,-5,28,-5c4722,2503,4722,2503,4722,2503v14,-25,14,-25,14,-25c4707,2481,4707,2481,4707,2481v-17,-31,-17,-31,-17,-31c4673,2481,4673,2481,4673,2481v-29,-3,-29,-3,-29,-3c4657,2503,4657,2503,4657,2503v-22,23,-22,23,-22,23c4663,2531,4663,2531,4663,2531v,32,,32,,32hal4690,2542hdxm4911,2521v26,20,26,20,26,20c4937,2509,4937,2509,4937,2509v28,-5,28,-5,28,-5c4943,2482,4943,2482,4943,2482v14,-25,14,-25,14,-25c4928,2459,4928,2459,4928,2459v-17,-30,-17,-30,-17,-30c4893,2459,4893,2459,4893,2459v-29,-2,-29,-2,-29,-2c4878,2482,4878,2482,4878,2482v-22,22,-22,22,-22,22c4885,2509,4885,2509,4885,2509v,32,,32,,32hal4911,2521hdxm4925,2655v15,11,15,11,15,11c4940,2649,4940,2649,4940,2649v16,-3,16,-3,16,-3c4944,2633,4944,2633,4944,2633v7,-14,7,-14,7,-14c4935,2620,4935,2620,4935,2620v-10,-17,-10,-17,-10,-17c4915,2620,4915,2620,4915,2620v-16,-1,-16,-1,-16,-1c4907,2633,4907,2633,4907,2633v-13,13,-13,13,-13,13c4910,2649,4910,2649,4910,2649v,17,,17,,17hal4925,2655hdxm4751,2775v45,34,45,34,45,34c4796,2756,4796,2756,4796,2756v48,-10,48,-10,48,-10c4807,2707,4807,2707,4807,2707v23,-42,23,-42,23,-42c4780,2669,4780,2669,4780,2669v-29,-52,-29,-52,-29,-52c4721,2669,4721,2669,4721,2669v-50,-4,-50,-4,-50,-4c4695,2707,4695,2707,4695,2707v-38,39,-38,39,-38,39c4705,2756,4705,2756,4705,2756v,53,,53,,53hal4751,2775hdxm4706,256c4442,179,4442,179,4442,179v133,241,133,241,133,241c4351,580,4351,580,4351,580v271,45,271,45,271,45c4606,901,4606,901,4606,901,4810,716,4810,716,4810,716v204,185,204,185,204,185c4997,625,4997,625,4997,625v271,-45,271,-45,271,-45c5044,420,5044,420,5044,420,5177,179,5177,179,5177,179v-263,77,-263,77,-263,77c4810,,4810,,4810,hal4706,256hdxm3852,5731v-129,31,-129,31,-129,31c3727,5774,3727,5774,3727,5774v51,-10,62,5,69,35c3831,5959,3831,5959,3831,5959v8,31,24,107,-79,132c3668,6111,3652,6043,3645,6015v-39,-165,-39,-165,-39,-165c3596,5807,3614,5803,3652,5792v-3,-13,-3,-13,-3,-13c3451,5827,3451,5827,3451,5827v3,12,3,12,3,12c3487,5835,3503,5831,3513,5873v38,164,38,164,38,164c3565,6091,3583,6104,3613,6117v45,19,101,8,126,2c3775,6111,3823,6089,3847,6056v19,-29,17,-74,10,-103c3820,5796,3820,5796,3820,5796v-8,-32,4,-42,35,-53hal3852,5731hdxm4166,5772v-24,-107,-24,-107,-24,-107c4125,5669,4125,5669,4125,5669v-16,21,-16,21,-16,21c4092,5694,4061,5683,4013,5694v-111,25,-115,96,-108,126c3910,5843,3919,5886,4029,5904v42,6,42,6,42,6c4113,5918,4144,5923,4150,5956v3,7,10,56,-60,72c4015,6044,3968,5997,3946,5949v-17,4,-17,4,-17,4c3956,6075,3956,6075,3956,6075v17,-4,17,-4,17,-4c3987,6050,3987,6050,3987,6050v17,-4,48,7,104,-5c4199,6021,4223,5953,4214,5909v-12,-54,-63,-73,-85,-76c4035,5816,4035,5816,4035,5816v-54,-10,-68,-19,-74,-45c3954,5739,3983,5717,4014,5710v69,-15,117,33,135,66hal4166,5772hdxm4538,5958v-44,2,-59,2,-63,-40c4450,5652,4450,5652,4450,5652v41,-3,104,-6,123,74c4590,5724,4590,5724,4590,5724v-10,-101,-10,-101,-10,-101c4219,5658,4219,5658,4219,5658v8,100,8,100,8,100c4245,5757,4245,5757,4245,5757v4,-81,66,-90,108,-96c4378,5927,4378,5927,4378,5927v4,41,-10,45,-54,51c4325,5991,4325,5991,4325,5991v215,-21,215,-21,215,-21hal4538,5958hdxm4783,5661v3,-15,4,-21,37,-20c4869,5642,4893,5664,4892,5715v-2,66,-33,77,-112,76hal4783,5661hdxm5041,5958v-24,-10,-24,-10,-24,-10c4898,5801,4898,5801,4898,5801v33,-8,95,-22,97,-84c4996,5631,4869,5624,4826,5624v-194,-4,-194,-4,-194,-4c4632,5633,4632,5633,4632,5633v34,2,53,4,53,47c4680,5904,4680,5904,4680,5904v-1,42,-13,43,-54,46c4626,5963,4626,5963,4626,5963v203,3,203,3,203,3c4830,5954,4830,5954,4830,5954v-40,-6,-53,-7,-53,-48c4780,5807,4780,5807,4780,5807v15,,15,,15,c4917,5968,4917,5968,4917,5968v124,2,124,2,124,2hal5041,5958hdxm5152,5865v72,-114,72,-114,72,-114c5269,5880,5269,5880,5269,5880hal5152,5865hdxm5438,6009v-29,-2,-36,-21,-56,-78c5281,5651,5281,5651,5281,5651v-17,-3,-17,-3,-17,-3c5097,5907,5097,5907,5097,5907v-22,35,-33,51,-66,51c5030,5970,5030,5970,5030,5970v121,16,121,16,121,16c5153,5973,5153,5973,5153,5973v-20,-4,-49,-8,-47,-27c5107,5938,5120,5918,5141,5884v134,17,134,17,134,17c5282,5918,5297,5957,5294,5971v-2,16,-12,16,-49,14c5243,5997,5243,5997,5243,5997v194,24,194,24,194,24hal5438,6009hdxm5832,5985v-17,-4,-17,-4,-17,-4c5778,6032,5737,6068,5648,6051v-41,-7,-52,-13,-48,-38c5643,5779,5643,5779,5643,5779v7,-44,26,-41,67,-35c5713,5732,5713,5732,5713,5732v-207,-39,-207,-39,-207,-39c5503,5706,5503,5706,5503,5706v27,6,51,11,45,45c5504,5992,5504,5992,5504,5992v-5,30,-23,28,-57,25c5445,6031,5445,6031,5445,6031v343,62,343,62,343,62hal5832,5985hdxm6018,6132v-33,-9,-56,-16,-50,-47c6018,5845,6018,5845,6018,5845v7,-34,36,-28,64,-23c6084,5809,6084,5809,6084,5809v-206,-43,-206,-43,-206,-43c5875,5778,5875,5778,5875,5778v27,7,55,14,48,47c5874,6064,5874,6064,5874,6064v-7,31,-31,28,-62,24c5809,6101,5809,6101,5809,6101v206,43,206,43,206,43hal6018,6132hdxm6146,6048v69,-117,69,-117,69,-117c6264,6060,6264,6060,6264,6060hal6146,6048hdxm6436,6185v-29,-2,-37,-20,-59,-77c6270,5830,6270,5830,6270,5830v-16,-2,-16,-2,-16,-2c6093,6090,6093,6090,6093,6090v-22,36,-32,53,-65,53c6026,6155,6026,6155,6026,6155v122,13,122,13,122,13c6150,6155,6150,6155,6150,6155v-21,-3,-50,-7,-47,-27c6103,6121,6115,6101,6136,6066v134,14,134,14,134,14c6277,6097,6293,6137,6291,6150v-1,17,-13,16,-50,15c6240,6178,6240,6178,6240,6178v194,20,194,20,194,20hal6436,6185hdxm4787,2137v35,,84,25,84,-17c4871,2060,4815,2073,4780,2073v-36,,-76,-13,-76,47c4704,2162,4752,2137,4787,2137t106,-23c4893,2142,4882,2163,4867,2176v,39,,39,,39c4850,2232,4850,2232,4850,2232v-129,,-129,,-129,c4704,2215,4704,2215,4704,2215v,-36,,-36,,-36c4687,2168,4678,2147,4678,2111v,-94,81,-20,109,-108c4825,2107,4893,1993,4893,2114m5950,3606v31,,56,-22,56,-49c6006,3530,5981,3507,5950,3507v-30,,-55,23,-55,50c5895,3584,5920,3606,5950,3606m5688,1805v-26,53,-26,53,-26,53c5662,1874,5674,1887,5689,1887v14,,27,-13,27,-29hal5688,1805hdxm3903,1805v-27,53,-27,53,-27,53c3876,1874,3888,1887,3903,1887v15,,27,-13,27,-29hal3903,1805hdxm4349,1805v-26,53,-26,53,-26,53c4323,1874,4335,1887,4350,1887v14,,26,-13,26,-29hal4349,1805hdxm4795,1805v-25,53,-25,53,-25,53c4770,1874,4781,1887,4796,1887v14,,26,-13,26,-29hal4795,1805hdxm5242,1805v-26,53,-26,53,-26,53c5216,1874,5228,1887,5242,1887v15,,27,-13,27,-29hal5242,1805hdxm3876,2471v,15,13,29,27,29c3918,2500,3930,2486,3930,2471v-27,-53,-27,-53,-27,-53hal3876,2471hdxm3876,3066v27,29,27,29,27,29c3930,3066,3930,3066,3930,3066v-27,-52,-27,-52,-27,-52hal3876,3066hdxm3948,3538v,16,12,29,27,29c3989,3567,4001,3554,4001,3538v-26,-53,-26,-53,-26,-53hal3948,3538hdxm4322,3788v,16,12,29,27,29c4364,3817,4376,3804,4376,3788v-27,-53,-27,-53,-27,-53hal4322,3788hdxm5711,2418v-26,53,-26,53,-26,53c5685,2486,5697,2500,5711,2500v15,,27,-14,27,-29hal5711,2418hdxm5711,3014v-26,52,-26,52,-26,52c5711,3095,5711,3095,5711,3095v27,-29,27,-29,27,-29hal5711,3014hdxm5640,3485v-26,53,-26,53,-26,53c5614,3554,5625,3567,5640,3567v14,,27,-13,27,-29hal5640,3485hdxm5265,3735v-26,53,-26,53,-26,53c5239,3804,5251,3817,5266,3817v14,,26,-13,26,-29hal5265,3735hdxm4810,4001v-26,53,-26,53,-26,53c4784,4070,4795,4083,4810,4083v15,,26,-13,26,-29hal4810,4001hdxm5536,3113v5,9,19,11,37,5c5590,3070,5590,3070,5590,3070v-32,-19,-32,-19,-32,-19c5510,3062,5460,3068,5432,3113v,31,22,59,45,74c5494,3181,5496,3198,5508,3206v-20,26,-20,26,-20,26c5454,3198,5395,3243,5370,3201v12,-43,34,-91,-3,-131c5376,3045,5376,3045,5376,3045v-14,-39,-57,-9,-81,-9c5253,3031,5219,3054,5193,3088v22,42,22,42,22,42c5235,3141,5235,3141,5235,3141v-27,17,-27,17,-27,17c5219,3190,5219,3190,5219,3190v-20,8,-40,-20,-48,-34c5171,3133,5174,3093,5143,3088v-25,7,-25,7,-25,7c5111,3105,5106,3122,5106,3142v,21,12,51,12,51c5118,3193,5204,3258,5224,3296v-25,52,-25,123,-84,151c5123,3458,5123,3475,5123,3492v14,11,14,11,14,11c5174,3483,5243,3478,5238,3416v15,-26,28,-54,53,-74c5319,3337,5345,3351,5356,3373v-9,43,-37,71,-76,85c5278,3481,5278,3481,5278,3481v11,20,41,11,59,8c5384,3458,5404,3402,5446,3384v6,29,-56,38,-17,65c5454,3444,5488,3453,5505,3419v-20,-48,67,-71,14,-114c5519,3263,5564,3246,5561,3201v-17,-45,-70,-45,-84,-88c5494,3102,5519,3105,5536,3113m3484,3628v31,,56,-22,56,-50c3540,3551,3515,3530,3484,3530v-30,,-55,21,-55,48c3429,3606,3454,3628,3484,3628m589,5319v30,,55,-23,55,-53c644,5237,619,5214,589,5214v-31,,-55,23,-55,52c534,5296,558,5319,589,5319t1835,402c2425,5721,2425,5721,2425,5721v2,1,2,1,2,1c2424,5725,2424,5725,2424,5725hal2424,5721hdxm2432,5730v-1,-1,-1,-1,-1,-1c2427,5725,2427,5725,2427,5725v3,-3,3,-3,3,-3c2425,5720,2425,5720,2425,5720v-5,,-5,,-5,c2420,5721,2420,5721,2420,5721v1,1,1,1,1,1c2421,5729,2421,5729,2421,5729v-1,1,-1,1,-1,1c2420,5730,2420,5730,2420,5730v5,,5,,5,c2425,5730,2425,5730,2425,5730v-1,-1,-1,-1,-1,-1c2424,5725,2424,5725,2424,5725v4,5,4,5,4,5c2432,5730,2432,5730,2432,5730xm2440,5723v,-3,,-3,,-3c2439,5720,2439,5720,2439,5720v-1,,-1,,-1,c2436,5720,2436,5720,2436,5720v-4,2,-4,2,-4,2c2435,5726,2435,5726,2435,5726v1,,1,,1,c2438,5728,2438,5728,2438,5728v-2,2,-2,2,-2,2c2433,5726,2433,5726,2433,5726v-1,,-1,,-1,c2432,5731,2432,5731,2432,5731v1,,1,,1,c2433,5730,2433,5730,2433,5730v3,1,3,1,3,1c2440,5728,2440,5728,2440,5728v-2,-4,-2,-4,-2,-4c2436,5723,2436,5723,2436,5723v-2,-1,-2,-1,-2,-1c2436,5720,2436,5720,2436,5720v3,3,3,3,3,3hal2440,5723hdxm2458,5720v-3,,-3,,-3,c2455,5721,2455,5721,2455,5721v1,,1,,1,c2456,5722,2456,5722,2456,5722v-2,5,-2,5,-2,5c2452,5722,2452,5722,2452,5722v,-1,,-1,,-1c2453,5721,2453,5721,2453,5721v,-1,,-1,,-1c2448,5720,2448,5720,2448,5720v,1,,1,,1c2449,5721,2449,5721,2449,5721v,1,,1,,1c2448,5727,2448,5727,2448,5727v-3,-5,-3,-5,-3,-5c2445,5721,2445,5721,2445,5721v1,,1,,1,c2446,5720,2446,5720,2446,5720v-5,,-5,,-5,c2441,5721,2441,5721,2441,5721v1,,1,,1,c2446,5730,2446,5730,2446,5730v,,,,,c2449,5723,2449,5723,2449,5723v3,7,3,7,3,7c2453,5730,2453,5730,2453,5730v4,-9,4,-9,4,-9c2458,5721,2458,5721,2458,5721hal2458,5720hdxm2461,5722v1,-2,1,-2,1,-2c2463,5724,2463,5724,2463,5724v,1,,1,,1c2462,5726,2462,5726,2462,5726hal2461,5722hdxm2458,5730v8,-6,8,-6,8,-6c2462,5720,2462,5720,2462,5720v-4,3,-4,3,-4,3c2462,5727,2462,5727,2462,5727v,,,,,c2463,5726,2463,5726,2463,5726v-5,4,-5,4,-5,4xm2469,5722v4,,4,,4,c2475,5720,2475,5720,2475,5720v-6,,-6,,-6,c2467,5725,2467,5725,2467,5725v4,1,4,1,4,1c2473,5728,2473,5728,2473,5728v-2,1,-2,1,-2,1c2468,5728,2468,5728,2468,5728v-2,1,-2,1,-2,1c2469,5730,2469,5730,2469,5730v5,-4,5,-4,5,-4c2472,5724,2472,5724,2472,5724v-3,-1,-3,-1,-3,-1hal2469,5722hdxm5779,1790v-1945,,-1945,,-1945,c3834,3330,3834,3330,3834,3330v11,119,52,218,134,275c4743,4098,4743,4098,4743,4098v17,13,38,21,61,21c4827,4119,4848,4111,4864,4098v5,,5,,5,c5645,3605,5645,3605,5645,3605v82,-57,123,-156,134,-275hal5779,1790hdxm5835,3309v,161,-67,301,-161,345c4869,4164,4869,4164,4869,4164v-17,15,-40,25,-65,25c4776,4189,4749,4176,4732,4157,3940,3654,3940,3654,3940,3654v-94,-44,-162,-184,-162,-345c3776,1735,3776,1735,3776,1735v1,,1,,1,c3777,1733,3777,1733,3777,1733v2060,,2060,,2060,c5837,1735,5837,1735,5837,1735hal5835,3309hdxm5084,4030v25,-13,25,-13,25,-13hal5084,4030hdxm3216,6098v43,-130,43,-130,43,-130c3333,6084,3333,6084,3333,6084hal3216,6098hdxm3528,6169v-28,4,-40,-11,-73,-62c3290,5858,3290,5858,3290,5858v-16,2,-16,2,-16,2c3173,6151,3173,6151,3173,6151v-14,39,-20,57,-52,66c3122,6229,3122,6229,3122,6229v122,-14,122,-14,122,-14c3242,6203,3242,6203,3242,6203v-20,1,-49,3,-51,-17c3190,6179,3197,6156,3210,6118v134,-16,134,-16,134,-16c3380,6167,3380,6167,3380,6167v2,16,-9,18,-46,24c3336,6204,3336,6204,3336,6204v194,-22,194,-22,194,-22hal3528,6169hdxm6865,5557v9,-53,21,-128,-24,-170c6827,5352,6782,5334,6744,5325v-48,-27,-125,-30,-172,-7c6511,5348,6484,5411,6481,5473v17,43,20,96,79,96c6572,5471,6572,5471,6572,5471v9,-27,-3,-57,24,-75c6667,5381,6744,5399,6782,5456v24,80,-41,130,-44,202c6797,5649,6839,5610,6865,5557t-239,29c6649,5601,6673,5578,6687,5566v25,-18,21,-54,21,-77c6616,5366,6658,5554,6626,5586t32,75c6614,5640,6560,5640,6514,5631v,24,-6,60,8,84c6593,5715,6593,5715,6593,5715v23,-18,68,-6,65,-54m6741,6025v15,-105,59,-203,59,-310c6545,5831,6247,5756,5981,5715v-29,-6,-62,-6,-88,-15c5724,5688,5570,5644,5404,5622v-79,-5,-150,-27,-233,-29c4917,5548,4645,5563,4379,5566v-234,18,-462,56,-683,104c3465,5711,3243,5792,2995,5744v-47,-11,-92,-44,-136,-51c2856,5718,2862,5748,2871,5771v3,72,29,131,24,206c2927,6072,2883,6209,2989,6260v130,41,278,21,414,3c3621,6199,3843,6146,4071,6105v485,-110,1041,-80,1517,23c5928,6188,6274,6307,6626,6230v38,-21,82,-48,82,-102c6738,6102,6717,6054,6741,6025m5239,6242v-50,-108,-162,-7,-210,39c4976,6313,5053,6352,5044,6390v12,31,12,31,12,31c5077,6435,5097,6445,5124,6441v53,-12,112,-12,142,-68c5280,6322,5254,6284,5239,6242t68,146c5278,6459,5200,6486,5130,6489v32,12,82,6,115,-12c5307,6453,5343,6397,5345,6331v-2,-30,-5,-68,-41,-77hal5307,6388hdxm5381,6650v-71,-39,-136,-89,-216,-96c5168,6569,5168,6569,5168,6569v65,45,122,96,207,93c5381,6650,5381,6650,5381,6650t-109,274c5200,6810,5144,6682,5073,6567v-11,2,-11,2,-11,2c5118,6695,5159,6814,5248,6927v24,-3,24,-3,24,-3m5124,6852v11,-21,-3,-42,-21,-57c5100,6814,5094,6846,5109,6858v15,-6,15,-6,15,-6m5041,6674v-9,29,9,57,15,68c5073,6715,5044,6703,5041,6674t-18,-188c5029,6486,5029,6486,5029,6486v,-9,,-9,,-9c5023,6477,5023,6477,5023,6477hal5023,6486hdxm4852,6915v71,-31,189,39,212,-60c5059,6793,5008,6855,4976,6846v-68,-15,-139,-3,-207,-6c4725,6882,4683,6825,4636,6843v-3,24,23,36,20,60c4710,6950,4795,6918,4852,6915m4722,6561v-27,62,-101,119,-83,190c4677,6682,4713,6607,4736,6536v-14,25,-14,25,-14,25m4804,6503v-47,84,-76,192,-109,287c4713,6822,4769,6814,4801,6816v63,-38,151,9,207,-41c5053,6686,4938,6625,4894,6561v-15,-33,-51,-99,-90,-58m4801,6373v-17,17,-17,17,-17,17c4795,6390,4795,6390,4795,6390hal4801,6373hdxm4864,6397v21,-7,35,-21,53,-36c4911,6352,4911,6352,4911,6352v-21,,-35,27,-47,45m4931,6441v-26,,-26,,-26,hal4931,6441hdxm4985,6534v-18,-24,-41,-39,-74,-33c4979,6554,4979,6554,4979,6554v6,-20,6,-20,6,-20m4979,6352v-3,,-3,,-3,c4976,6361,4976,6361,4976,6361v3,,3,,3,hal4979,6352hdxm5103,6167v-36,-2,-80,30,-97,63c5041,6221,5067,6179,5103,6167t-148,-39c4979,6221,5038,6111,5085,6117v-91,-6,-91,-6,-91,-6c4982,6122,4949,6102,4955,6128t-216,84c4725,6254,4730,6284,4769,6316v29,27,68,,95,-12c4944,6254,4870,6173,4864,6114v-24,-12,-51,-12,-80,-12c4757,6134,4754,6170,4739,6212t-44,185c4713,6400,4730,6390,4739,6376v-35,-21,-35,-21,-35,-21c4695,6397,4695,6397,4695,6397t-3,-170c4689,6227,4689,6227,4689,6227v,33,,33,,33c4692,6260,4692,6260,4692,6260hal4692,6227hdxm4656,6170v3,-18,27,-36,12,-56c4627,6107,4592,6105,4556,6117v42,,62,44,100,53m4624,6412v27,-33,44,-87,47,-126c4651,6322,4633,6373,4624,6412t-65,c4601,6364,4624,6307,4633,6242v-57,-60,-174,-27,-216,39c4417,6313,4387,6346,4417,6376v44,14,92,29,142,36m4580,6492v12,-3,12,-3,12,-3c4580,6489,4580,6489,4580,6489v,3,,3,,3c4580,6503,4580,6503,4580,6503v6,,6,,6,c4586,6492,4586,6492,4586,6492hal4580,6492hdxm4512,6665v,-24,35,-36,17,-54c4459,6689,4441,6775,4379,6855v-18,36,-60,69,-60,110c4337,6962,4361,6960,4367,6944v56,-92,104,-184,145,-279m4231,6635v77,-3,168,-21,224,-66c4376,6542,4302,6605,4231,6635t106,-206c4385,6468,4447,6480,4497,6510v27,-36,27,-36,27,-36c4482,6429,4409,6453,4376,6397v-18,-33,-6,-54,-9,-93c4385,6206,4482,6188,4559,6167v-38,-24,-86,-15,-127,-6c4364,6235,4322,6325,4337,6429m2951,5473v12,37,32,60,74,57c3033,5497,3036,5462,3040,5426v-4,-24,-36,-24,-57,-18c2951,5414,2960,5450,2951,5473t9,101c2954,5597,2968,5627,2963,5648v26,48,91,42,141,53c3128,5675,3128,5633,3119,5600v-53,-8,-115,6,-159,-26m2820,5489v-8,68,39,110,75,148c2903,5626,2903,5626,2903,5626v-11,-37,6,-81,-14,-114c2871,5462,2898,5417,2927,5381v38,-21,83,-44,133,-29c3084,5366,3113,5369,3116,5405v-18,39,-18,86,-18,134c3128,5539,3128,5539,3128,5539v35,-29,60,-83,44,-134c3161,5378,3146,5360,3125,5348v-65,-38,-162,-47,-233,-8c2841,5378,2829,5435,2820,5489m5571,6763v68,71,174,89,266,125c5829,6831,5901,6870,5910,6829v-102,-12,-245,-43,-315,-75hal5571,6763hdxm3749,6801v104,-23,219,-32,308,-103c3970,6680,3882,6709,3805,6733v-32,18,-77,3,-97,29c3749,6801,3749,6801,3749,6801m6942,5444v15,164,-83,300,-118,449c6809,5986,6791,6078,6776,6170v-80,158,-283,149,-446,149c6034,6313,5771,6206,5488,6167v-104,-21,-205,-47,-320,-41c5159,6134,5159,6134,5159,6134v68,51,186,39,213,131c5399,6313,5389,6382,5363,6423v-20,45,-71,69,-103,99c5402,6581,5499,6742,5677,6742v35,12,68,27,103,33c5808,6790,5914,6798,5956,6821v34,22,34,22,34,22c5969,6873,5907,6852,5916,6891v18,9,32,18,44,33c5940,6950,5896,6927,5866,6924v-77,-30,-160,-36,-234,-72c5582,6819,5523,6790,5484,6739v-47,-30,-109,-27,-159,-47c5266,6682,5218,6647,5165,6629v6,41,33,69,47,110c5245,6795,5290,6846,5325,6909v18,29,53,59,56,92c5331,7037,5278,6986,5227,6971v-29,-29,-38,-92,-92,-83c5047,7001,4899,6906,4784,6965v-48,-3,-101,6,-136,-23c4574,6873,4580,6766,4603,6682v45,-75,83,-140,142,-208c4733,6456,4716,6474,4704,6480v-74,69,-148,122,-169,223c4485,6814,4429,6915,4367,7022v-33,18,-74,30,-116,18c4234,7034,4219,7013,4231,6992v71,-104,142,-217,210,-327c4441,6647,4441,6647,4441,6647v-83,6,-163,35,-251,35c4128,6701,4089,6742,4027,6760v-44,35,-101,39,-151,59c3820,6822,3770,6840,3711,6840v-18,21,-56,6,-74,27c3619,6864,3616,6861,3619,6843v21,-14,48,-18,56,-44c3669,6760,3604,6771,3607,6733v178,-21,337,-92,526,-86c4219,6611,4284,6549,4376,6522v-30,-45,-127,-57,-92,-138c4311,6286,4346,6197,4409,6117v-142,3,-288,26,-420,56c3947,6173,3917,6194,3879,6197v-248,63,-491,143,-763,152c3031,6340,2942,6322,2889,6251v-48,-69,-21,-173,-33,-251c2841,5989,2829,5992,2812,5997v-142,7,-305,15,-432,-53c2398,5902,2463,5926,2498,5908v115,-33,239,3,334,69c2880,5938,2826,5884,2832,5836v-26,-145,-112,-300,-44,-449c2836,5310,2924,5253,3025,5265v88,-12,165,53,204,122c3273,5506,3131,5580,3178,5703v33,2,33,2,33,2c3308,5682,3308,5682,3308,5682v51,15,95,-24,148,-15c3530,5640,3613,5634,3687,5610v346,-88,716,-110,1085,-121c4891,5501,4891,5501,4891,5501v93,20,191,15,289,32c5605,5578,6005,5685,6434,5724v23,-13,20,-31,20,-54c6451,5554,6377,5411,6484,5325v61,-72,162,-87,257,-66c6833,5289,6907,5352,6942,5444e" fillcolor="black" stroked="f">
            <v:path arrowok="t"/>
            <o:lock v:ext="edit" aspectratio="t" verticies="t"/>
          </v:shape>
          <v:shape id="_x0000_s2051" style="position:absolute;left:-17209;top:9769;width:40176;height:2953;visibility:visible" coordsize="17008,1250" path="m706,818hdc528,406,528,406,528,406,345,818,345,818,345,818hal706,818hdxm736,882v-422,,-422,,-422,c264,999,264,999,264,999v-17,39,-25,70,-25,95c239,1128,253,1153,280,1168v16,10,55,17,117,22c397,1222,397,1222,397,1222,,1222,,1222,,1222v,-32,,-32,,-32c43,1183,78,1165,105,1137v28,-30,62,-90,103,-181c635,3,635,3,635,3v17,,17,,17,c1082,983,1082,983,1082,983v41,92,75,151,101,175c1203,1176,1232,1186,1268,1190v,32,,32,,32c690,1222,690,1222,690,1222v,-32,,-32,,-32c714,1190,714,1190,714,1190v47,,79,-7,98,-20c825,1161,831,1148,831,1129v-5,-32,-5,-32,-5,-32c825,1092,816,1070,799,1031hal736,882hdxm2000,399v,644,,644,,644c2000,1106,2005,1145,2017,1162v12,14,36,24,71,28c2088,1222,2088,1222,2088,1222v-335,,-335,,-335,c1753,1112,1753,1112,1753,1112v-39,47,-78,81,-118,103c1596,1236,1552,1247,1503,1247v-46,,-88,-14,-124,-42c1343,1176,1319,1142,1307,1104v-13,-38,-18,-105,-18,-200c1289,578,1289,578,1289,578v,-62,-7,-102,-18,-117c1260,446,1235,436,1199,431v,-32,,-32,,-32c1535,399,1535,399,1535,399v,563,,563,,563c1535,1020,1538,1058,1543,1075v5,17,14,30,26,39c1581,1122,1596,1127,1611,1127v21,,41,-5,58,-16c1692,1095,1721,1064,1753,1018v,-440,,-440,,-440c1753,516,1747,476,1735,461v-10,-15,-34,-25,-71,-30c1664,399,1664,399,1664,399hal2000,399hdxm2665,376v13,281,13,281,13,281c2648,657,2648,657,2648,657,2612,573,2575,516,2537,487v-39,-32,-77,-47,-115,-47c2398,440,2377,448,2360,465v-17,16,-25,34,-25,55c2335,536,2340,551,2352,566v19,24,72,66,158,124c2596,748,2653,798,2680,839v27,41,41,86,41,136c2721,1021,2710,1066,2687,1111v-23,44,-55,77,-97,101c2548,1235,2502,1247,2452,1247v-40,,-92,-13,-158,-37c2277,1203,2265,1200,2258,1200v-19,,-35,15,-48,44c2180,1244,2180,1244,2180,1244,2167,948,2167,948,2167,948v30,,30,,30,c2223,1026,2259,1084,2305,1123v46,38,90,57,131,57c2464,1180,2487,1173,2505,1155v18,-17,27,-38,27,-63c2532,1064,2523,1039,2506,1019v-18,-21,-57,-52,-119,-94c2298,863,2239,816,2213,783v-39,-48,-58,-102,-58,-160c2155,560,2177,503,2220,451v44,-51,107,-77,190,-77c2455,374,2498,385,2540,407v38,13,38,13,38,13c2604,414,2604,414,2604,414v7,-5,17,-18,31,-38hal2665,376hdxm3101,98v,301,,301,,301c3296,399,3296,399,3296,399v,88,,88,,88c3101,487,3101,487,3101,487v,507,,507,,507c3101,1042,3103,1072,3107,1087v24,33,24,33,24,33c3161,1132,3161,1132,3161,1132v39,,75,-28,109,-87c3296,1065,3296,1065,3296,1065v-47,112,-125,168,-231,168c3012,1233,2968,1219,2932,1190v-36,-29,-59,-62,-69,-97c2857,1073,2854,1019,2854,931v,-444,,-444,,-444c2747,487,2747,487,2747,487v,-32,,-32,,-32c2821,403,2884,348,2935,290v52,-57,98,-121,137,-192hal3101,98hdxm3698,399v,187,,187,,187c3753,500,3800,444,3842,416v41,-28,80,-42,119,-42c3993,374,4020,385,4039,406v20,19,30,47,30,84c4069,529,4059,560,4040,582v-19,22,-42,33,-68,33c3940,615,3913,605,3890,585v-23,-20,-36,-32,-40,-34c3829,546,3829,546,3829,546v-17,,-33,6,-48,19c3757,585,3739,614,3726,650v-18,57,-28,120,-28,189c3698,1029,3698,1029,3698,1029v1,49,1,49,1,49c3699,1111,3701,1133,3705,1142v31,35,31,35,31,35c3750,1184,3774,1188,3807,1190v,32,,32,,32c3362,1222,3362,1222,3362,1222v,-32,,-32,,-32c3397,1188,3421,1178,3434,1162v13,-18,20,-62,20,-133c3454,573,3454,573,3454,573v,-47,-3,-77,-8,-90c3440,467,3432,455,3421,447v-11,-8,-31,-12,-59,-16c3362,399,3362,399,3362,399hal3698,399hdxm4521,1037v,-276,,-276,,-276c4450,802,4397,847,4362,895v-22,31,-34,64,-34,96c4328,1018,4338,1041,4358,1062v14,16,34,24,61,24c4448,1086,4483,1069,4521,1037t,63c4421,1190,4331,1233,4251,1233v-47,,-86,-15,-117,-45c4103,1157,4087,1118,4087,1072v,-63,27,-120,81,-169c4222,852,4339,785,4521,702v,-83,,-83,,-83c4521,557,4518,518,4511,502v-7,-16,-19,-31,-38,-43c4454,447,4433,441,4410,441v-39,,-70,8,-95,25c4293,503,4293,503,4293,503v,13,7,28,24,47c4339,575,4351,599,4351,623v,28,-12,53,-33,73c4296,716,4269,726,4234,726v-37,,-68,-11,-93,-33c4116,670,4104,645,4104,615v,-43,17,-83,50,-121c4187,455,4234,426,4294,405v60,-20,123,-31,187,-31c4559,374,4620,391,4666,424v45,34,75,69,88,108c4763,556,4767,613,4767,702v,319,,319,,319c4767,1059,4768,1083,4771,1092v14,22,14,22,14,22c4805,1121,4805,1121,4805,1121v15,,31,-11,47,-32c4878,1109,4878,1109,4878,1109v-30,44,-60,76,-92,95c4755,1224,4720,1233,4680,1233v-47,,-84,-10,-111,-32c4543,1179,4527,1145,4521,1100m5236,28v,1023,,1023,,1023c5236,1110,5243,1147,5257,1163v13,16,40,25,79,27c5336,1222,5336,1222,5336,1222v-445,,-445,,-445,c4891,1190,4891,1190,4891,1190v37,,64,-11,82,-31c4984,1145,4990,1110,4990,1051v,-852,,-852,,-852c4990,142,4983,105,4970,89,4956,72,4930,63,4891,61v,-33,,-33,,-33hal5236,28hdxm5737,399v,652,,652,,652c5737,1110,5743,1147,5757,1163v14,16,40,25,79,27c5836,1222,5836,1222,5836,1222v-444,,-444,,-444,c5392,1190,5392,1190,5392,1190v36,,63,-11,80,-31c5484,1145,5490,1110,5490,1051v,-481,,-481,,-481c5490,512,5483,475,5470,460v-14,-17,-39,-26,-78,-29c5392,399,5392,399,5392,399hal5737,399hdxm5614,v38,,70,14,96,40c5737,67,5750,98,5750,136v,38,-13,70,-41,96c5683,259,5651,272,5614,272v-38,,-70,-13,-97,-40c5491,206,5478,174,5478,136v,-38,13,-69,39,-96c5544,14,5576,,5614,t703,1037c6317,761,6317,761,6317,761v-71,41,-124,86,-159,134c6136,926,6124,959,6124,991v,27,9,50,29,71c6168,1078,6188,1086,6214,1086v30,,64,-17,103,-49m6317,1100v-101,90,-190,133,-270,133c5999,1233,5960,1218,5929,1188v-31,-31,-46,-70,-46,-116c5883,1009,5910,952,5964,903v54,-51,172,-118,353,-201c6317,619,6317,619,6317,619v,-62,-4,-101,-11,-117c6299,486,6287,471,6269,459v-20,-12,-40,-18,-64,-18c6166,441,6136,449,6111,466v-23,37,-23,37,-23,37c6088,516,6096,531,6113,550v22,25,33,49,33,73c6146,651,6135,676,6113,696v-21,20,-49,30,-83,30c5993,726,5962,715,5936,693v-24,-23,-37,-48,-37,-78c5899,572,5916,532,5950,494v33,-39,80,-68,140,-89c6149,385,6212,374,6276,374v78,,140,17,185,50c6507,458,6537,493,6550,532v9,24,12,81,12,170c6562,1021,6562,1021,6562,1021v,38,2,62,4,71c6580,1114,6580,1114,6580,1114v20,7,20,7,20,7c6615,1121,6631,1110,6647,1089v26,20,26,20,26,20c6644,1153,6614,1185,6582,1204v-31,20,-66,29,-107,29c6428,1233,6391,1223,6365,1201v-26,-22,-42,-56,-48,-101m7028,399v,106,,106,,106c7070,460,7111,427,7150,406v39,-21,80,-32,125,-32c7328,374,7373,390,7408,419v35,29,59,67,70,110c7488,563,7492,627,7492,722v,320,,320,,320c7492,1106,7498,1145,7509,1162v12,14,36,24,72,28c7581,1222,7581,1222,7581,1222v-416,,-416,,-416,c7165,1190,7165,1190,7165,1190v31,-4,53,-17,67,-38c7241,1137,7246,1100,7246,1042v,-365,,-365,,-365c7246,608,7243,566,7238,549v-5,-18,-15,-32,-27,-41c7169,493,7169,493,7169,493v-50,,-98,36,-141,108c7028,1042,7028,1042,7028,1042v,62,6,101,17,117c7057,1176,7078,1186,7110,1190v,32,,32,,32c6693,1222,6693,1222,6693,1222v,-32,,-32,,-32c6727,1187,6752,1176,6767,1157v10,-13,15,-51,15,-115c6782,578,6782,578,6782,578v,-62,-6,-102,-18,-117c6753,446,6729,436,6693,431v,-32,,-32,,-32hal7028,399hdxm9203,1v,420,,420,,420c9171,421,9171,421,9171,421,9131,307,9072,220,8994,159,8914,100,8829,69,8735,69v-89,,-163,26,-222,76c8453,195,8411,265,8387,355v-25,89,-37,181,-37,276c8350,746,8363,846,8390,932v27,87,71,150,130,190c8581,1163,8653,1184,8735,1184v29,,59,-4,89,-9c8854,1168,8885,1159,8916,1148v,-249,,-249,,-249c8916,852,8913,822,8907,809v-7,-14,-20,-27,-40,-38c8846,759,8822,754,8794,754v-32,,-32,,-32,c8762,721,8762,721,8762,721v581,,581,,581,c9343,754,9343,754,9343,754v-45,2,-75,9,-93,19c9233,781,9220,796,9211,818v-6,10,-8,38,-8,81c9203,1148,9203,1148,9203,1148v-77,34,-156,59,-239,76c8882,1241,8797,1250,8709,1250v-114,,-208,-15,-284,-45c8350,1173,8285,1133,8227,1083,8170,1033,8126,976,8093,913v-41,-81,-61,-172,-61,-272c8032,461,8095,310,8221,186,8347,62,8506,,8698,v59,,112,5,159,14c8884,19,8925,32,8983,55v57,21,92,32,103,32c9102,87,9118,81,9132,69v13,-12,26,-35,39,-68hal9203,1hdxm9778,437v-30,,-56,11,-77,34c9679,493,9665,538,9658,605v-6,66,-10,159,-10,278c9648,945,9653,1004,9661,1058v6,42,20,74,41,95c9723,1175,9748,1186,9774,1186v27,,49,-7,66,-22c9863,1144,9879,1116,9886,1081v12,-57,18,-169,18,-339c9904,642,9898,574,9887,537v-11,-37,-27,-64,-49,-82c9822,443,9803,437,9778,437t-4,-63c9846,374,9913,393,9974,430v62,36,109,89,140,157c10147,655,10163,730,10163,811v,116,-30,214,-89,294c10002,1199,9903,1247,9777,1247v-124,,-219,-44,-286,-130c9424,1030,9390,929,9390,814v,-118,35,-220,103,-308c9561,418,9655,374,9774,374t777,873c10274,609,10274,609,10274,609v-33,-77,-60,-126,-79,-147c10182,447,10162,437,10136,431v,-32,,-32,,-32c10574,399,10574,399,10574,399v,32,,32,,32c10546,431,10526,436,10517,447v-14,13,-21,27,-21,45c10496,514,10509,555,10534,615v136,309,136,309,136,309c10778,657,10778,657,10778,657v32,-76,47,-131,47,-162c10825,477,10818,462,10805,451v-13,-12,-36,-18,-70,-20c10735,399,10735,399,10735,399v270,,270,,270,c11005,431,11005,431,11005,431v-26,4,-47,14,-64,29c10925,476,10900,523,10867,601v-274,646,-274,646,-274,646hal10551,1247hdxm11436,722v,-94,-5,-159,-16,-195c11410,493,11394,465,11372,447v-12,-10,-28,-16,-49,-16c11293,431,11268,446,11249,476v-35,53,-52,125,-52,215c11197,722,11197,722,11197,722hal11436,722hdxm11653,781v-452,,-452,,-452,c11206,890,11235,977,11288,1040v41,49,89,73,146,73c11469,1113,11501,1103,11530,1084v29,-20,60,-55,93,-107c11653,997,11653,997,11653,997v-45,91,-94,156,-149,193c11450,1228,11388,1247,11317,1247v-122,,-215,-47,-277,-141c10989,1031,10964,936,10964,824v,-137,37,-247,111,-327c11149,415,11237,374,11336,374v84,,156,35,217,104c11614,546,11648,647,11653,781t390,-382c12043,586,12043,586,12043,586v55,-86,102,-142,144,-170c12227,388,12267,374,12305,374v34,,59,11,79,32c12404,425,12414,453,12414,490v,39,-10,70,-29,92c12366,604,12343,615,12316,615v-31,,-58,-10,-81,-30c12212,565,12198,553,12194,551v-20,-5,-20,-5,-20,-5c12157,546,12141,552,12126,565v-25,20,-43,49,-55,85c12052,707,12043,770,12043,839v,190,,190,,190c12044,1078,12044,1078,12044,1078v,33,2,55,6,64c12081,1177,12081,1177,12081,1177v14,7,37,11,70,13c12151,1222,12151,1222,12151,1222v-444,,-444,,-444,c11707,1190,11707,1190,11707,1190v35,-2,59,-12,72,-28c11792,1144,11798,1100,11798,1029v,-456,,-456,,-456c11798,526,11795,496,11791,483v-5,-16,-14,-28,-25,-36c11754,439,11735,435,11707,431v,-32,,-32,,-32hal12043,399hdxm12802,399v,106,,106,,106c12844,460,12885,427,12923,406v39,-21,81,-32,126,-32c13102,374,13146,390,13182,419v35,29,58,67,70,110c13262,563,13266,627,13266,722v,320,,320,,320c13266,1106,13271,1145,13283,1162v11,14,36,24,72,28c13355,1222,13355,1222,13355,1222v-417,,-417,,-417,c12938,1190,12938,1190,12938,1190v31,-4,54,-17,67,-38c13014,1137,13020,1100,13020,1042v,-365,,-365,,-365c13020,608,13017,566,13011,549v-5,-18,-14,-32,-27,-41c12943,493,12943,493,12943,493v-50,,-98,36,-141,108c12802,1042,12802,1042,12802,1042v,62,6,101,17,117c12831,1176,12852,1186,12883,1190v,32,,32,,32c12466,1222,12466,1222,12466,1222v,-32,,-32,,-32c12501,1187,12526,1176,12541,1157v10,-13,15,-51,15,-115c12556,578,12556,578,12556,578v,-62,-7,-102,-18,-117c12527,446,12503,436,12466,431v,-32,,-32,,-32hal12802,399hdxm13756,399v,108,,108,,108c13801,458,13843,423,13881,404v39,-20,81,-30,127,-30c14061,374,14105,387,14141,411v35,25,64,62,83,113c14271,471,14316,433,14359,410v43,-24,88,-36,135,-36c14551,374,14596,387,14629,414v35,25,58,59,72,100c14713,553,14721,617,14721,705v,337,,337,,337c14721,1106,14726,1145,14737,1160v12,16,36,26,72,30c14809,1222,14809,1222,14809,1222v-425,,-425,,-425,c14384,1190,14384,1190,14384,1190v33,-2,58,-15,74,-38c14468,1136,14474,1099,14474,1042v,-353,,-353,,-353c14474,615,14471,569,14465,549v-6,-20,-15,-35,-28,-44c14424,495,14410,489,14393,489v-26,,-51,10,-77,29c14290,536,14264,564,14238,601v,441,,441,,441c14238,1102,14243,1139,14253,1155v13,21,39,33,77,35c14330,1222,14330,1222,14330,1222v-426,,-426,,-426,c13904,1190,13904,1190,13904,1190v23,,41,-6,54,-16c13984,1137,13984,1137,13984,1137v5,-15,8,-46,8,-95c13992,689,13992,689,13992,689v,-75,-4,-122,-9,-140c13977,529,13967,515,13952,505v-43,-16,-43,-16,-43,-16c13885,489,13864,495,13844,507v-28,19,-57,49,-88,94c13756,1042,13756,1042,13756,1042v,58,6,97,17,116c13784,1176,13809,1187,13845,1190v,32,,32,,32c13421,1222,13421,1222,13421,1222v,-32,,-32,,-32c13455,1187,13480,1176,13495,1157v9,-13,15,-51,15,-115c13510,578,13510,578,13510,578v,-62,-6,-102,-18,-117c13481,446,13457,436,13421,431v,-32,,-32,,-32hal13756,399hdxm15325,722v,-94,-5,-159,-15,-195c15299,493,15284,465,15262,447v-12,-10,-29,-16,-49,-16c15182,431,15157,446,15138,476v-35,53,-52,125,-52,215c15086,722,15086,722,15086,722hal15325,722hdxm15542,781v-452,,-452,,-452,c15096,890,15125,977,15177,1040v41,49,90,73,147,73c15359,1113,15391,1103,15420,1084v28,-20,59,-55,92,-107c15542,997,15542,997,15542,997v-45,91,-94,156,-148,193c15340,1228,15277,1247,15206,1247v-122,,-214,-47,-277,-141c14878,1031,14854,936,14854,824v,-137,37,-247,111,-327c15039,415,15126,374,15226,374v83,,156,35,217,104c15504,546,15537,647,15542,781t367,-382c15909,505,15909,505,15909,505v43,-45,83,-78,122,-99c16069,385,16111,374,16156,374v53,,97,16,133,45c16324,448,16347,486,16360,529v9,34,13,98,13,193c16373,1042,16373,1042,16373,1042v,64,6,103,17,120c16401,1176,16426,1186,16462,1190v,32,,32,,32c16046,1222,16046,1222,16046,1222v,-32,,-32,,-32c16077,1186,16099,1173,16113,1152v9,-15,14,-52,14,-110c16127,677,16127,677,16127,677v,-69,-3,-111,-9,-128c16114,531,16104,517,16091,508v-41,-15,-41,-15,-41,-15c16000,493,15953,529,15909,601v,441,,441,,441c15909,1104,15915,1143,15926,1159v12,17,33,27,64,31c15990,1222,15990,1222,15990,1222v-416,,-416,,-416,c15574,1190,15574,1190,15574,1190v35,-3,59,-14,74,-33c15658,1144,15663,1106,15663,1042v,-464,,-464,,-464c15663,516,15657,476,15645,461v-11,-15,-35,-25,-71,-30c15574,399,15574,399,15574,399hal15909,399hdxm16812,98v,301,,301,,301c17008,399,17008,399,17008,399v,88,,88,,88c16812,487,16812,487,16812,487v,507,,507,,507c16812,1042,16815,1072,16819,1087v23,33,23,33,23,33c16873,1132,16873,1132,16873,1132v38,,75,-28,108,-87c17008,1065,17008,1065,17008,1065v-47,112,-125,168,-231,168c16724,1233,16679,1219,16643,1190v-35,-29,-58,-62,-69,-97c16568,1073,16566,1019,16566,931v,-444,,-444,,-444c16458,487,16458,487,16458,487v,-32,,-32,,-32c16532,403,16595,348,16647,290v52,-57,97,-121,137,-192hal16812,98hdxe" fillcolor="black" stroked="f">
            <v:path arrowok="t"/>
            <o:lock v:ext="edit" aspectratio="t" verticies="t"/>
          </v:shape>
          <v:shape id="_x0000_s2052" style="position:absolute;left:-8301;top:-7050;width:17976;height:9102;visibility:visible" coordsize="7610,3853" path="m3808,1063hdc3905,1063,3966,1180,4068,1168v-240,47,-240,47,-240,47c3805,1248,3805,1248,3805,1248v-30,-3,-50,-24,-77,-33c3630,1215,3487,1203,3392,1203v-4,250,-4,250,-4,250c3352,1478,3352,1478,3352,1478v-14,-22,-14,-22,-14,-22c3273,1495,3255,1558,3237,1626v-32,80,111,126,123,191c3360,1817,3394,1888,3415,1903v26,80,91,125,73,217c3488,2198,3512,2311,3435,2362v-20,18,-32,-12,-32,-27c3362,2087,3362,2087,3362,2087v-46,-110,-141,-108,-237,-169c3090,1962,3083,2016,3066,2073v-18,44,-33,92,-50,137c2983,2302,2936,2392,2924,2487v,65,6,143,-18,202c2912,2740,2894,2781,2888,2826v-21,39,-183,507,-183,575c2705,3401,2673,3571,2717,3624v98,66,213,44,328,33c3267,3654,3494,3597,3684,3704v9,13,35,6,41,24c3763,3737,3787,3779,3796,3811v9,19,-12,22,-18,30c3705,3845,3645,3823,3577,3811v-379,-26,-736,-11,-1093,-5c2445,3800,2394,3800,2386,3752v-39,-101,23,-194,41,-289c2462,3321,2492,3166,2477,3011v-100,9,-192,80,-221,181c2244,3255,2223,3318,2194,3371v-77,152,-160,307,-311,393c1815,3802,1730,3806,1643,3809v-1164,,-1164,,-1164,c325,3782,139,3853,3,3764,,3719,,3719,,3719v92,-62,213,-27,325,-48c423,3701,542,3666,644,3671v219,-3,429,-20,645,-47c1404,3592,1531,3585,1632,3514v-21,-15,-33,-39,-44,-60c1591,3431,1611,3401,1641,3394v32,10,53,30,80,46c1776,3362,1803,3264,1786,3168v-110,117,-225,233,-335,355c1368,3582,1259,3612,1147,3601v-23,-33,29,-45,45,-67c1289,3437,1457,3493,1540,3354v18,-24,51,-36,56,-63c1570,3282,1546,3275,1531,3249v,-45,,-45,,-45c1549,3180,1575,3168,1599,3180v30,18,33,45,42,78c1697,3201,1744,3139,1780,3064v-6,-8,-6,-8,-6,-8c1461,3017,1239,3240,949,3282v-76,3,-154,30,-228,9c816,3255,929,3258,1023,3225v210,-72,393,-200,626,-218c1694,3011,1747,3001,1788,2987v30,-134,13,-265,15,-402c1667,2508,1546,2371,1378,2442v-86,24,-169,66,-192,155c1171,2713,1259,2838,1164,2939v-26,-12,-29,-48,-32,-77c1103,2800,1040,2734,1088,2660v21,-84,98,-150,165,-201c1313,2427,1381,2409,1440,2382v,-11,,-11,,-11c1286,2278,1141,2189,955,2168v-39,6,-89,-12,-118,18c819,2186,819,2186,819,2186v-71,39,-139,125,-242,107c511,2296,449,2278,384,2278v-6,-27,18,-29,36,-33c529,2120,715,2198,851,2135v68,-8,134,18,198,27c1067,2171,1097,2171,1118,2177v-15,-53,-45,-90,-57,-146c1008,1837,1147,1715,1156,1539v23,-14,23,-14,23,-14c1233,1641,1247,1811,1147,1906v-32,51,-77,119,-41,188c1194,2266,1389,2255,1526,2350v79,63,177,109,275,145c1833,2466,1818,2415,1827,2373v26,-261,228,-446,396,-637c2515,1501,2732,1173,2865,834v14,-130,,-271,53,-393c2909,396,2909,396,2909,396,2826,313,2768,221,2764,104v-8,-11,-18,-26,-8,-44c2805,42,2847,86,2891,93v65,35,119,89,175,131c3119,149,3160,86,3217,9v27,-9,38,15,41,33c3278,117,3270,197,3249,271v29,63,80,78,127,125c3376,435,3376,435,3376,435v50,92,216,107,160,239c3471,825,3146,628,3240,887v15,30,6,72,24,101c3273,1057,3296,1123,3305,1194v33,3,33,3,33,3c3349,1183,3344,1161,3364,1150v169,21,278,-152,444,-87m6933,2999v,-57,15,-110,21,-164c6962,2817,6969,2797,6965,2773v71,-96,216,-66,328,-57c7338,2740,7394,2737,7441,2749v21,-15,51,-18,74,-15c7610,2683,7548,2573,7554,2487v-36,-89,-36,-89,-36,-89c7509,2380,7501,2359,7495,2338v-18,-22,-30,-60,-48,-81c7397,2127,7300,2052,7217,1948,7066,1751,6829,1641,6593,1564v-234,-81,-470,24,-680,98c5848,1644,5815,1593,5798,1537v-12,-114,12,-224,56,-316c5863,1146,5913,1090,5934,1022v53,-167,109,-331,121,-512c6061,399,5978,322,5895,274v-56,-15,-121,-12,-163,33c5694,387,5612,441,5540,480v-5,51,56,18,78,35c5682,527,5756,506,5810,548v5,119,-63,217,-125,307c5585,1004,5478,1156,5416,1319v-11,-11,-11,-11,-11,-11c5419,2036,5419,2036,5419,2036v94,156,211,335,387,395c5901,2508,6019,2600,6147,2531v68,-20,73,75,106,113c6289,2755,6209,2832,6203,2933v-77,165,-77,165,-77,165c6037,3270,5957,3454,5821,3601v-44,,-71,47,-115,50c5682,3684,5635,3660,5605,3671v-91,39,-221,16,-283,102c5345,3788,5345,3788,5345,3788v180,3,381,15,574,6c5943,3785,5963,3764,5966,3737v-27,-50,9,-95,33,-133c6013,3531,6061,3487,6082,3419v62,-123,133,-241,201,-364c6374,2906,6374,2906,6374,2906v21,-50,56,-113,92,-166c6489,2716,6501,2689,6519,2660v3,-30,-12,-42,-30,-63c6510,2576,6543,2582,6569,2576v74,45,151,116,165,197c6762,2850,6762,2850,6762,2850v11,36,11,36,11,36c6767,2984,6767,2984,6767,2984v12,92,12,92,12,92c6794,3219,6767,3365,6753,3508v-50,173,-248,155,-391,193c6327,3725,6259,3713,6259,3773v171,36,372,15,556,12c6844,3773,6850,3746,6865,3719v6,-38,44,-71,32,-113c6865,3565,6894,3499,6885,3442v6,-14,6,-35,,-56c6909,3300,6903,3196,6921,3112hal6933,2999hdxe" fillcolor="black" stroked="f">
            <v:path arrowok="t"/>
            <o:lock v:ext="edit" aspectratio="t" verticies="t"/>
          </v:shape>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Pr="0027165D" w:rsidRDefault="00E41F33">
    <w:pPr>
      <w:pStyle w:val="Header"/>
      <w:rPr>
        <w:rFonts w:cs="Arial"/>
      </w:rPr>
    </w:pPr>
  </w:p>
  <w:tbl>
    <w:tblPr>
      <w:tblW w:w="7685" w:type="dxa"/>
      <w:tblLayout w:type="fixed"/>
      <w:tblCellMar>
        <w:left w:w="0" w:type="dxa"/>
        <w:right w:w="0" w:type="dxa"/>
      </w:tblCellMar>
      <w:tblLook w:val="01E0"/>
    </w:tblPr>
    <w:tblGrid>
      <w:gridCol w:w="7685"/>
    </w:tblGrid>
    <w:tr w:rsidR="00E41F33" w:rsidRPr="0027165D" w:rsidTr="00915B1C">
      <w:trPr>
        <w:trHeight w:hRule="exact" w:val="988"/>
      </w:trPr>
      <w:tc>
        <w:tcPr>
          <w:tcW w:w="7685" w:type="dxa"/>
          <w:shd w:val="clear" w:color="auto" w:fill="auto"/>
        </w:tcPr>
        <w:p w:rsidR="00E41F33" w:rsidRPr="0027165D" w:rsidRDefault="00E41F33">
          <w:pPr>
            <w:pStyle w:val="Header"/>
            <w:rPr>
              <w:rFonts w:cs="Arial"/>
            </w:rPr>
          </w:pPr>
        </w:p>
      </w:tc>
    </w:tr>
    <w:tr w:rsidR="00E41F33" w:rsidRPr="0027165D" w:rsidTr="00915B1C">
      <w:tc>
        <w:tcPr>
          <w:tcW w:w="7685" w:type="dxa"/>
          <w:shd w:val="clear" w:color="auto" w:fill="auto"/>
        </w:tcPr>
        <w:p w:rsidR="00E41F33" w:rsidRPr="0027165D" w:rsidRDefault="00E41F33" w:rsidP="000A4A51">
          <w:pPr>
            <w:pStyle w:val="TOCHeading"/>
            <w:rPr>
              <w:rFonts w:cs="Arial"/>
            </w:rPr>
          </w:pPr>
          <w:r w:rsidRPr="0027165D">
            <w:rPr>
              <w:rFonts w:cs="Arial"/>
            </w:rPr>
            <w:t>Contents</w:t>
          </w:r>
        </w:p>
      </w:tc>
    </w:tr>
  </w:tbl>
  <w:p w:rsidR="00E41F33" w:rsidRPr="0027165D" w:rsidRDefault="00E41F33">
    <w:pPr>
      <w:pStyle w:val="Header"/>
      <w:rPr>
        <w:rFonts w:cs="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Default="00E41F33">
    <w:pPr>
      <w:pStyle w:val="Header"/>
    </w:pPr>
  </w:p>
  <w:p w:rsidR="00E41F33" w:rsidRDefault="00E41F3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Default="00E41F3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Default="00E41F33">
    <w:pPr>
      <w:pStyle w:val="Header"/>
    </w:pPr>
  </w:p>
  <w:tbl>
    <w:tblPr>
      <w:tblW w:w="7678" w:type="dxa"/>
      <w:tblLayout w:type="fixed"/>
      <w:tblCellMar>
        <w:left w:w="0" w:type="dxa"/>
        <w:right w:w="0" w:type="dxa"/>
      </w:tblCellMar>
      <w:tblLook w:val="01E0"/>
    </w:tblPr>
    <w:tblGrid>
      <w:gridCol w:w="7678"/>
    </w:tblGrid>
    <w:tr w:rsidR="00E41F33" w:rsidTr="00915B1C">
      <w:trPr>
        <w:trHeight w:hRule="exact" w:val="988"/>
      </w:trPr>
      <w:tc>
        <w:tcPr>
          <w:tcW w:w="7678" w:type="dxa"/>
          <w:shd w:val="clear" w:color="auto" w:fill="auto"/>
        </w:tcPr>
        <w:p w:rsidR="00E41F33" w:rsidRDefault="00E41F33" w:rsidP="005D2502">
          <w:pPr>
            <w:pStyle w:val="Header"/>
          </w:pPr>
        </w:p>
      </w:tc>
    </w:tr>
    <w:tr w:rsidR="00E41F33" w:rsidTr="00915B1C">
      <w:tc>
        <w:tcPr>
          <w:tcW w:w="7678" w:type="dxa"/>
          <w:shd w:val="clear" w:color="auto" w:fill="auto"/>
        </w:tcPr>
        <w:p w:rsidR="00E41F33" w:rsidRDefault="00E41F33" w:rsidP="005D2502">
          <w:pPr>
            <w:pStyle w:val="TOCHeading"/>
          </w:pPr>
        </w:p>
      </w:tc>
    </w:tr>
    <w:tr w:rsidR="00E41F33" w:rsidTr="00D6507F">
      <w:trPr>
        <w:trHeight w:val="1220"/>
      </w:trPr>
      <w:tc>
        <w:tcPr>
          <w:tcW w:w="7678" w:type="dxa"/>
          <w:shd w:val="clear" w:color="auto" w:fill="auto"/>
        </w:tcPr>
        <w:p w:rsidR="00E41F33" w:rsidRDefault="00E41F33" w:rsidP="00D6507F"/>
      </w:tc>
    </w:tr>
  </w:tbl>
  <w:p w:rsidR="00E41F33" w:rsidRDefault="00E41F3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Default="00E41F33">
    <w:pPr>
      <w:pStyle w:val="Header"/>
    </w:pPr>
  </w:p>
  <w:tbl>
    <w:tblPr>
      <w:tblW w:w="0" w:type="auto"/>
      <w:tblLayout w:type="fixed"/>
      <w:tblCellMar>
        <w:left w:w="0" w:type="dxa"/>
        <w:right w:w="0" w:type="dxa"/>
      </w:tblCellMar>
      <w:tblLook w:val="01E0"/>
    </w:tblPr>
    <w:tblGrid>
      <w:gridCol w:w="7671"/>
    </w:tblGrid>
    <w:tr w:rsidR="00E41F33" w:rsidTr="00915B1C">
      <w:trPr>
        <w:trHeight w:hRule="exact" w:val="988"/>
      </w:trPr>
      <w:tc>
        <w:tcPr>
          <w:tcW w:w="7671" w:type="dxa"/>
          <w:shd w:val="clear" w:color="auto" w:fill="auto"/>
        </w:tcPr>
        <w:p w:rsidR="00E41F33" w:rsidRDefault="00E41F33" w:rsidP="005D2502">
          <w:pPr>
            <w:pStyle w:val="Header"/>
          </w:pPr>
        </w:p>
      </w:tc>
    </w:tr>
    <w:tr w:rsidR="00E41F33" w:rsidTr="00915B1C">
      <w:tc>
        <w:tcPr>
          <w:tcW w:w="7671" w:type="dxa"/>
          <w:shd w:val="clear" w:color="auto" w:fill="auto"/>
        </w:tcPr>
        <w:p w:rsidR="00E41F33" w:rsidRDefault="00E41F33" w:rsidP="005D2502">
          <w:pPr>
            <w:pStyle w:val="TOCHeading"/>
          </w:pPr>
          <w:r>
            <w:t xml:space="preserve">Contents </w:t>
          </w:r>
          <w:r w:rsidRPr="00915B1C">
            <w:rPr>
              <w:b w:val="0"/>
              <w:spacing w:val="0"/>
              <w:sz w:val="28"/>
              <w:szCs w:val="28"/>
            </w:rPr>
            <w:t>(Continued)</w:t>
          </w:r>
        </w:p>
      </w:tc>
    </w:tr>
  </w:tbl>
  <w:p w:rsidR="00E41F33" w:rsidRDefault="00E41F3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Default="00E41F33">
    <w:pPr>
      <w:pStyle w:val="Header"/>
    </w:pPr>
  </w:p>
  <w:p w:rsidR="00E41F33" w:rsidRDefault="00E41F3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F33" w:rsidRDefault="00E41F33">
    <w:pPr>
      <w:pStyle w:val="Header"/>
    </w:pPr>
  </w:p>
  <w:p w:rsidR="00E41F33" w:rsidRDefault="00E41F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1.75pt;height:32.25pt;visibility:visible;mso-wrap-style:square" o:bullet="t">
        <v:imagedata r:id="rId1" o:title="" croptop="15915f" cropbottom="20445f" cropleft="21717f" cropright="21898f"/>
      </v:shape>
    </w:pict>
  </w:numPicBullet>
  <w:abstractNum w:abstractNumId="0">
    <w:nsid w:val="FFFFFF7C"/>
    <w:multiLevelType w:val="singleLevel"/>
    <w:tmpl w:val="ED58E926"/>
    <w:lvl w:ilvl="0">
      <w:start w:val="1"/>
      <w:numFmt w:val="decimal"/>
      <w:lvlText w:val="%1."/>
      <w:lvlJc w:val="left"/>
      <w:pPr>
        <w:tabs>
          <w:tab w:val="num" w:pos="1492"/>
        </w:tabs>
        <w:ind w:left="1492" w:hanging="360"/>
      </w:pPr>
    </w:lvl>
  </w:abstractNum>
  <w:abstractNum w:abstractNumId="1">
    <w:nsid w:val="FFFFFF7D"/>
    <w:multiLevelType w:val="singleLevel"/>
    <w:tmpl w:val="3AD4674E"/>
    <w:lvl w:ilvl="0">
      <w:start w:val="1"/>
      <w:numFmt w:val="decimal"/>
      <w:lvlText w:val="%1."/>
      <w:lvlJc w:val="left"/>
      <w:pPr>
        <w:tabs>
          <w:tab w:val="num" w:pos="1209"/>
        </w:tabs>
        <w:ind w:left="1209" w:hanging="360"/>
      </w:pPr>
    </w:lvl>
  </w:abstractNum>
  <w:abstractNum w:abstractNumId="2">
    <w:nsid w:val="FFFFFF7E"/>
    <w:multiLevelType w:val="singleLevel"/>
    <w:tmpl w:val="0EAAFA38"/>
    <w:lvl w:ilvl="0">
      <w:start w:val="1"/>
      <w:numFmt w:val="decimal"/>
      <w:lvlText w:val="%1."/>
      <w:lvlJc w:val="left"/>
      <w:pPr>
        <w:tabs>
          <w:tab w:val="num" w:pos="926"/>
        </w:tabs>
        <w:ind w:left="926" w:hanging="360"/>
      </w:pPr>
    </w:lvl>
  </w:abstractNum>
  <w:abstractNum w:abstractNumId="3">
    <w:nsid w:val="FFFFFF7F"/>
    <w:multiLevelType w:val="singleLevel"/>
    <w:tmpl w:val="1444DAF4"/>
    <w:lvl w:ilvl="0">
      <w:start w:val="1"/>
      <w:numFmt w:val="decimal"/>
      <w:pStyle w:val="ListNumber2"/>
      <w:lvlText w:val="%1."/>
      <w:lvlJc w:val="left"/>
      <w:pPr>
        <w:ind w:left="360" w:hanging="360"/>
      </w:pPr>
      <w:rPr>
        <w:rFonts w:hint="default"/>
      </w:rPr>
    </w:lvl>
  </w:abstractNum>
  <w:abstractNum w:abstractNumId="4">
    <w:nsid w:val="FFFFFF80"/>
    <w:multiLevelType w:val="singleLevel"/>
    <w:tmpl w:val="486605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4F0D8A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B30DB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E303AD8"/>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8">
    <w:nsid w:val="FFFFFF88"/>
    <w:multiLevelType w:val="singleLevel"/>
    <w:tmpl w:val="DEFAA50C"/>
    <w:lvl w:ilvl="0">
      <w:start w:val="1"/>
      <w:numFmt w:val="decimal"/>
      <w:pStyle w:val="ListNumber"/>
      <w:lvlText w:val="%1."/>
      <w:lvlJc w:val="left"/>
      <w:pPr>
        <w:ind w:left="360" w:hanging="360"/>
      </w:pPr>
      <w:rPr>
        <w:rFonts w:hint="default"/>
        <w:caps/>
        <w:sz w:val="20"/>
      </w:rPr>
    </w:lvl>
  </w:abstractNum>
  <w:abstractNum w:abstractNumId="9">
    <w:nsid w:val="FFFFFF89"/>
    <w:multiLevelType w:val="singleLevel"/>
    <w:tmpl w:val="E09694F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10">
    <w:nsid w:val="034B0EDC"/>
    <w:multiLevelType w:val="hybridMultilevel"/>
    <w:tmpl w:val="361E9DAA"/>
    <w:lvl w:ilvl="0" w:tplc="213C81A6">
      <w:start w:val="1"/>
      <w:numFmt w:val="bullet"/>
      <w:lvlText w:val="&gt;"/>
      <w:lvlJc w:val="left"/>
      <w:pPr>
        <w:ind w:left="720" w:hanging="360"/>
      </w:pPr>
      <w:rPr>
        <w:rFonts w:ascii="Arial" w:hAnsi="Aria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4666F54"/>
    <w:multiLevelType w:val="hybridMultilevel"/>
    <w:tmpl w:val="7F8EE63E"/>
    <w:lvl w:ilvl="0" w:tplc="1C5C52D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5AC4A05"/>
    <w:multiLevelType w:val="hybridMultilevel"/>
    <w:tmpl w:val="B01CB286"/>
    <w:lvl w:ilvl="0" w:tplc="FD74EEBA">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9DB371A"/>
    <w:multiLevelType w:val="hybridMultilevel"/>
    <w:tmpl w:val="2B585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D6804DA"/>
    <w:multiLevelType w:val="multilevel"/>
    <w:tmpl w:val="7780E848"/>
    <w:lvl w:ilvl="0">
      <w:start w:val="1"/>
      <w:numFmt w:val="decimalZero"/>
      <w:lvlText w:val="%1"/>
      <w:lvlJc w:val="left"/>
      <w:pPr>
        <w:tabs>
          <w:tab w:val="num" w:pos="454"/>
        </w:tabs>
        <w:ind w:left="454" w:hanging="454"/>
      </w:pPr>
      <w:rPr>
        <w:rFonts w:ascii="HelveticaNeueLT Std Med" w:hAnsi="HelveticaNeueLT Std Med" w:hint="default"/>
        <w:color w:val="808285"/>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31C4321"/>
    <w:multiLevelType w:val="hybridMultilevel"/>
    <w:tmpl w:val="976C70FE"/>
    <w:lvl w:ilvl="0" w:tplc="FD74EEBA">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14FD5FC5"/>
    <w:multiLevelType w:val="multilevel"/>
    <w:tmpl w:val="951029E0"/>
    <w:lvl w:ilvl="0">
      <w:start w:val="1"/>
      <w:numFmt w:val="decimalZero"/>
      <w:lvlText w:val="%1"/>
      <w:lvlJc w:val="left"/>
      <w:pPr>
        <w:tabs>
          <w:tab w:val="num" w:pos="454"/>
        </w:tabs>
        <w:ind w:left="454" w:hanging="454"/>
      </w:pPr>
      <w:rPr>
        <w:rFonts w:ascii="HelveticaNeueLT Std Med" w:hAnsi="HelveticaNeueLT Std Med" w:hint="default"/>
        <w:b/>
        <w:i w:val="0"/>
        <w:color w:val="808285"/>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C9E10BE"/>
    <w:multiLevelType w:val="hybridMultilevel"/>
    <w:tmpl w:val="7E2272E4"/>
    <w:lvl w:ilvl="0" w:tplc="AD2AA5C8">
      <w:start w:val="1"/>
      <w:numFmt w:val="decimalZero"/>
      <w:lvlText w:val="%1"/>
      <w:lvlJc w:val="left"/>
      <w:pPr>
        <w:tabs>
          <w:tab w:val="num" w:pos="885"/>
        </w:tabs>
        <w:ind w:left="885" w:hanging="885"/>
      </w:pPr>
      <w:rPr>
        <w:rFonts w:ascii="HelveticaNeueLT Std Med" w:hAnsi="HelveticaNeueLT Std Med" w:hint="default"/>
        <w:b/>
        <w:i w:val="0"/>
        <w:color w:val="808285"/>
        <w:sz w:val="2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1DF32D41"/>
    <w:multiLevelType w:val="hybridMultilevel"/>
    <w:tmpl w:val="87CE7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53B13AC"/>
    <w:multiLevelType w:val="hybridMultilevel"/>
    <w:tmpl w:val="8D6E2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3871E8"/>
    <w:multiLevelType w:val="hybridMultilevel"/>
    <w:tmpl w:val="4FF4C0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28A7548A"/>
    <w:multiLevelType w:val="hybridMultilevel"/>
    <w:tmpl w:val="37563756"/>
    <w:lvl w:ilvl="0" w:tplc="D514E776">
      <w:start w:val="1"/>
      <w:numFmt w:val="lowerRoman"/>
      <w:lvlText w:val="(%1)"/>
      <w:lvlJc w:val="left"/>
      <w:pPr>
        <w:ind w:left="1080" w:hanging="72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3">
    <w:nsid w:val="2DEF7440"/>
    <w:multiLevelType w:val="hybridMultilevel"/>
    <w:tmpl w:val="FC088A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F005092"/>
    <w:multiLevelType w:val="hybridMultilevel"/>
    <w:tmpl w:val="32728F14"/>
    <w:lvl w:ilvl="0" w:tplc="7C402908">
      <w:start w:val="1"/>
      <w:numFmt w:val="decimal"/>
      <w:lvlText w:val="%1."/>
      <w:lvlJc w:val="left"/>
      <w:pPr>
        <w:ind w:left="360" w:hanging="360"/>
      </w:pPr>
      <w:rPr>
        <w:rFonts w:hint="default"/>
        <w:caps/>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2F5A5080"/>
    <w:multiLevelType w:val="hybridMultilevel"/>
    <w:tmpl w:val="24705096"/>
    <w:lvl w:ilvl="0" w:tplc="2668C79A">
      <w:start w:val="1"/>
      <w:numFmt w:val="bullet"/>
      <w:pStyle w:val="ACMABulletLevel1"/>
      <w:lvlText w:val="●"/>
      <w:lvlJc w:val="left"/>
      <w:pPr>
        <w:tabs>
          <w:tab w:val="num" w:pos="-31680"/>
        </w:tabs>
        <w:ind w:left="357" w:hanging="357"/>
      </w:pPr>
      <w:rPr>
        <w:rFonts w:ascii="Times New Roman" w:hAnsi="Times New Roman" w:cs="Times New Roman"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6">
    <w:nsid w:val="3643694E"/>
    <w:multiLevelType w:val="hybridMultilevel"/>
    <w:tmpl w:val="5534FD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409C5333"/>
    <w:multiLevelType w:val="multilevel"/>
    <w:tmpl w:val="EF7285AC"/>
    <w:lvl w:ilvl="0">
      <w:start w:val="1"/>
      <w:numFmt w:val="decimalZero"/>
      <w:lvlText w:val="%1"/>
      <w:lvlJc w:val="left"/>
      <w:pPr>
        <w:tabs>
          <w:tab w:val="num" w:pos="228"/>
        </w:tabs>
        <w:ind w:left="228" w:hanging="228"/>
      </w:pPr>
      <w:rPr>
        <w:rFonts w:ascii="HelveticaNeueLT Std Med" w:hAnsi="HelveticaNeueLT Std Med" w:hint="default"/>
        <w:color w:val="808285"/>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F745D5"/>
    <w:multiLevelType w:val="multilevel"/>
    <w:tmpl w:val="9FB6AF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BD426BD"/>
    <w:multiLevelType w:val="hybridMultilevel"/>
    <w:tmpl w:val="C672B630"/>
    <w:lvl w:ilvl="0" w:tplc="CFBCF618">
      <w:start w:val="1"/>
      <w:numFmt w:val="bullet"/>
      <w:pStyle w:val="Bulleted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0">
    <w:nsid w:val="5CD64FAE"/>
    <w:multiLevelType w:val="hybridMultilevel"/>
    <w:tmpl w:val="BF78F5A2"/>
    <w:lvl w:ilvl="0" w:tplc="0C09000F">
      <w:start w:val="1"/>
      <w:numFmt w:val="bullet"/>
      <w:pStyle w:val="ACMAHeading1"/>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5D013228"/>
    <w:multiLevelType w:val="hybridMultilevel"/>
    <w:tmpl w:val="B8F64D7A"/>
    <w:lvl w:ilvl="0" w:tplc="0068DD92">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5DEE2C17"/>
    <w:multiLevelType w:val="hybridMultilevel"/>
    <w:tmpl w:val="755A7832"/>
    <w:lvl w:ilvl="0" w:tplc="0068DD92">
      <w:start w:val="1"/>
      <w:numFmt w:val="bullet"/>
      <w:lvlText w:val="&gt;"/>
      <w:lvlJc w:val="left"/>
      <w:pPr>
        <w:ind w:left="360" w:hanging="360"/>
      </w:pPr>
      <w:rPr>
        <w:rFonts w:ascii="Arial" w:hAnsi="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662F61AE"/>
    <w:multiLevelType w:val="hybridMultilevel"/>
    <w:tmpl w:val="49826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66E777B9"/>
    <w:multiLevelType w:val="hybridMultilevel"/>
    <w:tmpl w:val="1DB2799E"/>
    <w:lvl w:ilvl="0" w:tplc="FD74EEBA">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69583202"/>
    <w:multiLevelType w:val="hybridMultilevel"/>
    <w:tmpl w:val="49023A3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6">
    <w:nsid w:val="699669B5"/>
    <w:multiLevelType w:val="hybridMultilevel"/>
    <w:tmpl w:val="C456AD22"/>
    <w:lvl w:ilvl="0" w:tplc="E116AE72">
      <w:start w:val="55"/>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52383A"/>
    <w:multiLevelType w:val="hybridMultilevel"/>
    <w:tmpl w:val="E9B8F384"/>
    <w:lvl w:ilvl="0" w:tplc="0068DD92">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1790B94"/>
    <w:multiLevelType w:val="multilevel"/>
    <w:tmpl w:val="E1C84640"/>
    <w:lvl w:ilvl="0">
      <w:start w:val="1"/>
      <w:numFmt w:val="decimalZero"/>
      <w:lvlText w:val="%1"/>
      <w:lvlJc w:val="left"/>
      <w:pPr>
        <w:tabs>
          <w:tab w:val="num" w:pos="851"/>
        </w:tabs>
        <w:ind w:left="851" w:hanging="85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743575E0"/>
    <w:multiLevelType w:val="hybridMultilevel"/>
    <w:tmpl w:val="DA4E6C44"/>
    <w:lvl w:ilvl="0" w:tplc="FD74EEBA">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757603A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782E4CBB"/>
    <w:multiLevelType w:val="hybridMultilevel"/>
    <w:tmpl w:val="8CC28D18"/>
    <w:lvl w:ilvl="0" w:tplc="FD74EEBA">
      <w:start w:val="1"/>
      <w:numFmt w:val="bullet"/>
      <w:lvlText w:val="&gt;"/>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78A764C8"/>
    <w:multiLevelType w:val="hybridMultilevel"/>
    <w:tmpl w:val="2E5854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7A8465A3"/>
    <w:multiLevelType w:val="hybridMultilevel"/>
    <w:tmpl w:val="F77E6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B425E95"/>
    <w:multiLevelType w:val="hybridMultilevel"/>
    <w:tmpl w:val="A54A88D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7F33169D"/>
    <w:multiLevelType w:val="multilevel"/>
    <w:tmpl w:val="E1C84640"/>
    <w:lvl w:ilvl="0">
      <w:start w:val="1"/>
      <w:numFmt w:val="decimalZero"/>
      <w:lvlText w:val="%1"/>
      <w:lvlJc w:val="left"/>
      <w:pPr>
        <w:tabs>
          <w:tab w:val="num" w:pos="851"/>
        </w:tabs>
        <w:ind w:left="851" w:hanging="851"/>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8"/>
  </w:num>
  <w:num w:numId="12">
    <w:abstractNumId w:val="17"/>
  </w:num>
  <w:num w:numId="13">
    <w:abstractNumId w:val="27"/>
  </w:num>
  <w:num w:numId="14">
    <w:abstractNumId w:val="14"/>
  </w:num>
  <w:num w:numId="15">
    <w:abstractNumId w:val="16"/>
  </w:num>
  <w:num w:numId="16">
    <w:abstractNumId w:val="45"/>
  </w:num>
  <w:num w:numId="17">
    <w:abstractNumId w:val="40"/>
  </w:num>
  <w:num w:numId="18">
    <w:abstractNumId w:val="28"/>
  </w:num>
  <w:num w:numId="19">
    <w:abstractNumId w:val="10"/>
  </w:num>
  <w:num w:numId="20">
    <w:abstractNumId w:val="32"/>
  </w:num>
  <w:num w:numId="21">
    <w:abstractNumId w:val="30"/>
  </w:num>
  <w:num w:numId="22">
    <w:abstractNumId w:val="25"/>
  </w:num>
  <w:num w:numId="23">
    <w:abstractNumId w:val="21"/>
  </w:num>
  <w:num w:numId="24">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37"/>
  </w:num>
  <w:num w:numId="27">
    <w:abstractNumId w:val="41"/>
  </w:num>
  <w:num w:numId="28">
    <w:abstractNumId w:val="15"/>
  </w:num>
  <w:num w:numId="29">
    <w:abstractNumId w:val="34"/>
  </w:num>
  <w:num w:numId="30">
    <w:abstractNumId w:val="39"/>
  </w:num>
  <w:num w:numId="31">
    <w:abstractNumId w:val="12"/>
  </w:num>
  <w:num w:numId="32">
    <w:abstractNumId w:val="24"/>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44"/>
  </w:num>
  <w:num w:numId="38">
    <w:abstractNumId w:val="20"/>
  </w:num>
  <w:num w:numId="39">
    <w:abstractNumId w:val="43"/>
  </w:num>
  <w:num w:numId="40">
    <w:abstractNumId w:val="11"/>
  </w:num>
  <w:num w:numId="41">
    <w:abstractNumId w:val="18"/>
  </w:num>
  <w:num w:numId="42">
    <w:abstractNumId w:val="36"/>
  </w:num>
  <w:num w:numId="43">
    <w:abstractNumId w:val="42"/>
  </w:num>
  <w:num w:numId="44">
    <w:abstractNumId w:val="26"/>
  </w:num>
  <w:num w:numId="45">
    <w:abstractNumId w:val="23"/>
  </w:num>
  <w:num w:numId="46">
    <w:abstractNumId w:val="33"/>
  </w:num>
  <w:num w:numId="4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001"/>
  <w:defaultTabStop w:val="720"/>
  <w:evenAndOddHeaders/>
  <w:drawingGridHorizontalSpacing w:val="100"/>
  <w:displayHorizontalDrawingGridEvery w:val="2"/>
  <w:characterSpacingControl w:val="doNotCompress"/>
  <w:hdrShapeDefaults>
    <o:shapedefaults v:ext="edit" spidmax="2065">
      <o:colormru v:ext="edit" colors="red,#4d4d4f"/>
    </o:shapedefaults>
    <o:shapelayout v:ext="edit">
      <o:idmap v:ext="edit" data="2"/>
    </o:shapelayout>
  </w:hdrShapeDefaults>
  <w:footnotePr>
    <w:footnote w:id="-1"/>
    <w:footnote w:id="0"/>
  </w:footnotePr>
  <w:endnotePr>
    <w:pos w:val="sectEnd"/>
    <w:numFmt w:val="decimal"/>
    <w:numRestart w:val="eachSect"/>
    <w:endnote w:id="-1"/>
    <w:endnote w:id="0"/>
  </w:endnotePr>
  <w:compat/>
  <w:rsids>
    <w:rsidRoot w:val="001E6FB8"/>
    <w:rsid w:val="00010667"/>
    <w:rsid w:val="00015AE7"/>
    <w:rsid w:val="00016E21"/>
    <w:rsid w:val="0001719C"/>
    <w:rsid w:val="00026F91"/>
    <w:rsid w:val="0005045A"/>
    <w:rsid w:val="00051C1E"/>
    <w:rsid w:val="000539F9"/>
    <w:rsid w:val="00054C27"/>
    <w:rsid w:val="00055EC3"/>
    <w:rsid w:val="000563CE"/>
    <w:rsid w:val="000659B6"/>
    <w:rsid w:val="00066EF0"/>
    <w:rsid w:val="00075B96"/>
    <w:rsid w:val="0008196A"/>
    <w:rsid w:val="000915ED"/>
    <w:rsid w:val="0009209D"/>
    <w:rsid w:val="000969BD"/>
    <w:rsid w:val="000969BF"/>
    <w:rsid w:val="000A0C22"/>
    <w:rsid w:val="000A3C43"/>
    <w:rsid w:val="000A4A51"/>
    <w:rsid w:val="000A5D2B"/>
    <w:rsid w:val="000B5DE3"/>
    <w:rsid w:val="000C230C"/>
    <w:rsid w:val="000D71D9"/>
    <w:rsid w:val="000D76E0"/>
    <w:rsid w:val="000D7E8B"/>
    <w:rsid w:val="000E4449"/>
    <w:rsid w:val="000E6097"/>
    <w:rsid w:val="00111FCE"/>
    <w:rsid w:val="0012489B"/>
    <w:rsid w:val="00130017"/>
    <w:rsid w:val="00130F91"/>
    <w:rsid w:val="00137424"/>
    <w:rsid w:val="00141AD9"/>
    <w:rsid w:val="00152903"/>
    <w:rsid w:val="0015614F"/>
    <w:rsid w:val="001577C2"/>
    <w:rsid w:val="001633C4"/>
    <w:rsid w:val="00171591"/>
    <w:rsid w:val="00173981"/>
    <w:rsid w:val="0017719D"/>
    <w:rsid w:val="00186F29"/>
    <w:rsid w:val="001875B7"/>
    <w:rsid w:val="00187CB3"/>
    <w:rsid w:val="001976E3"/>
    <w:rsid w:val="001B58AA"/>
    <w:rsid w:val="001B7E48"/>
    <w:rsid w:val="001C17CE"/>
    <w:rsid w:val="001C36CA"/>
    <w:rsid w:val="001C44D1"/>
    <w:rsid w:val="001C6AEE"/>
    <w:rsid w:val="001C7630"/>
    <w:rsid w:val="001D6D15"/>
    <w:rsid w:val="001E6FB8"/>
    <w:rsid w:val="001F7558"/>
    <w:rsid w:val="00205B57"/>
    <w:rsid w:val="00207F43"/>
    <w:rsid w:val="002157E0"/>
    <w:rsid w:val="0022334F"/>
    <w:rsid w:val="00226819"/>
    <w:rsid w:val="00233101"/>
    <w:rsid w:val="00233817"/>
    <w:rsid w:val="002367FF"/>
    <w:rsid w:val="00240CE9"/>
    <w:rsid w:val="00246089"/>
    <w:rsid w:val="00246702"/>
    <w:rsid w:val="00247C59"/>
    <w:rsid w:val="00247F2E"/>
    <w:rsid w:val="00250ADC"/>
    <w:rsid w:val="00257553"/>
    <w:rsid w:val="00262128"/>
    <w:rsid w:val="0027165D"/>
    <w:rsid w:val="00273CEB"/>
    <w:rsid w:val="00281C89"/>
    <w:rsid w:val="0028282F"/>
    <w:rsid w:val="00292F38"/>
    <w:rsid w:val="00297FC5"/>
    <w:rsid w:val="002A0417"/>
    <w:rsid w:val="002A16D8"/>
    <w:rsid w:val="002A1BC8"/>
    <w:rsid w:val="002A3EF2"/>
    <w:rsid w:val="002B0DED"/>
    <w:rsid w:val="002B19A2"/>
    <w:rsid w:val="002B381A"/>
    <w:rsid w:val="002B4FCC"/>
    <w:rsid w:val="002B7408"/>
    <w:rsid w:val="002B7CFD"/>
    <w:rsid w:val="002D3600"/>
    <w:rsid w:val="002E4DDC"/>
    <w:rsid w:val="00302480"/>
    <w:rsid w:val="003165E6"/>
    <w:rsid w:val="003233ED"/>
    <w:rsid w:val="00324D9F"/>
    <w:rsid w:val="00327948"/>
    <w:rsid w:val="0033000F"/>
    <w:rsid w:val="00332011"/>
    <w:rsid w:val="00332518"/>
    <w:rsid w:val="003332ED"/>
    <w:rsid w:val="003368DC"/>
    <w:rsid w:val="00345927"/>
    <w:rsid w:val="00350584"/>
    <w:rsid w:val="00351857"/>
    <w:rsid w:val="003610E1"/>
    <w:rsid w:val="003671BE"/>
    <w:rsid w:val="00372485"/>
    <w:rsid w:val="00373200"/>
    <w:rsid w:val="00375EF5"/>
    <w:rsid w:val="003767A5"/>
    <w:rsid w:val="00385254"/>
    <w:rsid w:val="003A5F5B"/>
    <w:rsid w:val="003A789A"/>
    <w:rsid w:val="003C77E0"/>
    <w:rsid w:val="003D17D7"/>
    <w:rsid w:val="003D2678"/>
    <w:rsid w:val="003D71A3"/>
    <w:rsid w:val="003F16F6"/>
    <w:rsid w:val="003F4DC7"/>
    <w:rsid w:val="003F5235"/>
    <w:rsid w:val="004027E4"/>
    <w:rsid w:val="0041071D"/>
    <w:rsid w:val="00414AFC"/>
    <w:rsid w:val="004151A7"/>
    <w:rsid w:val="00415310"/>
    <w:rsid w:val="00421002"/>
    <w:rsid w:val="00421709"/>
    <w:rsid w:val="00423763"/>
    <w:rsid w:val="0042762F"/>
    <w:rsid w:val="00427DC7"/>
    <w:rsid w:val="00431613"/>
    <w:rsid w:val="0043297A"/>
    <w:rsid w:val="00432EB2"/>
    <w:rsid w:val="0043714F"/>
    <w:rsid w:val="004438B5"/>
    <w:rsid w:val="00454596"/>
    <w:rsid w:val="0045605D"/>
    <w:rsid w:val="00465B4B"/>
    <w:rsid w:val="00481695"/>
    <w:rsid w:val="004A3D31"/>
    <w:rsid w:val="004A56BB"/>
    <w:rsid w:val="004B1751"/>
    <w:rsid w:val="004C0253"/>
    <w:rsid w:val="004D56FF"/>
    <w:rsid w:val="004E39D3"/>
    <w:rsid w:val="004E508A"/>
    <w:rsid w:val="004E616D"/>
    <w:rsid w:val="004F1BDE"/>
    <w:rsid w:val="004F7F44"/>
    <w:rsid w:val="005037B4"/>
    <w:rsid w:val="005079BF"/>
    <w:rsid w:val="00517F9C"/>
    <w:rsid w:val="0052202A"/>
    <w:rsid w:val="00531B9A"/>
    <w:rsid w:val="00531D15"/>
    <w:rsid w:val="00542377"/>
    <w:rsid w:val="00563EF1"/>
    <w:rsid w:val="00566AB4"/>
    <w:rsid w:val="00572F65"/>
    <w:rsid w:val="00575AC5"/>
    <w:rsid w:val="0057605D"/>
    <w:rsid w:val="00581347"/>
    <w:rsid w:val="005849F8"/>
    <w:rsid w:val="005938DF"/>
    <w:rsid w:val="005A099B"/>
    <w:rsid w:val="005A2D9C"/>
    <w:rsid w:val="005A6A11"/>
    <w:rsid w:val="005D2502"/>
    <w:rsid w:val="005D49BF"/>
    <w:rsid w:val="005D6F4E"/>
    <w:rsid w:val="005E3ACD"/>
    <w:rsid w:val="005E7A57"/>
    <w:rsid w:val="005F24B0"/>
    <w:rsid w:val="006052CF"/>
    <w:rsid w:val="00607B8D"/>
    <w:rsid w:val="00611F5C"/>
    <w:rsid w:val="00616E09"/>
    <w:rsid w:val="00627D4E"/>
    <w:rsid w:val="00634478"/>
    <w:rsid w:val="00644373"/>
    <w:rsid w:val="00645915"/>
    <w:rsid w:val="006519C3"/>
    <w:rsid w:val="00652B30"/>
    <w:rsid w:val="00656345"/>
    <w:rsid w:val="00656DC6"/>
    <w:rsid w:val="00664110"/>
    <w:rsid w:val="00664D17"/>
    <w:rsid w:val="00666520"/>
    <w:rsid w:val="00667C5B"/>
    <w:rsid w:val="00692CDE"/>
    <w:rsid w:val="00693073"/>
    <w:rsid w:val="006977FF"/>
    <w:rsid w:val="006A01FA"/>
    <w:rsid w:val="006A0E9E"/>
    <w:rsid w:val="006A1533"/>
    <w:rsid w:val="006A25C7"/>
    <w:rsid w:val="006A4AAD"/>
    <w:rsid w:val="006A6DA2"/>
    <w:rsid w:val="006A7AB2"/>
    <w:rsid w:val="006B5423"/>
    <w:rsid w:val="006B5717"/>
    <w:rsid w:val="006C0CEB"/>
    <w:rsid w:val="006C3B1E"/>
    <w:rsid w:val="006C47FD"/>
    <w:rsid w:val="006D27CB"/>
    <w:rsid w:val="006D2F08"/>
    <w:rsid w:val="006E4B1B"/>
    <w:rsid w:val="006E5445"/>
    <w:rsid w:val="006E7D93"/>
    <w:rsid w:val="007029A3"/>
    <w:rsid w:val="00706E4E"/>
    <w:rsid w:val="0070791C"/>
    <w:rsid w:val="0071383C"/>
    <w:rsid w:val="007141A7"/>
    <w:rsid w:val="00721B55"/>
    <w:rsid w:val="00726CE4"/>
    <w:rsid w:val="00734143"/>
    <w:rsid w:val="00740EAC"/>
    <w:rsid w:val="00744956"/>
    <w:rsid w:val="00745A5C"/>
    <w:rsid w:val="0074605F"/>
    <w:rsid w:val="00747E94"/>
    <w:rsid w:val="00766749"/>
    <w:rsid w:val="00767C1B"/>
    <w:rsid w:val="007714A9"/>
    <w:rsid w:val="00774F88"/>
    <w:rsid w:val="00777BA2"/>
    <w:rsid w:val="00781408"/>
    <w:rsid w:val="00784F7F"/>
    <w:rsid w:val="007935ED"/>
    <w:rsid w:val="00796F25"/>
    <w:rsid w:val="007A2E98"/>
    <w:rsid w:val="007A3BA3"/>
    <w:rsid w:val="007B1499"/>
    <w:rsid w:val="007B1BBF"/>
    <w:rsid w:val="007B2960"/>
    <w:rsid w:val="007B355D"/>
    <w:rsid w:val="007B7980"/>
    <w:rsid w:val="007C5D5A"/>
    <w:rsid w:val="007C607F"/>
    <w:rsid w:val="007C79DD"/>
    <w:rsid w:val="007D1A97"/>
    <w:rsid w:val="007D2CD6"/>
    <w:rsid w:val="007D3063"/>
    <w:rsid w:val="007E7683"/>
    <w:rsid w:val="007F49FA"/>
    <w:rsid w:val="007F6E9A"/>
    <w:rsid w:val="008044D4"/>
    <w:rsid w:val="00810AB4"/>
    <w:rsid w:val="00817B56"/>
    <w:rsid w:val="00821A88"/>
    <w:rsid w:val="0082495D"/>
    <w:rsid w:val="00856EDC"/>
    <w:rsid w:val="008623B5"/>
    <w:rsid w:val="008710E1"/>
    <w:rsid w:val="00883628"/>
    <w:rsid w:val="00885544"/>
    <w:rsid w:val="0088634E"/>
    <w:rsid w:val="00893AB8"/>
    <w:rsid w:val="008A04C8"/>
    <w:rsid w:val="008A6913"/>
    <w:rsid w:val="008B70F3"/>
    <w:rsid w:val="008B76DF"/>
    <w:rsid w:val="008D1B60"/>
    <w:rsid w:val="008E4767"/>
    <w:rsid w:val="008F15CC"/>
    <w:rsid w:val="00903285"/>
    <w:rsid w:val="00906F40"/>
    <w:rsid w:val="0090731E"/>
    <w:rsid w:val="00915B1C"/>
    <w:rsid w:val="009174F3"/>
    <w:rsid w:val="0091797D"/>
    <w:rsid w:val="00922D30"/>
    <w:rsid w:val="00923CBA"/>
    <w:rsid w:val="0092638A"/>
    <w:rsid w:val="00926703"/>
    <w:rsid w:val="00927691"/>
    <w:rsid w:val="00927A5F"/>
    <w:rsid w:val="00934279"/>
    <w:rsid w:val="00941FB0"/>
    <w:rsid w:val="009426D4"/>
    <w:rsid w:val="00947F25"/>
    <w:rsid w:val="0095490B"/>
    <w:rsid w:val="00974363"/>
    <w:rsid w:val="0099577C"/>
    <w:rsid w:val="009B4E9E"/>
    <w:rsid w:val="009C1690"/>
    <w:rsid w:val="009C6881"/>
    <w:rsid w:val="009C7759"/>
    <w:rsid w:val="009D6C71"/>
    <w:rsid w:val="009E0631"/>
    <w:rsid w:val="009E16D0"/>
    <w:rsid w:val="009E38FD"/>
    <w:rsid w:val="009F13D6"/>
    <w:rsid w:val="009F4C6B"/>
    <w:rsid w:val="009F78A8"/>
    <w:rsid w:val="00A07096"/>
    <w:rsid w:val="00A07318"/>
    <w:rsid w:val="00A11370"/>
    <w:rsid w:val="00A224CE"/>
    <w:rsid w:val="00A22522"/>
    <w:rsid w:val="00A24F5C"/>
    <w:rsid w:val="00A40871"/>
    <w:rsid w:val="00A440E0"/>
    <w:rsid w:val="00A651A8"/>
    <w:rsid w:val="00A70ADF"/>
    <w:rsid w:val="00A71466"/>
    <w:rsid w:val="00A74B5E"/>
    <w:rsid w:val="00A81BED"/>
    <w:rsid w:val="00A81EC4"/>
    <w:rsid w:val="00A967FD"/>
    <w:rsid w:val="00AB156C"/>
    <w:rsid w:val="00AD3082"/>
    <w:rsid w:val="00AD4AD0"/>
    <w:rsid w:val="00AD60CD"/>
    <w:rsid w:val="00AD6C8C"/>
    <w:rsid w:val="00AE091D"/>
    <w:rsid w:val="00AE53A1"/>
    <w:rsid w:val="00AF2484"/>
    <w:rsid w:val="00AF63E7"/>
    <w:rsid w:val="00AF7ED8"/>
    <w:rsid w:val="00B0165D"/>
    <w:rsid w:val="00B031F3"/>
    <w:rsid w:val="00B052A4"/>
    <w:rsid w:val="00B125DE"/>
    <w:rsid w:val="00B13FDD"/>
    <w:rsid w:val="00B22EB2"/>
    <w:rsid w:val="00B27442"/>
    <w:rsid w:val="00B31167"/>
    <w:rsid w:val="00B329D8"/>
    <w:rsid w:val="00B32BB9"/>
    <w:rsid w:val="00B33AE1"/>
    <w:rsid w:val="00B37C38"/>
    <w:rsid w:val="00B4288C"/>
    <w:rsid w:val="00B44100"/>
    <w:rsid w:val="00B46CBA"/>
    <w:rsid w:val="00B46F94"/>
    <w:rsid w:val="00B602D5"/>
    <w:rsid w:val="00B61F03"/>
    <w:rsid w:val="00B626E4"/>
    <w:rsid w:val="00B72F4A"/>
    <w:rsid w:val="00B83C27"/>
    <w:rsid w:val="00B84BC3"/>
    <w:rsid w:val="00B84BDD"/>
    <w:rsid w:val="00B92812"/>
    <w:rsid w:val="00BB7686"/>
    <w:rsid w:val="00BC23F9"/>
    <w:rsid w:val="00BC3421"/>
    <w:rsid w:val="00BC732C"/>
    <w:rsid w:val="00BE2580"/>
    <w:rsid w:val="00BE266D"/>
    <w:rsid w:val="00BE4C11"/>
    <w:rsid w:val="00BE71C0"/>
    <w:rsid w:val="00BF3BCE"/>
    <w:rsid w:val="00C0060B"/>
    <w:rsid w:val="00C0277D"/>
    <w:rsid w:val="00C24A53"/>
    <w:rsid w:val="00C36267"/>
    <w:rsid w:val="00C45155"/>
    <w:rsid w:val="00C5498F"/>
    <w:rsid w:val="00C64CD0"/>
    <w:rsid w:val="00C6684F"/>
    <w:rsid w:val="00C70E70"/>
    <w:rsid w:val="00C75F8D"/>
    <w:rsid w:val="00C97736"/>
    <w:rsid w:val="00CB1E82"/>
    <w:rsid w:val="00CB4BA8"/>
    <w:rsid w:val="00CB52D7"/>
    <w:rsid w:val="00CC6732"/>
    <w:rsid w:val="00CD28AF"/>
    <w:rsid w:val="00CE51A8"/>
    <w:rsid w:val="00CF369B"/>
    <w:rsid w:val="00D15810"/>
    <w:rsid w:val="00D16D4E"/>
    <w:rsid w:val="00D27F41"/>
    <w:rsid w:val="00D36441"/>
    <w:rsid w:val="00D4064E"/>
    <w:rsid w:val="00D44E9B"/>
    <w:rsid w:val="00D50DB9"/>
    <w:rsid w:val="00D52C43"/>
    <w:rsid w:val="00D530A6"/>
    <w:rsid w:val="00D61006"/>
    <w:rsid w:val="00D6507F"/>
    <w:rsid w:val="00D85226"/>
    <w:rsid w:val="00D87B94"/>
    <w:rsid w:val="00D92D49"/>
    <w:rsid w:val="00DA4E41"/>
    <w:rsid w:val="00DB117A"/>
    <w:rsid w:val="00DB5173"/>
    <w:rsid w:val="00DB7873"/>
    <w:rsid w:val="00DC187B"/>
    <w:rsid w:val="00DC1ED0"/>
    <w:rsid w:val="00DD73C2"/>
    <w:rsid w:val="00DE319B"/>
    <w:rsid w:val="00DF34FE"/>
    <w:rsid w:val="00DF78E7"/>
    <w:rsid w:val="00E110E0"/>
    <w:rsid w:val="00E15371"/>
    <w:rsid w:val="00E24104"/>
    <w:rsid w:val="00E24329"/>
    <w:rsid w:val="00E33938"/>
    <w:rsid w:val="00E41ECB"/>
    <w:rsid w:val="00E41F33"/>
    <w:rsid w:val="00E54FDB"/>
    <w:rsid w:val="00E563D7"/>
    <w:rsid w:val="00E663F4"/>
    <w:rsid w:val="00E666F2"/>
    <w:rsid w:val="00E66DD4"/>
    <w:rsid w:val="00E748CC"/>
    <w:rsid w:val="00E75415"/>
    <w:rsid w:val="00E93629"/>
    <w:rsid w:val="00E94CEC"/>
    <w:rsid w:val="00EA04EF"/>
    <w:rsid w:val="00EA6F19"/>
    <w:rsid w:val="00EB7090"/>
    <w:rsid w:val="00EC5CD7"/>
    <w:rsid w:val="00EE5FB3"/>
    <w:rsid w:val="00EE7F79"/>
    <w:rsid w:val="00F179D4"/>
    <w:rsid w:val="00F33C56"/>
    <w:rsid w:val="00F347C7"/>
    <w:rsid w:val="00F34848"/>
    <w:rsid w:val="00F42D46"/>
    <w:rsid w:val="00F4496C"/>
    <w:rsid w:val="00F57682"/>
    <w:rsid w:val="00F60F00"/>
    <w:rsid w:val="00F614C0"/>
    <w:rsid w:val="00F83848"/>
    <w:rsid w:val="00FA1B7D"/>
    <w:rsid w:val="00FC2162"/>
    <w:rsid w:val="00FC4E21"/>
    <w:rsid w:val="00FC5F6D"/>
    <w:rsid w:val="00FD2C2F"/>
    <w:rsid w:val="00FD3B31"/>
    <w:rsid w:val="00FE1823"/>
    <w:rsid w:val="00FE487A"/>
    <w:rsid w:val="00FF0569"/>
    <w:rsid w:val="00FF3C6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colormru v:ext="edit" colors="red,#4d4d4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uiPriority="39"/>
    <w:lsdException w:name="Normal Indent" w:semiHidden="1"/>
    <w:lsdException w:name="annotation text" w:semiHidden="1" w:uiPriority="99"/>
    <w:lsdException w:name="index heading" w:semiHidden="1"/>
    <w:lsdException w:name="caption" w:qFormat="1"/>
    <w:lsdException w:name="envelope address" w:semiHidden="1"/>
    <w:lsdException w:name="envelope return" w:semiHidden="1"/>
    <w:lsdException w:name="footnote reference" w:uiPriority="99"/>
    <w:lsdException w:name="annotation reference" w:semiHidden="1" w:uiPriority="99"/>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2" w:semiHidden="1"/>
    <w:lsdException w:name="List 3" w:semiHidden="1"/>
    <w:lsdException w:name="List 4" w:semiHidden="1"/>
    <w:lsdException w:name="List 5"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uiPriority="22" w:qFormat="1"/>
    <w:lsdException w:name="Emphasis" w:semiHidden="1" w:uiPriority="20" w:qFormat="1"/>
    <w:lsdException w:name="Document Map" w:semiHidden="1" w:uiPriority="99"/>
    <w:lsdException w:name="Plain Text" w:semiHidden="1" w:uiPriority="99"/>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qFormat="1"/>
  </w:latentStyles>
  <w:style w:type="paragraph" w:default="1" w:styleId="Normal">
    <w:name w:val="Normal"/>
    <w:qFormat/>
    <w:rsid w:val="0027165D"/>
    <w:pPr>
      <w:spacing w:line="240" w:lineRule="atLeast"/>
    </w:pPr>
    <w:rPr>
      <w:rFonts w:ascii="Arial" w:hAnsi="Arial"/>
      <w:szCs w:val="24"/>
    </w:rPr>
  </w:style>
  <w:style w:type="paragraph" w:styleId="Heading1">
    <w:name w:val="heading 1"/>
    <w:basedOn w:val="Normal"/>
    <w:next w:val="Normal"/>
    <w:link w:val="Heading1Char"/>
    <w:qFormat/>
    <w:rsid w:val="00777BA2"/>
    <w:pPr>
      <w:keepNext/>
      <w:pageBreakBefore/>
      <w:widowControl w:val="0"/>
      <w:spacing w:after="360" w:line="550" w:lineRule="exact"/>
      <w:outlineLvl w:val="0"/>
    </w:pPr>
    <w:rPr>
      <w:rFonts w:cs="Arial"/>
      <w:bCs/>
      <w:color w:val="4D4D4F"/>
      <w:kern w:val="32"/>
      <w:sz w:val="53"/>
      <w:szCs w:val="32"/>
    </w:rPr>
  </w:style>
  <w:style w:type="paragraph" w:styleId="Heading2">
    <w:name w:val="heading 2"/>
    <w:basedOn w:val="Normal"/>
    <w:next w:val="Normal"/>
    <w:link w:val="Heading2Char"/>
    <w:qFormat/>
    <w:rsid w:val="00A07096"/>
    <w:pPr>
      <w:keepNext/>
      <w:spacing w:before="60" w:after="60"/>
      <w:outlineLvl w:val="1"/>
    </w:pPr>
    <w:rPr>
      <w:rFonts w:cs="Arial"/>
      <w:b/>
      <w:bCs/>
      <w:iCs/>
      <w:sz w:val="28"/>
      <w:szCs w:val="28"/>
    </w:rPr>
  </w:style>
  <w:style w:type="paragraph" w:styleId="Heading3">
    <w:name w:val="heading 3"/>
    <w:basedOn w:val="Normal"/>
    <w:next w:val="Normal"/>
    <w:link w:val="Heading3Char"/>
    <w:qFormat/>
    <w:rsid w:val="00A07096"/>
    <w:pPr>
      <w:keepNext/>
      <w:spacing w:before="60" w:after="60"/>
      <w:outlineLvl w:val="2"/>
    </w:pPr>
    <w:rPr>
      <w:rFonts w:cs="Arial"/>
      <w:b/>
      <w:bCs/>
      <w:szCs w:val="26"/>
    </w:rPr>
  </w:style>
  <w:style w:type="paragraph" w:styleId="Heading4">
    <w:name w:val="heading 4"/>
    <w:basedOn w:val="Normal"/>
    <w:next w:val="Normal"/>
    <w:link w:val="Heading4Char"/>
    <w:qFormat/>
    <w:rsid w:val="00BE4C11"/>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BE4C11"/>
    <w:pPr>
      <w:spacing w:before="240" w:after="60"/>
      <w:outlineLvl w:val="4"/>
    </w:pPr>
    <w:rPr>
      <w:b/>
      <w:bCs/>
      <w:i/>
      <w:iCs/>
      <w:sz w:val="26"/>
      <w:szCs w:val="26"/>
    </w:rPr>
  </w:style>
  <w:style w:type="paragraph" w:styleId="Heading6">
    <w:name w:val="heading 6"/>
    <w:basedOn w:val="Normal"/>
    <w:next w:val="Normal"/>
    <w:link w:val="Heading6Char"/>
    <w:qFormat/>
    <w:rsid w:val="00BE4C11"/>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BE4C11"/>
    <w:pPr>
      <w:spacing w:before="240" w:after="60"/>
      <w:outlineLvl w:val="6"/>
    </w:pPr>
    <w:rPr>
      <w:rFonts w:ascii="Times New Roman" w:hAnsi="Times New Roman"/>
      <w:sz w:val="24"/>
    </w:rPr>
  </w:style>
  <w:style w:type="paragraph" w:styleId="Heading8">
    <w:name w:val="heading 8"/>
    <w:basedOn w:val="Normal"/>
    <w:next w:val="Normal"/>
    <w:link w:val="Heading8Char"/>
    <w:qFormat/>
    <w:rsid w:val="00BE4C11"/>
    <w:p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BE4C11"/>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rsid w:val="0070791C"/>
    <w:pPr>
      <w:tabs>
        <w:tab w:val="center" w:pos="4153"/>
        <w:tab w:val="right" w:pos="8306"/>
      </w:tabs>
      <w:spacing w:line="240" w:lineRule="auto"/>
    </w:pPr>
    <w:rPr>
      <w:sz w:val="16"/>
    </w:rPr>
  </w:style>
  <w:style w:type="paragraph" w:customStyle="1" w:styleId="ReportTitle">
    <w:name w:val="Report Title"/>
    <w:basedOn w:val="Normal"/>
    <w:rsid w:val="00A07096"/>
    <w:pPr>
      <w:spacing w:line="560" w:lineRule="exact"/>
    </w:pPr>
    <w:rPr>
      <w:b/>
      <w:color w:val="4D4D4F"/>
      <w:spacing w:val="-28"/>
      <w:sz w:val="53"/>
    </w:rPr>
  </w:style>
  <w:style w:type="paragraph" w:customStyle="1" w:styleId="ReportSubtitle">
    <w:name w:val="Report Sub title"/>
    <w:basedOn w:val="Normal"/>
    <w:rsid w:val="00226819"/>
    <w:pPr>
      <w:spacing w:line="560" w:lineRule="exact"/>
    </w:pPr>
    <w:rPr>
      <w:color w:val="808285"/>
      <w:spacing w:val="-28"/>
      <w:sz w:val="53"/>
    </w:rPr>
  </w:style>
  <w:style w:type="table" w:styleId="TableGrid">
    <w:name w:val="Table Grid"/>
    <w:basedOn w:val="TableNormal"/>
    <w:rsid w:val="00226819"/>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Date">
    <w:name w:val="Report Date"/>
    <w:basedOn w:val="ReportSubtitle"/>
    <w:rsid w:val="00226819"/>
    <w:pPr>
      <w:spacing w:line="240" w:lineRule="auto"/>
    </w:pPr>
    <w:rPr>
      <w:caps/>
      <w:spacing w:val="-10"/>
      <w:sz w:val="20"/>
    </w:rPr>
  </w:style>
  <w:style w:type="paragraph" w:customStyle="1" w:styleId="TableHeading">
    <w:name w:val="Table Heading"/>
    <w:basedOn w:val="Normal"/>
    <w:rsid w:val="00A07096"/>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customStyle="1" w:styleId="CorporateAddresses">
    <w:name w:val="Corporate Addresses"/>
    <w:basedOn w:val="Normal"/>
    <w:semiHidden/>
    <w:rsid w:val="00454596"/>
    <w:pPr>
      <w:spacing w:line="140" w:lineRule="exact"/>
    </w:pPr>
    <w:rPr>
      <w:color w:val="4D4D4F"/>
      <w:sz w:val="13"/>
    </w:rPr>
  </w:style>
  <w:style w:type="paragraph" w:styleId="TOCHeading">
    <w:name w:val="TOC Heading"/>
    <w:basedOn w:val="Normal"/>
    <w:qFormat/>
    <w:rsid w:val="00A07096"/>
    <w:pPr>
      <w:spacing w:line="240" w:lineRule="auto"/>
    </w:pPr>
    <w:rPr>
      <w:b/>
      <w:color w:val="4D4D4F"/>
      <w:spacing w:val="-28"/>
      <w:sz w:val="53"/>
    </w:rPr>
  </w:style>
  <w:style w:type="paragraph" w:styleId="Caption">
    <w:name w:val="caption"/>
    <w:basedOn w:val="Normal"/>
    <w:next w:val="Normal"/>
    <w:qFormat/>
    <w:rsid w:val="0027165D"/>
    <w:rPr>
      <w:b/>
      <w:bCs/>
      <w:color w:val="808285"/>
      <w:szCs w:val="20"/>
    </w:rPr>
  </w:style>
  <w:style w:type="paragraph" w:customStyle="1" w:styleId="Bodysubheader">
    <w:name w:val="Body sub header"/>
    <w:basedOn w:val="Normal"/>
    <w:next w:val="Normal"/>
    <w:rsid w:val="0027165D"/>
    <w:rPr>
      <w:b/>
      <w:i/>
    </w:rPr>
  </w:style>
  <w:style w:type="paragraph" w:styleId="ListBullet">
    <w:name w:val="List Bullet"/>
    <w:basedOn w:val="Normal"/>
    <w:rsid w:val="001C6AEE"/>
    <w:pPr>
      <w:numPr>
        <w:numId w:val="1"/>
      </w:numPr>
      <w:spacing w:after="80"/>
    </w:pPr>
  </w:style>
  <w:style w:type="paragraph" w:styleId="ListBullet2">
    <w:name w:val="List Bullet 2"/>
    <w:basedOn w:val="Normal"/>
    <w:rsid w:val="001C6AEE"/>
    <w:pPr>
      <w:numPr>
        <w:numId w:val="2"/>
      </w:numPr>
      <w:spacing w:after="80"/>
    </w:pPr>
  </w:style>
  <w:style w:type="paragraph" w:styleId="ListNumber">
    <w:name w:val="List Number"/>
    <w:basedOn w:val="Normal"/>
    <w:rsid w:val="00C24A53"/>
    <w:pPr>
      <w:numPr>
        <w:numId w:val="6"/>
      </w:numPr>
      <w:spacing w:after="80"/>
    </w:pPr>
  </w:style>
  <w:style w:type="paragraph" w:styleId="ListNumber2">
    <w:name w:val="List Number 2"/>
    <w:basedOn w:val="Normal"/>
    <w:rsid w:val="00247C59"/>
    <w:pPr>
      <w:numPr>
        <w:numId w:val="7"/>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rsid w:val="00A07096"/>
    <w:pPr>
      <w:spacing w:after="1440" w:line="550" w:lineRule="exact"/>
    </w:pPr>
    <w:rPr>
      <w:b/>
      <w:color w:val="4D4D4F"/>
      <w:spacing w:val="-18"/>
      <w:sz w:val="53"/>
    </w:rPr>
  </w:style>
  <w:style w:type="character" w:styleId="PageNumber0">
    <w:name w:val="page number"/>
    <w:basedOn w:val="DefaultParagraphFont"/>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paragraph" w:styleId="TOC1">
    <w:name w:val="toc 1"/>
    <w:basedOn w:val="Normal"/>
    <w:next w:val="Normal"/>
    <w:uiPriority w:val="39"/>
    <w:rsid w:val="00FF3C69"/>
    <w:pPr>
      <w:tabs>
        <w:tab w:val="right" w:pos="7660"/>
      </w:tabs>
      <w:spacing w:before="280" w:line="320" w:lineRule="exact"/>
      <w:ind w:right="851"/>
    </w:pPr>
    <w:rPr>
      <w:b/>
      <w:noProof/>
      <w:color w:val="808285"/>
      <w:spacing w:val="-14"/>
      <w:sz w:val="28"/>
    </w:rPr>
  </w:style>
  <w:style w:type="paragraph" w:styleId="TOC2">
    <w:name w:val="toc 2"/>
    <w:basedOn w:val="Normal"/>
    <w:next w:val="Normal"/>
    <w:uiPriority w:val="39"/>
    <w:rsid w:val="00FF3C69"/>
    <w:pPr>
      <w:tabs>
        <w:tab w:val="right" w:pos="7660"/>
      </w:tabs>
      <w:spacing w:line="300" w:lineRule="exact"/>
      <w:ind w:left="885" w:hanging="885"/>
    </w:pPr>
    <w:rPr>
      <w:noProof/>
      <w:color w:val="808285"/>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rsid w:val="00C70E70"/>
    <w:pPr>
      <w:tabs>
        <w:tab w:val="right" w:pos="7661"/>
      </w:tabs>
      <w:spacing w:line="240" w:lineRule="auto"/>
    </w:pPr>
    <w:rPr>
      <w:noProof/>
      <w:color w:val="808285"/>
      <w:sz w:val="22"/>
      <w:szCs w:val="22"/>
    </w:rPr>
  </w:style>
  <w:style w:type="character" w:styleId="Hyperlink">
    <w:name w:val="Hyperlink"/>
    <w:basedOn w:val="DefaultParagraphFont"/>
    <w:uiPriority w:val="99"/>
    <w:rsid w:val="003A5F5B"/>
    <w:rPr>
      <w:color w:val="0000FF"/>
      <w:u w:val="single"/>
    </w:rPr>
  </w:style>
  <w:style w:type="character" w:styleId="FootnoteReference">
    <w:name w:val="footnote reference"/>
    <w:aliases w:val="Appel note de bas de p,Appel note de bas de p + 11 pt,Italic,Footnote,Appel note de bas de p1,Appel note de bas de p2,Appel note de bas de p3,Footnote Reference/,Style 12,(NECG) Footnote Reference,Style 124,o,fr,Style 3"/>
    <w:basedOn w:val="DefaultParagraphFont"/>
    <w:uiPriority w:val="99"/>
    <w:rsid w:val="00566AB4"/>
    <w:rPr>
      <w:rFonts w:ascii="Arial" w:hAnsi="Arial"/>
      <w:vertAlign w:val="superscript"/>
    </w:rPr>
  </w:style>
  <w:style w:type="paragraph" w:styleId="FootnoteText">
    <w:name w:val="footnote text"/>
    <w:aliases w:val="ACMA Footnote Text,ALTS FOOTNOTE,(NECG) Footnote Text,Footnote text,AR Footnote Text,AR Footnote Text Char Char Char Char Char,Footnote Text Char2,Footnote Text Char1 Char Char,Footnote Text Char Char Char Char,Footnote Text Char1 Char,f"/>
    <w:basedOn w:val="Normal"/>
    <w:link w:val="FootnoteTextChar"/>
    <w:rsid w:val="00566AB4"/>
    <w:rPr>
      <w:sz w:val="16"/>
      <w:szCs w:val="16"/>
    </w:rPr>
  </w:style>
  <w:style w:type="paragraph" w:customStyle="1" w:styleId="TableBody">
    <w:name w:val="Table Body"/>
    <w:basedOn w:val="Normal"/>
    <w:rsid w:val="00D44E9B"/>
    <w:pPr>
      <w:spacing w:line="240" w:lineRule="auto"/>
    </w:pPr>
  </w:style>
  <w:style w:type="paragraph" w:styleId="TOC9">
    <w:name w:val="toc 9"/>
    <w:aliases w:val="TOC ExecSumm"/>
    <w:basedOn w:val="Normal"/>
    <w:next w:val="Normal"/>
    <w:uiPriority w:val="39"/>
    <w:rsid w:val="009174F3"/>
    <w:pPr>
      <w:tabs>
        <w:tab w:val="right" w:pos="7660"/>
      </w:tabs>
      <w:spacing w:before="280" w:line="320" w:lineRule="exact"/>
    </w:pPr>
    <w:rPr>
      <w:b/>
      <w:noProof/>
      <w:color w:val="808285"/>
      <w:sz w:val="28"/>
      <w:szCs w:val="28"/>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customStyle="1" w:styleId="ChapterHeading">
    <w:name w:val="Chapter Heading"/>
    <w:basedOn w:val="Normal"/>
    <w:rsid w:val="00DF34FE"/>
    <w:pPr>
      <w:spacing w:line="560" w:lineRule="exact"/>
    </w:pPr>
    <w:rPr>
      <w:color w:val="808285"/>
      <w:spacing w:val="-28"/>
      <w:sz w:val="53"/>
    </w:rPr>
  </w:style>
  <w:style w:type="character" w:customStyle="1" w:styleId="apple-style-span">
    <w:name w:val="apple-style-span"/>
    <w:basedOn w:val="DefaultParagraphFont"/>
    <w:rsid w:val="00EE7F79"/>
  </w:style>
  <w:style w:type="character" w:styleId="CommentReference">
    <w:name w:val="annotation reference"/>
    <w:basedOn w:val="DefaultParagraphFont"/>
    <w:uiPriority w:val="99"/>
    <w:semiHidden/>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rsid w:val="00EE7F79"/>
    <w:rPr>
      <w:b/>
      <w:bCs/>
    </w:rPr>
  </w:style>
  <w:style w:type="character" w:customStyle="1" w:styleId="CommentSubjectChar">
    <w:name w:val="Comment Subject Char"/>
    <w:basedOn w:val="CommentTextChar"/>
    <w:link w:val="CommentSubject"/>
    <w:rsid w:val="00EE7F79"/>
    <w:rPr>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character" w:customStyle="1" w:styleId="Heading1Char">
    <w:name w:val="Heading 1 Char"/>
    <w:basedOn w:val="DefaultParagraphFont"/>
    <w:link w:val="Heading1"/>
    <w:rsid w:val="001E6FB8"/>
    <w:rPr>
      <w:rFonts w:ascii="Arial" w:hAnsi="Arial" w:cs="Arial"/>
      <w:bCs/>
      <w:color w:val="4D4D4F"/>
      <w:kern w:val="32"/>
      <w:sz w:val="53"/>
      <w:szCs w:val="32"/>
    </w:rPr>
  </w:style>
  <w:style w:type="character" w:customStyle="1" w:styleId="Heading2Char">
    <w:name w:val="Heading 2 Char"/>
    <w:basedOn w:val="DefaultParagraphFont"/>
    <w:link w:val="Heading2"/>
    <w:rsid w:val="001E6FB8"/>
    <w:rPr>
      <w:rFonts w:ascii="Arial" w:hAnsi="Arial" w:cs="Arial"/>
      <w:b/>
      <w:bCs/>
      <w:iCs/>
      <w:sz w:val="28"/>
      <w:szCs w:val="28"/>
    </w:rPr>
  </w:style>
  <w:style w:type="character" w:customStyle="1" w:styleId="Heading3Char">
    <w:name w:val="Heading 3 Char"/>
    <w:basedOn w:val="DefaultParagraphFont"/>
    <w:link w:val="Heading3"/>
    <w:rsid w:val="001E6FB8"/>
    <w:rPr>
      <w:rFonts w:ascii="Arial" w:hAnsi="Arial" w:cs="Arial"/>
      <w:b/>
      <w:bCs/>
      <w:szCs w:val="26"/>
    </w:rPr>
  </w:style>
  <w:style w:type="character" w:customStyle="1" w:styleId="Heading4Char">
    <w:name w:val="Heading 4 Char"/>
    <w:basedOn w:val="DefaultParagraphFont"/>
    <w:link w:val="Heading4"/>
    <w:rsid w:val="001E6FB8"/>
    <w:rPr>
      <w:b/>
      <w:bCs/>
      <w:sz w:val="28"/>
      <w:szCs w:val="28"/>
    </w:rPr>
  </w:style>
  <w:style w:type="character" w:customStyle="1" w:styleId="Heading5Char">
    <w:name w:val="Heading 5 Char"/>
    <w:basedOn w:val="DefaultParagraphFont"/>
    <w:link w:val="Heading5"/>
    <w:rsid w:val="001E6FB8"/>
    <w:rPr>
      <w:rFonts w:ascii="Arial" w:hAnsi="Arial"/>
      <w:b/>
      <w:bCs/>
      <w:i/>
      <w:iCs/>
      <w:sz w:val="26"/>
      <w:szCs w:val="26"/>
    </w:rPr>
  </w:style>
  <w:style w:type="character" w:customStyle="1" w:styleId="Heading6Char">
    <w:name w:val="Heading 6 Char"/>
    <w:basedOn w:val="DefaultParagraphFont"/>
    <w:link w:val="Heading6"/>
    <w:rsid w:val="001E6FB8"/>
    <w:rPr>
      <w:b/>
      <w:bCs/>
      <w:sz w:val="22"/>
      <w:szCs w:val="22"/>
    </w:rPr>
  </w:style>
  <w:style w:type="character" w:customStyle="1" w:styleId="Heading7Char">
    <w:name w:val="Heading 7 Char"/>
    <w:basedOn w:val="DefaultParagraphFont"/>
    <w:link w:val="Heading7"/>
    <w:rsid w:val="001E6FB8"/>
    <w:rPr>
      <w:sz w:val="24"/>
      <w:szCs w:val="24"/>
    </w:rPr>
  </w:style>
  <w:style w:type="character" w:customStyle="1" w:styleId="Heading8Char">
    <w:name w:val="Heading 8 Char"/>
    <w:basedOn w:val="DefaultParagraphFont"/>
    <w:link w:val="Heading8"/>
    <w:rsid w:val="001E6FB8"/>
    <w:rPr>
      <w:i/>
      <w:iCs/>
      <w:sz w:val="24"/>
      <w:szCs w:val="24"/>
    </w:rPr>
  </w:style>
  <w:style w:type="character" w:customStyle="1" w:styleId="Heading9Char">
    <w:name w:val="Heading 9 Char"/>
    <w:basedOn w:val="DefaultParagraphFont"/>
    <w:link w:val="Heading9"/>
    <w:rsid w:val="001E6FB8"/>
    <w:rPr>
      <w:rFonts w:ascii="Arial" w:hAnsi="Arial" w:cs="Arial"/>
      <w:sz w:val="22"/>
      <w:szCs w:val="22"/>
    </w:rPr>
  </w:style>
  <w:style w:type="character" w:customStyle="1" w:styleId="HeaderChar">
    <w:name w:val="Header Char"/>
    <w:basedOn w:val="DefaultParagraphFont"/>
    <w:link w:val="Header"/>
    <w:semiHidden/>
    <w:rsid w:val="001E6FB8"/>
    <w:rPr>
      <w:rFonts w:ascii="Arial" w:hAnsi="Arial"/>
      <w:sz w:val="16"/>
      <w:szCs w:val="24"/>
    </w:rPr>
  </w:style>
  <w:style w:type="character" w:customStyle="1" w:styleId="FooterChar">
    <w:name w:val="Footer Char"/>
    <w:basedOn w:val="DefaultParagraphFont"/>
    <w:link w:val="Footer"/>
    <w:semiHidden/>
    <w:rsid w:val="001E6FB8"/>
    <w:rPr>
      <w:rFonts w:ascii="Arial" w:hAnsi="Arial"/>
      <w:sz w:val="16"/>
      <w:szCs w:val="24"/>
    </w:rPr>
  </w:style>
  <w:style w:type="character" w:customStyle="1" w:styleId="FootnoteTextChar">
    <w:name w:val="Footnote Text Char"/>
    <w:aliases w:val="ACMA Footnote Text Char,ALTS FOOTNOTE Char,(NECG) Footnote Text Char,Footnote text Char,AR Footnote Text Char,AR Footnote Text Char Char Char Char Char Char,Footnote Text Char2 Char,Footnote Text Char1 Char Char Char,f Char"/>
    <w:basedOn w:val="DefaultParagraphFont"/>
    <w:link w:val="FootnoteText"/>
    <w:rsid w:val="001E6FB8"/>
    <w:rPr>
      <w:rFonts w:ascii="Arial" w:hAnsi="Arial"/>
      <w:sz w:val="16"/>
      <w:szCs w:val="16"/>
    </w:rPr>
  </w:style>
  <w:style w:type="paragraph" w:customStyle="1" w:styleId="Default">
    <w:name w:val="Default"/>
    <w:rsid w:val="001E6FB8"/>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1E6FB8"/>
    <w:pPr>
      <w:ind w:left="720"/>
      <w:contextualSpacing/>
    </w:pPr>
    <w:rPr>
      <w:rFonts w:ascii="HelveticaNeueLT Std Lt" w:hAnsi="HelveticaNeueLT Std Lt"/>
    </w:rPr>
  </w:style>
  <w:style w:type="character" w:styleId="Emphasis">
    <w:name w:val="Emphasis"/>
    <w:basedOn w:val="DefaultParagraphFont"/>
    <w:uiPriority w:val="20"/>
    <w:qFormat/>
    <w:rsid w:val="001E6FB8"/>
    <w:rPr>
      <w:i/>
      <w:iCs/>
    </w:rPr>
  </w:style>
  <w:style w:type="paragraph" w:customStyle="1" w:styleId="ACMATableText">
    <w:name w:val="ACMA Table Text"/>
    <w:rsid w:val="001E6FB8"/>
    <w:pPr>
      <w:spacing w:before="40" w:after="40"/>
    </w:pPr>
    <w:rPr>
      <w:rFonts w:ascii="Arial" w:hAnsi="Arial"/>
      <w:lang w:eastAsia="en-US"/>
    </w:rPr>
  </w:style>
  <w:style w:type="paragraph" w:customStyle="1" w:styleId="ACMABodyText">
    <w:name w:val="ACMA Body Text"/>
    <w:link w:val="ACMABodyTextChar"/>
    <w:rsid w:val="001E6FB8"/>
    <w:pPr>
      <w:suppressAutoHyphens/>
      <w:spacing w:before="80" w:after="120" w:line="280" w:lineRule="atLeast"/>
    </w:pPr>
    <w:rPr>
      <w:snapToGrid w:val="0"/>
      <w:sz w:val="24"/>
      <w:lang w:eastAsia="en-US"/>
    </w:rPr>
  </w:style>
  <w:style w:type="character" w:customStyle="1" w:styleId="ACMABodyTextChar">
    <w:name w:val="ACMA Body Text Char"/>
    <w:basedOn w:val="DefaultParagraphFont"/>
    <w:link w:val="ACMABodyText"/>
    <w:rsid w:val="001E6FB8"/>
    <w:rPr>
      <w:snapToGrid w:val="0"/>
      <w:sz w:val="24"/>
      <w:lang w:eastAsia="en-US"/>
    </w:rPr>
  </w:style>
  <w:style w:type="paragraph" w:customStyle="1" w:styleId="ACMAHeading1">
    <w:name w:val="ACMA Heading 1"/>
    <w:next w:val="ACMABodyText"/>
    <w:rsid w:val="001E6FB8"/>
    <w:pPr>
      <w:keepNext/>
      <w:numPr>
        <w:numId w:val="21"/>
      </w:numPr>
      <w:tabs>
        <w:tab w:val="clear" w:pos="360"/>
      </w:tabs>
      <w:suppressAutoHyphens/>
      <w:spacing w:before="320"/>
      <w:ind w:left="0" w:firstLine="0"/>
      <w:outlineLvl w:val="1"/>
    </w:pPr>
    <w:rPr>
      <w:rFonts w:ascii="Arial" w:hAnsi="Arial"/>
      <w:b/>
      <w:sz w:val="32"/>
      <w:szCs w:val="32"/>
      <w:lang w:val="en-US" w:eastAsia="en-US"/>
    </w:rPr>
  </w:style>
  <w:style w:type="paragraph" w:customStyle="1" w:styleId="ACMAHeading2">
    <w:name w:val="ACMA Heading 2"/>
    <w:next w:val="ACMABodyText"/>
    <w:rsid w:val="001E6FB8"/>
    <w:pPr>
      <w:keepNext/>
      <w:suppressAutoHyphens/>
      <w:spacing w:before="240"/>
      <w:outlineLvl w:val="2"/>
    </w:pPr>
    <w:rPr>
      <w:rFonts w:ascii="Arial" w:hAnsi="Arial"/>
      <w:b/>
      <w:sz w:val="26"/>
      <w:szCs w:val="26"/>
      <w:lang w:val="en-US" w:eastAsia="en-US"/>
    </w:rPr>
  </w:style>
  <w:style w:type="paragraph" w:customStyle="1" w:styleId="ACMAHeading3">
    <w:name w:val="ACMA Heading 3"/>
    <w:next w:val="ACMABodyText"/>
    <w:rsid w:val="001E6FB8"/>
    <w:pPr>
      <w:keepNext/>
      <w:suppressAutoHyphens/>
      <w:spacing w:before="240"/>
      <w:outlineLvl w:val="3"/>
    </w:pPr>
    <w:rPr>
      <w:rFonts w:ascii="Arial" w:hAnsi="Arial"/>
      <w:b/>
      <w:sz w:val="24"/>
      <w:lang w:val="en-US" w:eastAsia="en-US"/>
    </w:rPr>
  </w:style>
  <w:style w:type="paragraph" w:customStyle="1" w:styleId="ACMABulletLevel1">
    <w:name w:val="ACMA Bullet Level 1"/>
    <w:rsid w:val="001E6FB8"/>
    <w:pPr>
      <w:numPr>
        <w:numId w:val="22"/>
      </w:numPr>
      <w:tabs>
        <w:tab w:val="clear" w:pos="-31680"/>
        <w:tab w:val="num" w:pos="1008"/>
      </w:tabs>
      <w:spacing w:after="120"/>
      <w:ind w:left="1008" w:hanging="360"/>
    </w:pPr>
    <w:rPr>
      <w:sz w:val="24"/>
      <w:lang w:eastAsia="en-US"/>
    </w:rPr>
  </w:style>
  <w:style w:type="paragraph" w:customStyle="1" w:styleId="ACMAHeading4">
    <w:name w:val="ACMA Heading 4"/>
    <w:next w:val="ACMABodyText"/>
    <w:rsid w:val="001E6FB8"/>
    <w:pPr>
      <w:keepNext/>
      <w:suppressAutoHyphens/>
      <w:spacing w:before="80"/>
      <w:outlineLvl w:val="4"/>
    </w:pPr>
    <w:rPr>
      <w:rFonts w:ascii="Arial" w:hAnsi="Arial"/>
      <w:b/>
      <w:i/>
      <w:lang w:eastAsia="en-US"/>
    </w:rPr>
  </w:style>
  <w:style w:type="character" w:styleId="Strong">
    <w:name w:val="Strong"/>
    <w:basedOn w:val="DefaultParagraphFont"/>
    <w:uiPriority w:val="22"/>
    <w:qFormat/>
    <w:rsid w:val="001E6FB8"/>
    <w:rPr>
      <w:b/>
      <w:bCs/>
    </w:rPr>
  </w:style>
  <w:style w:type="character" w:customStyle="1" w:styleId="DocumentMapChar">
    <w:name w:val="Document Map Char"/>
    <w:basedOn w:val="DefaultParagraphFont"/>
    <w:link w:val="DocumentMap"/>
    <w:uiPriority w:val="99"/>
    <w:semiHidden/>
    <w:rsid w:val="001E6FB8"/>
    <w:rPr>
      <w:rFonts w:ascii="Tahoma" w:hAnsi="Tahoma" w:cs="Tahoma"/>
      <w:sz w:val="16"/>
      <w:szCs w:val="16"/>
    </w:rPr>
  </w:style>
  <w:style w:type="paragraph" w:styleId="DocumentMap">
    <w:name w:val="Document Map"/>
    <w:basedOn w:val="Normal"/>
    <w:link w:val="DocumentMapChar"/>
    <w:uiPriority w:val="99"/>
    <w:semiHidden/>
    <w:rsid w:val="001E6FB8"/>
    <w:pPr>
      <w:spacing w:line="240" w:lineRule="auto"/>
    </w:pPr>
    <w:rPr>
      <w:rFonts w:ascii="Tahoma" w:hAnsi="Tahoma" w:cs="Tahoma"/>
      <w:sz w:val="16"/>
      <w:szCs w:val="16"/>
    </w:rPr>
  </w:style>
  <w:style w:type="character" w:customStyle="1" w:styleId="DocumentMapChar1">
    <w:name w:val="Document Map Char1"/>
    <w:basedOn w:val="DefaultParagraphFont"/>
    <w:link w:val="DocumentMap"/>
    <w:semiHidden/>
    <w:rsid w:val="001E6FB8"/>
    <w:rPr>
      <w:rFonts w:ascii="Tahoma" w:hAnsi="Tahoma" w:cs="Tahoma"/>
      <w:sz w:val="16"/>
      <w:szCs w:val="16"/>
    </w:rPr>
  </w:style>
  <w:style w:type="paragraph" w:styleId="TOC4">
    <w:name w:val="toc 4"/>
    <w:basedOn w:val="Normal"/>
    <w:next w:val="Normal"/>
    <w:autoRedefine/>
    <w:uiPriority w:val="39"/>
    <w:unhideWhenUsed/>
    <w:rsid w:val="001E6FB8"/>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1E6FB8"/>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1E6FB8"/>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1E6FB8"/>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1E6FB8"/>
    <w:pPr>
      <w:spacing w:after="100" w:line="276" w:lineRule="auto"/>
      <w:ind w:left="1540"/>
    </w:pPr>
    <w:rPr>
      <w:rFonts w:asciiTheme="minorHAnsi" w:eastAsiaTheme="minorEastAsia" w:hAnsiTheme="minorHAnsi" w:cstheme="minorBidi"/>
      <w:sz w:val="22"/>
      <w:szCs w:val="22"/>
    </w:rPr>
  </w:style>
  <w:style w:type="paragraph" w:styleId="EndnoteText">
    <w:name w:val="endnote text"/>
    <w:basedOn w:val="Normal"/>
    <w:link w:val="EndnoteTextChar"/>
    <w:unhideWhenUsed/>
    <w:rsid w:val="001E6FB8"/>
    <w:pPr>
      <w:spacing w:line="240" w:lineRule="auto"/>
    </w:pPr>
    <w:rPr>
      <w:rFonts w:ascii="HelveticaNeueLT Std Lt" w:hAnsi="HelveticaNeueLT Std Lt"/>
      <w:szCs w:val="20"/>
    </w:rPr>
  </w:style>
  <w:style w:type="character" w:customStyle="1" w:styleId="EndnoteTextChar">
    <w:name w:val="Endnote Text Char"/>
    <w:basedOn w:val="DefaultParagraphFont"/>
    <w:link w:val="EndnoteText"/>
    <w:rsid w:val="001E6FB8"/>
    <w:rPr>
      <w:rFonts w:ascii="HelveticaNeueLT Std Lt" w:hAnsi="HelveticaNeueLT Std Lt"/>
    </w:rPr>
  </w:style>
  <w:style w:type="character" w:styleId="EndnoteReference">
    <w:name w:val="endnote reference"/>
    <w:basedOn w:val="DefaultParagraphFont"/>
    <w:unhideWhenUsed/>
    <w:rsid w:val="001E6FB8"/>
    <w:rPr>
      <w:vertAlign w:val="superscript"/>
    </w:rPr>
  </w:style>
  <w:style w:type="paragraph" w:styleId="NormalWeb">
    <w:name w:val="Normal (Web)"/>
    <w:basedOn w:val="Normal"/>
    <w:uiPriority w:val="99"/>
    <w:unhideWhenUsed/>
    <w:rsid w:val="001E6FB8"/>
    <w:pPr>
      <w:spacing w:before="100" w:beforeAutospacing="1" w:after="100" w:afterAutospacing="1" w:line="240" w:lineRule="auto"/>
    </w:pPr>
    <w:rPr>
      <w:rFonts w:ascii="Times New Roman" w:hAnsi="Times New Roman"/>
      <w:sz w:val="24"/>
    </w:rPr>
  </w:style>
  <w:style w:type="paragraph" w:styleId="NoSpacing">
    <w:name w:val="No Spacing"/>
    <w:uiPriority w:val="1"/>
    <w:qFormat/>
    <w:rsid w:val="001E6FB8"/>
    <w:rPr>
      <w:rFonts w:asciiTheme="minorHAnsi" w:eastAsiaTheme="minorHAnsi" w:hAnsiTheme="minorHAnsi" w:cstheme="minorBidi"/>
      <w:sz w:val="22"/>
      <w:szCs w:val="22"/>
      <w:lang w:eastAsia="en-US"/>
    </w:rPr>
  </w:style>
  <w:style w:type="paragraph" w:customStyle="1" w:styleId="ACMANumberedList">
    <w:name w:val="ACMA Numbered List"/>
    <w:rsid w:val="001E6FB8"/>
    <w:pPr>
      <w:numPr>
        <w:numId w:val="23"/>
      </w:numPr>
      <w:spacing w:before="20" w:after="20"/>
    </w:pPr>
    <w:rPr>
      <w:sz w:val="24"/>
      <w:lang w:eastAsia="en-US"/>
    </w:rPr>
  </w:style>
  <w:style w:type="paragraph" w:customStyle="1" w:styleId="acmabodytext0">
    <w:name w:val="acmabodytext"/>
    <w:basedOn w:val="Normal"/>
    <w:rsid w:val="001E6FB8"/>
    <w:pPr>
      <w:snapToGrid w:val="0"/>
      <w:spacing w:before="80" w:after="120" w:line="280" w:lineRule="atLeast"/>
    </w:pPr>
    <w:rPr>
      <w:rFonts w:ascii="Times New Roman" w:hAnsi="Times New Roman"/>
      <w:sz w:val="24"/>
    </w:rPr>
  </w:style>
  <w:style w:type="paragraph" w:styleId="Title">
    <w:name w:val="Title"/>
    <w:basedOn w:val="Normal"/>
    <w:next w:val="Normal"/>
    <w:link w:val="TitleChar"/>
    <w:uiPriority w:val="10"/>
    <w:qFormat/>
    <w:rsid w:val="001E6F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1E6FB8"/>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CMATableFootnote">
    <w:name w:val="ACMA_TableFootnote"/>
    <w:basedOn w:val="Normal"/>
    <w:uiPriority w:val="99"/>
    <w:rsid w:val="001E6FB8"/>
    <w:pPr>
      <w:tabs>
        <w:tab w:val="left" w:pos="142"/>
        <w:tab w:val="left" w:pos="283"/>
        <w:tab w:val="left" w:pos="567"/>
        <w:tab w:val="left" w:pos="850"/>
        <w:tab w:val="left" w:pos="1701"/>
        <w:tab w:val="left" w:pos="1956"/>
      </w:tabs>
      <w:suppressAutoHyphens/>
      <w:autoSpaceDE w:val="0"/>
      <w:autoSpaceDN w:val="0"/>
      <w:adjustRightInd w:val="0"/>
      <w:spacing w:line="288" w:lineRule="auto"/>
      <w:textAlignment w:val="center"/>
    </w:pPr>
    <w:rPr>
      <w:rFonts w:ascii="HelveticaNeueLT Std Lt" w:hAnsi="HelveticaNeueLT Std Lt" w:cs="HelveticaNeueLT Std Lt"/>
      <w:i/>
      <w:iCs/>
      <w:color w:val="808284"/>
      <w:sz w:val="14"/>
      <w:szCs w:val="14"/>
      <w:lang w:val="en-GB"/>
    </w:rPr>
  </w:style>
  <w:style w:type="paragraph" w:customStyle="1" w:styleId="BasicParagraph">
    <w:name w:val="[Basic Paragraph]"/>
    <w:basedOn w:val="Normal"/>
    <w:uiPriority w:val="99"/>
    <w:rsid w:val="001E6FB8"/>
    <w:pPr>
      <w:autoSpaceDE w:val="0"/>
      <w:autoSpaceDN w:val="0"/>
      <w:adjustRightInd w:val="0"/>
      <w:spacing w:line="288" w:lineRule="auto"/>
      <w:textAlignment w:val="center"/>
    </w:pPr>
    <w:rPr>
      <w:rFonts w:ascii="Times Regular" w:hAnsi="Times Regular" w:cs="Times Regular"/>
      <w:color w:val="000000"/>
      <w:sz w:val="24"/>
      <w:lang w:val="en-US"/>
    </w:rPr>
  </w:style>
  <w:style w:type="paragraph" w:styleId="Revision">
    <w:name w:val="Revision"/>
    <w:hidden/>
    <w:uiPriority w:val="99"/>
    <w:semiHidden/>
    <w:rsid w:val="001E6FB8"/>
    <w:rPr>
      <w:rFonts w:ascii="HelveticaNeueLT Std Lt" w:hAnsi="HelveticaNeueLT Std Lt"/>
      <w:szCs w:val="24"/>
    </w:rPr>
  </w:style>
  <w:style w:type="table" w:customStyle="1" w:styleId="LightList-Accent11">
    <w:name w:val="Light List - Accent 11"/>
    <w:basedOn w:val="TableNormal"/>
    <w:uiPriority w:val="61"/>
    <w:rsid w:val="001E6FB8"/>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lainText">
    <w:name w:val="Plain Text"/>
    <w:basedOn w:val="Normal"/>
    <w:link w:val="PlainTextChar"/>
    <w:uiPriority w:val="99"/>
    <w:unhideWhenUsed/>
    <w:rsid w:val="001E6FB8"/>
    <w:pPr>
      <w:spacing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1E6FB8"/>
    <w:rPr>
      <w:rFonts w:ascii="Consolas" w:eastAsiaTheme="minorHAnsi" w:hAnsi="Consolas" w:cs="Consolas"/>
      <w:sz w:val="21"/>
      <w:szCs w:val="21"/>
    </w:rPr>
  </w:style>
  <w:style w:type="character" w:customStyle="1" w:styleId="BulletedlistChar">
    <w:name w:val="Bulleted list Char"/>
    <w:basedOn w:val="DefaultParagraphFont"/>
    <w:link w:val="Bulletedlist"/>
    <w:locked/>
    <w:rsid w:val="001E6FB8"/>
    <w:rPr>
      <w:rFonts w:ascii="HelveticaNeueLT Std Lt" w:hAnsi="HelveticaNeueLT Std Lt"/>
      <w:szCs w:val="24"/>
    </w:rPr>
  </w:style>
  <w:style w:type="paragraph" w:customStyle="1" w:styleId="Bulletedlist">
    <w:name w:val="Bulleted list"/>
    <w:basedOn w:val="ListParagraph"/>
    <w:link w:val="BulletedlistChar"/>
    <w:qFormat/>
    <w:rsid w:val="001E6FB8"/>
    <w:pPr>
      <w:numPr>
        <w:numId w:val="24"/>
      </w:numPr>
      <w:spacing w:before="120" w:after="120"/>
      <w:contextualSpacing w:val="0"/>
    </w:pPr>
  </w:style>
  <w:style w:type="character" w:customStyle="1" w:styleId="search-highlight1">
    <w:name w:val="search-highlight1"/>
    <w:basedOn w:val="DefaultParagraphFont"/>
    <w:rsid w:val="001E6FB8"/>
    <w:rPr>
      <w:shd w:val="clear" w:color="auto" w:fill="A0FFFF"/>
    </w:rPr>
  </w:style>
  <w:style w:type="paragraph" w:customStyle="1" w:styleId="IndexNote">
    <w:name w:val="IndexNote"/>
    <w:rsid w:val="001E6FB8"/>
    <w:pPr>
      <w:widowControl w:val="0"/>
      <w:autoSpaceDE w:val="0"/>
      <w:autoSpaceDN w:val="0"/>
      <w:adjustRightInd w:val="0"/>
    </w:pPr>
    <w:rPr>
      <w:rFonts w:eastAsiaTheme="minorEastAsia"/>
      <w:sz w:val="22"/>
      <w:szCs w:val="22"/>
    </w:rPr>
  </w:style>
  <w:style w:type="paragraph" w:customStyle="1" w:styleId="Main">
    <w:name w:val="Main"/>
    <w:uiPriority w:val="99"/>
    <w:rsid w:val="001E6FB8"/>
    <w:pPr>
      <w:widowControl w:val="0"/>
      <w:autoSpaceDE w:val="0"/>
      <w:autoSpaceDN w:val="0"/>
      <w:adjustRightInd w:val="0"/>
      <w:ind w:left="115" w:hanging="116"/>
    </w:pPr>
    <w:rPr>
      <w:rFonts w:eastAsiaTheme="minorEastAsia"/>
      <w:sz w:val="22"/>
      <w:szCs w:val="22"/>
    </w:rPr>
  </w:style>
  <w:style w:type="paragraph" w:customStyle="1" w:styleId="Sub1">
    <w:name w:val="Sub1"/>
    <w:uiPriority w:val="99"/>
    <w:rsid w:val="001E6FB8"/>
    <w:pPr>
      <w:widowControl w:val="0"/>
      <w:autoSpaceDE w:val="0"/>
      <w:autoSpaceDN w:val="0"/>
      <w:adjustRightInd w:val="0"/>
      <w:ind w:left="345" w:hanging="116"/>
    </w:pPr>
    <w:rPr>
      <w:rFonts w:eastAsiaTheme="minorEastAsia"/>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footer" Target="footer2.xml"/><Relationship Id="rId34" Type="http://schemas.openxmlformats.org/officeDocument/2006/relationships/footer" Target="footer8.xml"/><Relationship Id="rId42" Type="http://schemas.openxmlformats.org/officeDocument/2006/relationships/chart" Target="charts/chart8.xml"/><Relationship Id="rId47" Type="http://schemas.openxmlformats.org/officeDocument/2006/relationships/image" Target="media/image6.emf"/><Relationship Id="rId50" Type="http://schemas.openxmlformats.org/officeDocument/2006/relationships/chart" Target="charts/chart15.xml"/><Relationship Id="rId55" Type="http://schemas.openxmlformats.org/officeDocument/2006/relationships/chart" Target="charts/chart20.xml"/><Relationship Id="rId63" Type="http://schemas.openxmlformats.org/officeDocument/2006/relationships/chart" Target="charts/chart26.xml"/><Relationship Id="rId68" Type="http://schemas.openxmlformats.org/officeDocument/2006/relationships/chart" Target="charts/chart30.xml"/><Relationship Id="rId76" Type="http://schemas.openxmlformats.org/officeDocument/2006/relationships/chart" Target="charts/chart37.xml"/><Relationship Id="rId84" Type="http://schemas.openxmlformats.org/officeDocument/2006/relationships/chart" Target="charts/chart42.xml"/><Relationship Id="rId89" Type="http://schemas.openxmlformats.org/officeDocument/2006/relationships/chart" Target="charts/chart46.xml"/><Relationship Id="rId97" Type="http://schemas.openxmlformats.org/officeDocument/2006/relationships/chart" Target="charts/chart52.xml"/><Relationship Id="rId7" Type="http://schemas.openxmlformats.org/officeDocument/2006/relationships/numbering" Target="numbering.xml"/><Relationship Id="rId71" Type="http://schemas.openxmlformats.org/officeDocument/2006/relationships/chart" Target="charts/chart32.xml"/><Relationship Id="rId92" Type="http://schemas.openxmlformats.org/officeDocument/2006/relationships/chart" Target="charts/chart48.xml"/><Relationship Id="rId2" Type="http://schemas.openxmlformats.org/officeDocument/2006/relationships/customXml" Target="../customXml/item2.xml"/><Relationship Id="rId16" Type="http://schemas.openxmlformats.org/officeDocument/2006/relationships/hyperlink" Target="http://i.creativecommons.org/l/by/3.0/88x31.png" TargetMode="External"/><Relationship Id="rId29" Type="http://schemas.openxmlformats.org/officeDocument/2006/relationships/image" Target="media/image4.tiff"/><Relationship Id="rId11" Type="http://schemas.openxmlformats.org/officeDocument/2006/relationships/footnotes" Target="footnotes.xml"/><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8.xml"/><Relationship Id="rId58" Type="http://schemas.openxmlformats.org/officeDocument/2006/relationships/chart" Target="charts/chart22.xml"/><Relationship Id="rId66" Type="http://schemas.openxmlformats.org/officeDocument/2006/relationships/chart" Target="charts/chart28.xml"/><Relationship Id="rId74" Type="http://schemas.openxmlformats.org/officeDocument/2006/relationships/chart" Target="charts/chart35.xml"/><Relationship Id="rId79" Type="http://schemas.openxmlformats.org/officeDocument/2006/relationships/chart" Target="charts/chart39.xml"/><Relationship Id="rId87" Type="http://schemas.openxmlformats.org/officeDocument/2006/relationships/chart" Target="charts/chart44.xml"/><Relationship Id="rId5" Type="http://schemas.openxmlformats.org/officeDocument/2006/relationships/customXml" Target="../customXml/item5.xml"/><Relationship Id="rId61" Type="http://schemas.openxmlformats.org/officeDocument/2006/relationships/chart" Target="charts/chart24.xml"/><Relationship Id="rId82" Type="http://schemas.openxmlformats.org/officeDocument/2006/relationships/chart" Target="charts/chart41.xml"/><Relationship Id="rId90" Type="http://schemas.openxmlformats.org/officeDocument/2006/relationships/image" Target="media/image10.emf"/><Relationship Id="rId95" Type="http://schemas.openxmlformats.org/officeDocument/2006/relationships/chart" Target="charts/chart50.xml"/><Relationship Id="rId19" Type="http://schemas.openxmlformats.org/officeDocument/2006/relationships/header" Target="header3.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5.tiff"/><Relationship Id="rId35" Type="http://schemas.openxmlformats.org/officeDocument/2006/relationships/chart" Target="charts/chart1.xml"/><Relationship Id="rId43" Type="http://schemas.openxmlformats.org/officeDocument/2006/relationships/chart" Target="charts/chart9.xml"/><Relationship Id="rId48" Type="http://schemas.openxmlformats.org/officeDocument/2006/relationships/chart" Target="charts/chart13.xml"/><Relationship Id="rId56" Type="http://schemas.openxmlformats.org/officeDocument/2006/relationships/image" Target="media/image7.emf"/><Relationship Id="rId64" Type="http://schemas.openxmlformats.org/officeDocument/2006/relationships/hyperlink" Target="http://www.acma.gov.au/" TargetMode="External"/><Relationship Id="rId69" Type="http://schemas.openxmlformats.org/officeDocument/2006/relationships/hyperlink" Target="www.tusma.gov.au" TargetMode="External"/><Relationship Id="rId77" Type="http://schemas.openxmlformats.org/officeDocument/2006/relationships/hyperlink" Target="www.rfnsa.com.au/nsa/index.cgi" TargetMode="External"/><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chart" Target="charts/chart16.xml"/><Relationship Id="rId72" Type="http://schemas.openxmlformats.org/officeDocument/2006/relationships/chart" Target="charts/chart33.xml"/><Relationship Id="rId80" Type="http://schemas.openxmlformats.org/officeDocument/2006/relationships/hyperlink" Target="http://www.digitalready.gov.au/" TargetMode="External"/><Relationship Id="rId85" Type="http://schemas.openxmlformats.org/officeDocument/2006/relationships/image" Target="media/image9.emf"/><Relationship Id="rId93" Type="http://schemas.openxmlformats.org/officeDocument/2006/relationships/image" Target="media/image11.emf"/><Relationship Id="rId98" Type="http://schemas.openxmlformats.org/officeDocument/2006/relationships/hyperlink" Target="http://www.acma.gov.au/WEB/HOMEPAGE/PC=HOM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hyperlink" Target="http://www.dbcde.gov.au/funding_and_programs/regional_telecommunications_review" TargetMode="External"/><Relationship Id="rId67" Type="http://schemas.openxmlformats.org/officeDocument/2006/relationships/chart" Target="charts/chart29.xml"/><Relationship Id="rId20" Type="http://schemas.openxmlformats.org/officeDocument/2006/relationships/header" Target="header4.xml"/><Relationship Id="rId41" Type="http://schemas.openxmlformats.org/officeDocument/2006/relationships/chart" Target="charts/chart7.xml"/><Relationship Id="rId54" Type="http://schemas.openxmlformats.org/officeDocument/2006/relationships/chart" Target="charts/chart19.xml"/><Relationship Id="rId62" Type="http://schemas.openxmlformats.org/officeDocument/2006/relationships/chart" Target="charts/chart25.xml"/><Relationship Id="rId70" Type="http://schemas.openxmlformats.org/officeDocument/2006/relationships/chart" Target="charts/chart31.xml"/><Relationship Id="rId75" Type="http://schemas.openxmlformats.org/officeDocument/2006/relationships/chart" Target="charts/chart36.xml"/><Relationship Id="rId83" Type="http://schemas.openxmlformats.org/officeDocument/2006/relationships/image" Target="media/image8.png"/><Relationship Id="rId88" Type="http://schemas.openxmlformats.org/officeDocument/2006/relationships/chart" Target="charts/chart45.xml"/><Relationship Id="rId91" Type="http://schemas.openxmlformats.org/officeDocument/2006/relationships/chart" Target="charts/chart47.xml"/><Relationship Id="rId96" Type="http://schemas.openxmlformats.org/officeDocument/2006/relationships/chart" Target="charts/chart5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image" Target="media/image3.jpeg"/><Relationship Id="rId28" Type="http://schemas.openxmlformats.org/officeDocument/2006/relationships/footer" Target="footer6.xml"/><Relationship Id="rId36" Type="http://schemas.openxmlformats.org/officeDocument/2006/relationships/chart" Target="charts/chart2.xml"/><Relationship Id="rId49" Type="http://schemas.openxmlformats.org/officeDocument/2006/relationships/chart" Target="charts/chart14.xml"/><Relationship Id="rId57" Type="http://schemas.openxmlformats.org/officeDocument/2006/relationships/chart" Target="charts/chart21.xml"/><Relationship Id="rId10" Type="http://schemas.openxmlformats.org/officeDocument/2006/relationships/webSettings" Target="webSettings.xml"/><Relationship Id="rId31" Type="http://schemas.openxmlformats.org/officeDocument/2006/relationships/header" Target="header7.xml"/><Relationship Id="rId44" Type="http://schemas.openxmlformats.org/officeDocument/2006/relationships/chart" Target="charts/chart10.xml"/><Relationship Id="rId52" Type="http://schemas.openxmlformats.org/officeDocument/2006/relationships/chart" Target="charts/chart17.xml"/><Relationship Id="rId60" Type="http://schemas.openxmlformats.org/officeDocument/2006/relationships/chart" Target="charts/chart23.xml"/><Relationship Id="rId65" Type="http://schemas.openxmlformats.org/officeDocument/2006/relationships/chart" Target="charts/chart27.xml"/><Relationship Id="rId73" Type="http://schemas.openxmlformats.org/officeDocument/2006/relationships/chart" Target="charts/chart34.xml"/><Relationship Id="rId78" Type="http://schemas.openxmlformats.org/officeDocument/2006/relationships/chart" Target="charts/chart38.xml"/><Relationship Id="rId81" Type="http://schemas.openxmlformats.org/officeDocument/2006/relationships/chart" Target="charts/chart40.xml"/><Relationship Id="rId86" Type="http://schemas.openxmlformats.org/officeDocument/2006/relationships/chart" Target="charts/chart43.xml"/><Relationship Id="rId94" Type="http://schemas.openxmlformats.org/officeDocument/2006/relationships/chart" Target="charts/chart49.xml"/><Relationship Id="rId99" Type="http://schemas.openxmlformats.org/officeDocument/2006/relationships/footer" Target="footer9.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mailto:candinfo@acma.gov.au" TargetMode="External"/><Relationship Id="rId39" Type="http://schemas.openxmlformats.org/officeDocument/2006/relationships/chart" Target="charts/chart5.xml"/></Relationships>
</file>

<file path=word/_rels/endnotes.xml.rels><?xml version="1.0" encoding="UTF-8" standalone="yes"?>
<Relationships xmlns="http://schemas.openxmlformats.org/package/2006/relationships"><Relationship Id="rId3" Type="http://schemas.openxmlformats.org/officeDocument/2006/relationships/hyperlink" Target="http://www.acma.gov.au/theACMA/engage-blogs/engage-blogs/Marketers/Emarketing/Generate-a-Click-Frenzy-on-your-website" TargetMode="External"/><Relationship Id="rId2" Type="http://schemas.openxmlformats.org/officeDocument/2006/relationships/hyperlink" Target="http://www.tusma.gov.au/" TargetMode="External"/><Relationship Id="rId1" Type="http://schemas.openxmlformats.org/officeDocument/2006/relationships/hyperlink" Target="http://www.pace.com/global/our-thinking/over-the-top-services-ott/" TargetMode="External"/><Relationship Id="rId4" Type="http://schemas.openxmlformats.org/officeDocument/2006/relationships/hyperlink" Target="http://www.acma.gov.au/theACMA/Newsroom/Newsroom/Media-releases/acma-issues-formal-warning-to-aap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cact01srvp2\apps\Templates2007\ACMA\ACMA%20Report%20Basic.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collaboration/organisation/DED/NBNIMB/CAS/CommsReport201213/Project%20Documents/Comms%20report%20drafting/Chapter%201%20-%20Charts.xlsx" TargetMode="External"/></Relationships>
</file>

<file path=word/charts/_rels/chart10.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2%20-%20Charts.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2%20-%20Charts.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2%20-%20Charts.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2%20-%20Charts.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35.xml"/></Relationships>
</file>

<file path=word/charts/_rels/chart37.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3%20-%20Charts.xlsx" TargetMode="External"/><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4%20-%20Charts.xlsx" TargetMode="External"/><Relationship Id="rId1" Type="http://schemas.openxmlformats.org/officeDocument/2006/relationships/themeOverride" Target="../theme/themeOverride37.xml"/></Relationships>
</file>

<file path=word/charts/_rels/chart39.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4%20-%20Charts.xlsx" TargetMode="External"/><Relationship Id="rId1" Type="http://schemas.openxmlformats.org/officeDocument/2006/relationships/themeOverride" Target="../theme/themeOverride38.xml"/></Relationships>
</file>

<file path=word/charts/_rels/chart4.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4%20-%20Charts.xlsx" TargetMode="External"/><Relationship Id="rId1" Type="http://schemas.openxmlformats.org/officeDocument/2006/relationships/themeOverride" Target="../theme/themeOverride39.xml"/></Relationships>
</file>

<file path=word/charts/_rels/chart41.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4%20-%20Charts.xlsx" TargetMode="External"/><Relationship Id="rId1" Type="http://schemas.openxmlformats.org/officeDocument/2006/relationships/themeOverride" Target="../theme/themeOverride40.xml"/></Relationships>
</file>

<file path=word/charts/_rels/chart42.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41.xml"/></Relationships>
</file>

<file path=word/charts/_rels/chart43.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42.xml"/></Relationships>
</file>

<file path=word/charts/_rels/chart44.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43.xml"/></Relationships>
</file>

<file path=word/charts/_rels/chart45.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44.xml"/></Relationships>
</file>

<file path=word/charts/_rels/chart46.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45.xml"/></Relationships>
</file>

<file path=word/charts/_rels/chart47.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46.xml"/></Relationships>
</file>

<file path=word/charts/_rels/chart48.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47.xml"/></Relationships>
</file>

<file path=word/charts/_rels/chart49.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48.xml"/></Relationships>
</file>

<file path=word/charts/_rels/chart5.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49.xml"/></Relationships>
</file>

<file path=word/charts/_rels/chart51.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50.xml"/></Relationships>
</file>

<file path=word/charts/_rels/chart52.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5%20-%20Charts.xlsx" TargetMode="External"/><Relationship Id="rId1" Type="http://schemas.openxmlformats.org/officeDocument/2006/relationships/themeOverride" Target="../theme/themeOverride51.xml"/></Relationships>
</file>

<file path=word/charts/_rels/chart6.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http://collaboration/organisation/DED/NBNIMB/CAS/CommsReport201213/Project%20Documents/Comms%20report%20drafting/Chapter%201%20-%20Chart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7.4534659490029409E-2"/>
          <c:y val="4.2735042735042784E-2"/>
          <c:w val="0.89932144087551424"/>
          <c:h val="0.7823621738190617"/>
        </c:manualLayout>
      </c:layout>
      <c:lineChart>
        <c:grouping val="standard"/>
        <c:ser>
          <c:idx val="0"/>
          <c:order val="0"/>
          <c:dLbls>
            <c:dLblPos val="t"/>
            <c:showVal val="1"/>
          </c:dLbls>
          <c:cat>
            <c:strRef>
              <c:f>'1.1'!$D$1:$H$1</c:f>
              <c:strCache>
                <c:ptCount val="5"/>
                <c:pt idx="0">
                  <c:v>Jun-09</c:v>
                </c:pt>
                <c:pt idx="1">
                  <c:v>Jun-10</c:v>
                </c:pt>
                <c:pt idx="2">
                  <c:v>Jun-11</c:v>
                </c:pt>
                <c:pt idx="3">
                  <c:v>Jun-12</c:v>
                </c:pt>
                <c:pt idx="4">
                  <c:v>Jun-13</c:v>
                </c:pt>
              </c:strCache>
            </c:strRef>
          </c:cat>
          <c:val>
            <c:numRef>
              <c:f>'1.1'!$D$2:$H$2</c:f>
              <c:numCache>
                <c:formatCode>#,##0</c:formatCode>
                <c:ptCount val="5"/>
                <c:pt idx="0">
                  <c:v>1533</c:v>
                </c:pt>
                <c:pt idx="1">
                  <c:v>2038</c:v>
                </c:pt>
                <c:pt idx="2">
                  <c:v>2531</c:v>
                </c:pt>
                <c:pt idx="3">
                  <c:v>3129</c:v>
                </c:pt>
                <c:pt idx="4">
                  <c:v>3682</c:v>
                </c:pt>
              </c:numCache>
            </c:numRef>
          </c:val>
        </c:ser>
        <c:dLbls>
          <c:showVal val="1"/>
        </c:dLbls>
        <c:marker val="1"/>
        <c:axId val="250439552"/>
        <c:axId val="250441088"/>
      </c:lineChart>
      <c:catAx>
        <c:axId val="250439552"/>
        <c:scaling>
          <c:orientation val="minMax"/>
        </c:scaling>
        <c:axPos val="b"/>
        <c:tickLblPos val="nextTo"/>
        <c:crossAx val="250441088"/>
        <c:crosses val="autoZero"/>
        <c:auto val="1"/>
        <c:lblAlgn val="ctr"/>
        <c:lblOffset val="100"/>
      </c:catAx>
      <c:valAx>
        <c:axId val="250441088"/>
        <c:scaling>
          <c:orientation val="minMax"/>
        </c:scaling>
        <c:delete val="1"/>
        <c:axPos val="l"/>
        <c:title>
          <c:tx>
            <c:rich>
              <a:bodyPr rot="-5400000" vert="horz"/>
              <a:lstStyle/>
              <a:p>
                <a:pPr>
                  <a:defRPr b="0"/>
                </a:pPr>
                <a:r>
                  <a:rPr lang="en-AU" b="0"/>
                  <a:t>People aged 18 years and over ('000)</a:t>
                </a:r>
              </a:p>
            </c:rich>
          </c:tx>
          <c:layout>
            <c:manualLayout>
              <c:xMode val="edge"/>
              <c:yMode val="edge"/>
              <c:x val="2.4151851851851838E-2"/>
              <c:y val="7.3816308243727924E-2"/>
            </c:manualLayout>
          </c:layout>
        </c:title>
        <c:numFmt formatCode="#,##0" sourceLinked="1"/>
        <c:tickLblPos val="none"/>
        <c:crossAx val="250439552"/>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995059441099282E-2"/>
          <c:y val="7.7006147257908594E-2"/>
          <c:w val="0.91356879476822828"/>
          <c:h val="0.65109064949943696"/>
        </c:manualLayout>
      </c:layout>
      <c:barChart>
        <c:barDir val="col"/>
        <c:grouping val="clustered"/>
        <c:ser>
          <c:idx val="0"/>
          <c:order val="0"/>
          <c:tx>
            <c:strRef>
              <c:f>'1.10'!$B$5</c:f>
              <c:strCache>
                <c:ptCount val="1"/>
                <c:pt idx="0">
                  <c:v>May-12</c:v>
                </c:pt>
              </c:strCache>
            </c:strRef>
          </c:tx>
          <c:spPr>
            <a:ln>
              <a:solidFill>
                <a:schemeClr val="accent1"/>
              </a:solidFill>
            </a:ln>
          </c:spPr>
          <c:cat>
            <c:strRef>
              <c:f>'1.10'!$A$6:$A$13</c:f>
              <c:strCache>
                <c:ptCount val="8"/>
                <c:pt idx="0">
                  <c:v>Laptop computer</c:v>
                </c:pt>
                <c:pt idx="1">
                  <c:v>Desktop computer</c:v>
                </c:pt>
                <c:pt idx="2">
                  <c:v>Mobile phone</c:v>
                </c:pt>
                <c:pt idx="3">
                  <c:v>Tablet computer (e.g., iPad)</c:v>
                </c:pt>
                <c:pt idx="4">
                  <c:v>Television</c:v>
                </c:pt>
                <c:pt idx="5">
                  <c:v>Other games console (e.g., Xbox, Playstation, Wii)</c:v>
                </c:pt>
                <c:pt idx="6">
                  <c:v>Mp3 player (e.g., iPod touch)</c:v>
                </c:pt>
                <c:pt idx="7">
                  <c:v>Portable games console (e.g., PSP, Nintendo DS)</c:v>
                </c:pt>
              </c:strCache>
            </c:strRef>
          </c:cat>
          <c:val>
            <c:numRef>
              <c:f>'1.10'!$B$6:$B$13</c:f>
              <c:numCache>
                <c:formatCode>General</c:formatCode>
                <c:ptCount val="8"/>
                <c:pt idx="0">
                  <c:v>78</c:v>
                </c:pt>
                <c:pt idx="1">
                  <c:v>73</c:v>
                </c:pt>
                <c:pt idx="2">
                  <c:v>61</c:v>
                </c:pt>
                <c:pt idx="3">
                  <c:v>29</c:v>
                </c:pt>
                <c:pt idx="4">
                  <c:v>19</c:v>
                </c:pt>
                <c:pt idx="5">
                  <c:v>16</c:v>
                </c:pt>
                <c:pt idx="6">
                  <c:v>14</c:v>
                </c:pt>
                <c:pt idx="7">
                  <c:v>10</c:v>
                </c:pt>
              </c:numCache>
            </c:numRef>
          </c:val>
        </c:ser>
        <c:ser>
          <c:idx val="1"/>
          <c:order val="1"/>
          <c:tx>
            <c:strRef>
              <c:f>'1.10'!$C$5</c:f>
              <c:strCache>
                <c:ptCount val="1"/>
                <c:pt idx="0">
                  <c:v>May-13</c:v>
                </c:pt>
              </c:strCache>
            </c:strRef>
          </c:tx>
          <c:cat>
            <c:strRef>
              <c:f>'1.10'!$A$6:$A$13</c:f>
              <c:strCache>
                <c:ptCount val="8"/>
                <c:pt idx="0">
                  <c:v>Laptop computer</c:v>
                </c:pt>
                <c:pt idx="1">
                  <c:v>Desktop computer</c:v>
                </c:pt>
                <c:pt idx="2">
                  <c:v>Mobile phone</c:v>
                </c:pt>
                <c:pt idx="3">
                  <c:v>Tablet computer (e.g., iPad)</c:v>
                </c:pt>
                <c:pt idx="4">
                  <c:v>Television</c:v>
                </c:pt>
                <c:pt idx="5">
                  <c:v>Other games console (e.g., Xbox, Playstation, Wii)</c:v>
                </c:pt>
                <c:pt idx="6">
                  <c:v>Mp3 player (e.g., iPod touch)</c:v>
                </c:pt>
                <c:pt idx="7">
                  <c:v>Portable games console (e.g., PSP, Nintendo DS)</c:v>
                </c:pt>
              </c:strCache>
            </c:strRef>
          </c:cat>
          <c:val>
            <c:numRef>
              <c:f>'1.10'!$C$6:$C$13</c:f>
              <c:numCache>
                <c:formatCode>0</c:formatCode>
                <c:ptCount val="8"/>
                <c:pt idx="0">
                  <c:v>75.5</c:v>
                </c:pt>
                <c:pt idx="1">
                  <c:v>69</c:v>
                </c:pt>
                <c:pt idx="2">
                  <c:v>67.099999999999994</c:v>
                </c:pt>
                <c:pt idx="3">
                  <c:v>47</c:v>
                </c:pt>
                <c:pt idx="4">
                  <c:v>23.1</c:v>
                </c:pt>
                <c:pt idx="5">
                  <c:v>14.9</c:v>
                </c:pt>
                <c:pt idx="6">
                  <c:v>15.3</c:v>
                </c:pt>
                <c:pt idx="7">
                  <c:v>7.2</c:v>
                </c:pt>
              </c:numCache>
            </c:numRef>
          </c:val>
        </c:ser>
        <c:dLbls>
          <c:showVal val="1"/>
        </c:dLbls>
        <c:axId val="260421504"/>
        <c:axId val="260423040"/>
      </c:barChart>
      <c:catAx>
        <c:axId val="260421504"/>
        <c:scaling>
          <c:orientation val="minMax"/>
        </c:scaling>
        <c:axPos val="b"/>
        <c:numFmt formatCode="General" sourceLinked="1"/>
        <c:tickLblPos val="nextTo"/>
        <c:crossAx val="260423040"/>
        <c:crosses val="autoZero"/>
        <c:auto val="1"/>
        <c:lblAlgn val="ctr"/>
        <c:lblOffset val="100"/>
      </c:catAx>
      <c:valAx>
        <c:axId val="260423040"/>
        <c:scaling>
          <c:orientation val="minMax"/>
        </c:scaling>
        <c:delete val="1"/>
        <c:axPos val="l"/>
        <c:title>
          <c:tx>
            <c:rich>
              <a:bodyPr rot="-5400000" vert="horz"/>
              <a:lstStyle/>
              <a:p>
                <a:pPr>
                  <a:defRPr b="0"/>
                </a:pPr>
                <a:r>
                  <a:rPr lang="en-AU" b="0"/>
                  <a:t>% of internet users aged 18 years and over</a:t>
                </a:r>
              </a:p>
            </c:rich>
          </c:tx>
          <c:layout>
            <c:manualLayout>
              <c:xMode val="edge"/>
              <c:yMode val="edge"/>
              <c:x val="1.7769028871391075E-3"/>
              <c:y val="9.5592623290509743E-2"/>
            </c:manualLayout>
          </c:layout>
        </c:title>
        <c:numFmt formatCode="General" sourceLinked="1"/>
        <c:tickLblPos val="none"/>
        <c:crossAx val="260421504"/>
        <c:crosses val="autoZero"/>
        <c:crossBetween val="between"/>
      </c:valAx>
    </c:plotArea>
    <c:legend>
      <c:legendPos val="t"/>
      <c:layout>
        <c:manualLayout>
          <c:xMode val="edge"/>
          <c:yMode val="edge"/>
          <c:x val="0.41735435848296742"/>
          <c:y val="5.8212058212058222E-2"/>
          <c:w val="0.16529128303406848"/>
          <c:h val="4.4212134605836874E-2"/>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percentStacked"/>
        <c:ser>
          <c:idx val="0"/>
          <c:order val="0"/>
          <c:tx>
            <c:strRef>
              <c:f>'1.11'!$L$11</c:f>
              <c:strCache>
                <c:ptCount val="1"/>
                <c:pt idx="0">
                  <c:v>1</c:v>
                </c:pt>
              </c:strCache>
            </c:strRef>
          </c:tx>
          <c:dLbls>
            <c:numFmt formatCode="#,##0" sourceLinked="0"/>
            <c:txPr>
              <a:bodyPr/>
              <a:lstStyle/>
              <a:p>
                <a:pPr>
                  <a:defRPr>
                    <a:solidFill>
                      <a:schemeClr val="bg1"/>
                    </a:solidFill>
                  </a:defRPr>
                </a:pPr>
                <a:endParaRPr lang="en-US"/>
              </a:p>
            </c:txPr>
            <c:showVal val="1"/>
          </c:dLbls>
          <c:cat>
            <c:strRef>
              <c:f>'1.11'!$M$10:$S$10</c:f>
              <c:strCache>
                <c:ptCount val="7"/>
                <c:pt idx="0">
                  <c:v>Total</c:v>
                </c:pt>
                <c:pt idx="1">
                  <c:v>18–24</c:v>
                </c:pt>
                <c:pt idx="2">
                  <c:v>25–34</c:v>
                </c:pt>
                <c:pt idx="3">
                  <c:v>35–44</c:v>
                </c:pt>
                <c:pt idx="4">
                  <c:v>45–54</c:v>
                </c:pt>
                <c:pt idx="5">
                  <c:v>55–64</c:v>
                </c:pt>
                <c:pt idx="6">
                  <c:v>65+</c:v>
                </c:pt>
              </c:strCache>
            </c:strRef>
          </c:cat>
          <c:val>
            <c:numRef>
              <c:f>'1.11'!$M$11:$S$11</c:f>
              <c:numCache>
                <c:formatCode>General</c:formatCode>
                <c:ptCount val="7"/>
                <c:pt idx="0">
                  <c:v>18.3</c:v>
                </c:pt>
                <c:pt idx="1">
                  <c:v>2.5</c:v>
                </c:pt>
                <c:pt idx="2">
                  <c:v>7.7</c:v>
                </c:pt>
                <c:pt idx="3">
                  <c:v>8.7000000000000011</c:v>
                </c:pt>
                <c:pt idx="4">
                  <c:v>20.5</c:v>
                </c:pt>
                <c:pt idx="5">
                  <c:v>28.9</c:v>
                </c:pt>
                <c:pt idx="6">
                  <c:v>44.1</c:v>
                </c:pt>
              </c:numCache>
            </c:numRef>
          </c:val>
        </c:ser>
        <c:ser>
          <c:idx val="1"/>
          <c:order val="1"/>
          <c:tx>
            <c:strRef>
              <c:f>'1.11'!$L$12</c:f>
              <c:strCache>
                <c:ptCount val="1"/>
                <c:pt idx="0">
                  <c:v>2</c:v>
                </c:pt>
              </c:strCache>
            </c:strRef>
          </c:tx>
          <c:dLbls>
            <c:numFmt formatCode="#,##0" sourceLinked="0"/>
            <c:showVal val="1"/>
          </c:dLbls>
          <c:cat>
            <c:strRef>
              <c:f>'1.11'!$M$10:$S$10</c:f>
              <c:strCache>
                <c:ptCount val="7"/>
                <c:pt idx="0">
                  <c:v>Total</c:v>
                </c:pt>
                <c:pt idx="1">
                  <c:v>18–24</c:v>
                </c:pt>
                <c:pt idx="2">
                  <c:v>25–34</c:v>
                </c:pt>
                <c:pt idx="3">
                  <c:v>35–44</c:v>
                </c:pt>
                <c:pt idx="4">
                  <c:v>45–54</c:v>
                </c:pt>
                <c:pt idx="5">
                  <c:v>55–64</c:v>
                </c:pt>
                <c:pt idx="6">
                  <c:v>65+</c:v>
                </c:pt>
              </c:strCache>
            </c:strRef>
          </c:cat>
          <c:val>
            <c:numRef>
              <c:f>'1.11'!$M$12:$S$12</c:f>
              <c:numCache>
                <c:formatCode>General</c:formatCode>
                <c:ptCount val="7"/>
                <c:pt idx="0">
                  <c:v>20.3</c:v>
                </c:pt>
                <c:pt idx="1">
                  <c:v>13.700000000000001</c:v>
                </c:pt>
                <c:pt idx="2">
                  <c:v>17.399999999999999</c:v>
                </c:pt>
                <c:pt idx="3">
                  <c:v>19.2</c:v>
                </c:pt>
                <c:pt idx="4">
                  <c:v>18.899999999999999</c:v>
                </c:pt>
                <c:pt idx="5">
                  <c:v>24.3</c:v>
                </c:pt>
                <c:pt idx="6">
                  <c:v>28.6</c:v>
                </c:pt>
              </c:numCache>
            </c:numRef>
          </c:val>
        </c:ser>
        <c:ser>
          <c:idx val="2"/>
          <c:order val="2"/>
          <c:tx>
            <c:strRef>
              <c:f>'1.11'!$L$13</c:f>
              <c:strCache>
                <c:ptCount val="1"/>
                <c:pt idx="0">
                  <c:v>3</c:v>
                </c:pt>
              </c:strCache>
            </c:strRef>
          </c:tx>
          <c:dLbls>
            <c:numFmt formatCode="#,##0" sourceLinked="0"/>
            <c:showVal val="1"/>
          </c:dLbls>
          <c:cat>
            <c:strRef>
              <c:f>'1.11'!$M$10:$S$10</c:f>
              <c:strCache>
                <c:ptCount val="7"/>
                <c:pt idx="0">
                  <c:v>Total</c:v>
                </c:pt>
                <c:pt idx="1">
                  <c:v>18–24</c:v>
                </c:pt>
                <c:pt idx="2">
                  <c:v>25–34</c:v>
                </c:pt>
                <c:pt idx="3">
                  <c:v>35–44</c:v>
                </c:pt>
                <c:pt idx="4">
                  <c:v>45–54</c:v>
                </c:pt>
                <c:pt idx="5">
                  <c:v>55–64</c:v>
                </c:pt>
                <c:pt idx="6">
                  <c:v>65+</c:v>
                </c:pt>
              </c:strCache>
            </c:strRef>
          </c:cat>
          <c:val>
            <c:numRef>
              <c:f>'1.11'!$M$13:$S$13</c:f>
              <c:numCache>
                <c:formatCode>General</c:formatCode>
                <c:ptCount val="7"/>
                <c:pt idx="0">
                  <c:v>22.5</c:v>
                </c:pt>
                <c:pt idx="1">
                  <c:v>26</c:v>
                </c:pt>
                <c:pt idx="2">
                  <c:v>26.5</c:v>
                </c:pt>
                <c:pt idx="3">
                  <c:v>19.899999999999999</c:v>
                </c:pt>
                <c:pt idx="4">
                  <c:v>23.4</c:v>
                </c:pt>
                <c:pt idx="5">
                  <c:v>22</c:v>
                </c:pt>
                <c:pt idx="6">
                  <c:v>16.100000000000001</c:v>
                </c:pt>
              </c:numCache>
            </c:numRef>
          </c:val>
        </c:ser>
        <c:ser>
          <c:idx val="3"/>
          <c:order val="3"/>
          <c:tx>
            <c:strRef>
              <c:f>'1.11'!$L$14</c:f>
              <c:strCache>
                <c:ptCount val="1"/>
                <c:pt idx="0">
                  <c:v>4</c:v>
                </c:pt>
              </c:strCache>
            </c:strRef>
          </c:tx>
          <c:dLbls>
            <c:numFmt formatCode="#,##0" sourceLinked="0"/>
            <c:txPr>
              <a:bodyPr/>
              <a:lstStyle/>
              <a:p>
                <a:pPr>
                  <a:defRPr>
                    <a:solidFill>
                      <a:schemeClr val="bg1"/>
                    </a:solidFill>
                  </a:defRPr>
                </a:pPr>
                <a:endParaRPr lang="en-US"/>
              </a:p>
            </c:txPr>
            <c:showVal val="1"/>
          </c:dLbls>
          <c:cat>
            <c:strRef>
              <c:f>'1.11'!$M$10:$S$10</c:f>
              <c:strCache>
                <c:ptCount val="7"/>
                <c:pt idx="0">
                  <c:v>Total</c:v>
                </c:pt>
                <c:pt idx="1">
                  <c:v>18–24</c:v>
                </c:pt>
                <c:pt idx="2">
                  <c:v>25–34</c:v>
                </c:pt>
                <c:pt idx="3">
                  <c:v>35–44</c:v>
                </c:pt>
                <c:pt idx="4">
                  <c:v>45–54</c:v>
                </c:pt>
                <c:pt idx="5">
                  <c:v>55–64</c:v>
                </c:pt>
                <c:pt idx="6">
                  <c:v>65+</c:v>
                </c:pt>
              </c:strCache>
            </c:strRef>
          </c:cat>
          <c:val>
            <c:numRef>
              <c:f>'1.11'!$M$14:$S$14</c:f>
              <c:numCache>
                <c:formatCode>General</c:formatCode>
                <c:ptCount val="7"/>
                <c:pt idx="0">
                  <c:v>18.2</c:v>
                </c:pt>
                <c:pt idx="1">
                  <c:v>24.9</c:v>
                </c:pt>
                <c:pt idx="2">
                  <c:v>21.2</c:v>
                </c:pt>
                <c:pt idx="3">
                  <c:v>20.6</c:v>
                </c:pt>
                <c:pt idx="4">
                  <c:v>20.100000000000001</c:v>
                </c:pt>
                <c:pt idx="5">
                  <c:v>14.100000000000001</c:v>
                </c:pt>
                <c:pt idx="6">
                  <c:v>7.2000000000000011</c:v>
                </c:pt>
              </c:numCache>
            </c:numRef>
          </c:val>
        </c:ser>
        <c:ser>
          <c:idx val="4"/>
          <c:order val="4"/>
          <c:tx>
            <c:strRef>
              <c:f>'1.11'!$L$15</c:f>
              <c:strCache>
                <c:ptCount val="1"/>
                <c:pt idx="0">
                  <c:v>5 or more</c:v>
                </c:pt>
              </c:strCache>
            </c:strRef>
          </c:tx>
          <c:dLbls>
            <c:numFmt formatCode="#,##0" sourceLinked="0"/>
            <c:showVal val="1"/>
          </c:dLbls>
          <c:cat>
            <c:strRef>
              <c:f>'1.11'!$M$10:$S$10</c:f>
              <c:strCache>
                <c:ptCount val="7"/>
                <c:pt idx="0">
                  <c:v>Total</c:v>
                </c:pt>
                <c:pt idx="1">
                  <c:v>18–24</c:v>
                </c:pt>
                <c:pt idx="2">
                  <c:v>25–34</c:v>
                </c:pt>
                <c:pt idx="3">
                  <c:v>35–44</c:v>
                </c:pt>
                <c:pt idx="4">
                  <c:v>45–54</c:v>
                </c:pt>
                <c:pt idx="5">
                  <c:v>55–64</c:v>
                </c:pt>
                <c:pt idx="6">
                  <c:v>65+</c:v>
                </c:pt>
              </c:strCache>
            </c:strRef>
          </c:cat>
          <c:val>
            <c:numRef>
              <c:f>'1.11'!$M$15:$S$15</c:f>
              <c:numCache>
                <c:formatCode>General</c:formatCode>
                <c:ptCount val="7"/>
                <c:pt idx="0">
                  <c:v>20.8</c:v>
                </c:pt>
                <c:pt idx="1">
                  <c:v>33</c:v>
                </c:pt>
                <c:pt idx="2">
                  <c:v>27.3</c:v>
                </c:pt>
                <c:pt idx="3">
                  <c:v>31.5</c:v>
                </c:pt>
                <c:pt idx="4">
                  <c:v>17</c:v>
                </c:pt>
                <c:pt idx="5">
                  <c:v>10.6</c:v>
                </c:pt>
                <c:pt idx="6">
                  <c:v>3.9</c:v>
                </c:pt>
              </c:numCache>
            </c:numRef>
          </c:val>
        </c:ser>
        <c:dLbls>
          <c:showVal val="1"/>
        </c:dLbls>
        <c:overlap val="100"/>
        <c:axId val="260731264"/>
        <c:axId val="260733184"/>
      </c:barChart>
      <c:catAx>
        <c:axId val="260731264"/>
        <c:scaling>
          <c:orientation val="minMax"/>
        </c:scaling>
        <c:axPos val="b"/>
        <c:title>
          <c:tx>
            <c:rich>
              <a:bodyPr/>
              <a:lstStyle/>
              <a:p>
                <a:pPr>
                  <a:defRPr b="0"/>
                </a:pPr>
                <a:r>
                  <a:rPr lang="en-US" b="0"/>
                  <a:t>Age range</a:t>
                </a:r>
              </a:p>
            </c:rich>
          </c:tx>
        </c:title>
        <c:tickLblPos val="nextTo"/>
        <c:crossAx val="260733184"/>
        <c:crosses val="autoZero"/>
        <c:auto val="1"/>
        <c:lblAlgn val="ctr"/>
        <c:lblOffset val="100"/>
      </c:catAx>
      <c:valAx>
        <c:axId val="260733184"/>
        <c:scaling>
          <c:orientation val="minMax"/>
        </c:scaling>
        <c:delete val="1"/>
        <c:axPos val="l"/>
        <c:title>
          <c:tx>
            <c:rich>
              <a:bodyPr rot="-5400000" vert="horz"/>
              <a:lstStyle/>
              <a:p>
                <a:pPr>
                  <a:defRPr b="0"/>
                </a:pPr>
                <a:r>
                  <a:rPr lang="en-US" b="0"/>
                  <a:t>% of internet users in each age range</a:t>
                </a:r>
              </a:p>
            </c:rich>
          </c:tx>
        </c:title>
        <c:numFmt formatCode="0%" sourceLinked="1"/>
        <c:tickLblPos val="none"/>
        <c:crossAx val="260731264"/>
        <c:crosses val="autoZero"/>
        <c:crossBetween val="between"/>
      </c:valAx>
    </c:plotArea>
    <c:legend>
      <c:legendPos val="r"/>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0.51831324970282755"/>
          <c:y val="4.238921001926782E-2"/>
          <c:w val="0.48168675029716468"/>
          <c:h val="0.83221660450338464"/>
        </c:manualLayout>
      </c:layout>
      <c:barChart>
        <c:barDir val="bar"/>
        <c:grouping val="clustered"/>
        <c:ser>
          <c:idx val="0"/>
          <c:order val="0"/>
          <c:dLbls>
            <c:showVal val="1"/>
          </c:dLbls>
          <c:cat>
            <c:strRef>
              <c:f>'1.12'!$A$4:$A$11</c:f>
              <c:strCache>
                <c:ptCount val="8"/>
                <c:pt idx="0">
                  <c:v>Timely fault repair reputation</c:v>
                </c:pt>
                <c:pt idx="1">
                  <c:v>Don't know</c:v>
                </c:pt>
                <c:pt idx="2">
                  <c:v>Opportunity to bundle services</c:v>
                </c:pt>
                <c:pt idx="3">
                  <c:v>Technical support</c:v>
                </c:pt>
                <c:pt idx="4">
                  <c:v>Clear information about speed and data allowance</c:v>
                </c:pt>
                <c:pt idx="5">
                  <c:v>Customer service/complaints-handling reputation</c:v>
                </c:pt>
                <c:pt idx="6">
                  <c:v>Cost of service</c:v>
                </c:pt>
                <c:pt idx="7">
                  <c:v>Service reliability</c:v>
                </c:pt>
              </c:strCache>
            </c:strRef>
          </c:cat>
          <c:val>
            <c:numRef>
              <c:f>'1.12'!$B$4:$B$11</c:f>
              <c:numCache>
                <c:formatCode>General</c:formatCode>
                <c:ptCount val="8"/>
                <c:pt idx="0">
                  <c:v>1</c:v>
                </c:pt>
                <c:pt idx="1">
                  <c:v>3</c:v>
                </c:pt>
                <c:pt idx="2">
                  <c:v>4</c:v>
                </c:pt>
                <c:pt idx="3">
                  <c:v>5</c:v>
                </c:pt>
                <c:pt idx="4">
                  <c:v>7</c:v>
                </c:pt>
                <c:pt idx="5">
                  <c:v>7</c:v>
                </c:pt>
                <c:pt idx="6">
                  <c:v>31</c:v>
                </c:pt>
                <c:pt idx="7">
                  <c:v>43</c:v>
                </c:pt>
              </c:numCache>
            </c:numRef>
          </c:val>
        </c:ser>
        <c:axId val="260757760"/>
        <c:axId val="260763648"/>
      </c:barChart>
      <c:catAx>
        <c:axId val="260757760"/>
        <c:scaling>
          <c:orientation val="minMax"/>
        </c:scaling>
        <c:axPos val="l"/>
        <c:tickLblPos val="nextTo"/>
        <c:crossAx val="260763648"/>
        <c:crosses val="autoZero"/>
        <c:auto val="1"/>
        <c:lblAlgn val="ctr"/>
        <c:lblOffset val="100"/>
      </c:catAx>
      <c:valAx>
        <c:axId val="260763648"/>
        <c:scaling>
          <c:orientation val="minMax"/>
        </c:scaling>
        <c:delete val="1"/>
        <c:axPos val="b"/>
        <c:title>
          <c:tx>
            <c:rich>
              <a:bodyPr/>
              <a:lstStyle/>
              <a:p>
                <a:pPr>
                  <a:defRPr b="0"/>
                </a:pPr>
                <a:r>
                  <a:rPr lang="en-AU" b="0"/>
                  <a:t>%  of people aged 18 and over with home </a:t>
                </a:r>
              </a:p>
              <a:p>
                <a:pPr>
                  <a:defRPr b="0"/>
                </a:pPr>
                <a:r>
                  <a:rPr lang="en-AU" b="0"/>
                  <a:t>internet</a:t>
                </a:r>
                <a:r>
                  <a:rPr lang="en-AU" b="0" baseline="0"/>
                  <a:t> access</a:t>
                </a:r>
                <a:endParaRPr lang="en-AU" b="0"/>
              </a:p>
            </c:rich>
          </c:tx>
          <c:layout>
            <c:manualLayout>
              <c:xMode val="edge"/>
              <c:yMode val="edge"/>
              <c:x val="0.55825596048880677"/>
              <c:y val="0.89214974443983974"/>
            </c:manualLayout>
          </c:layout>
        </c:title>
        <c:numFmt formatCode="General" sourceLinked="1"/>
        <c:tickLblPos val="none"/>
        <c:crossAx val="260757760"/>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'1.14'!$C$4</c:f>
              <c:strCache>
                <c:ptCount val="1"/>
                <c:pt idx="0">
                  <c:v>Licences granted</c:v>
                </c:pt>
              </c:strCache>
            </c:strRef>
          </c:tx>
          <c:cat>
            <c:strRef>
              <c:f>'1.14'!$D$3:$H$3</c:f>
              <c:strCache>
                <c:ptCount val="5"/>
                <c:pt idx="0">
                  <c:v>2008–09</c:v>
                </c:pt>
                <c:pt idx="1">
                  <c:v>2009–10</c:v>
                </c:pt>
                <c:pt idx="2">
                  <c:v>2010–11</c:v>
                </c:pt>
                <c:pt idx="3">
                  <c:v>2011–12</c:v>
                </c:pt>
                <c:pt idx="4">
                  <c:v>2012–13</c:v>
                </c:pt>
              </c:strCache>
            </c:strRef>
          </c:cat>
          <c:val>
            <c:numRef>
              <c:f>'1.14'!$D$4:$H$4</c:f>
              <c:numCache>
                <c:formatCode>General</c:formatCode>
                <c:ptCount val="5"/>
                <c:pt idx="0">
                  <c:v>22</c:v>
                </c:pt>
                <c:pt idx="1">
                  <c:v>19</c:v>
                </c:pt>
                <c:pt idx="2">
                  <c:v>18</c:v>
                </c:pt>
                <c:pt idx="3">
                  <c:v>15</c:v>
                </c:pt>
                <c:pt idx="4">
                  <c:v>21</c:v>
                </c:pt>
              </c:numCache>
            </c:numRef>
          </c:val>
        </c:ser>
        <c:ser>
          <c:idx val="1"/>
          <c:order val="1"/>
          <c:tx>
            <c:strRef>
              <c:f>'1.14'!$C$5</c:f>
              <c:strCache>
                <c:ptCount val="1"/>
                <c:pt idx="0">
                  <c:v>Licences surrendered/cancelled</c:v>
                </c:pt>
              </c:strCache>
            </c:strRef>
          </c:tx>
          <c:cat>
            <c:strRef>
              <c:f>'1.14'!$D$3:$H$3</c:f>
              <c:strCache>
                <c:ptCount val="5"/>
                <c:pt idx="0">
                  <c:v>2008–09</c:v>
                </c:pt>
                <c:pt idx="1">
                  <c:v>2009–10</c:v>
                </c:pt>
                <c:pt idx="2">
                  <c:v>2010–11</c:v>
                </c:pt>
                <c:pt idx="3">
                  <c:v>2011–12</c:v>
                </c:pt>
                <c:pt idx="4">
                  <c:v>2012–13</c:v>
                </c:pt>
              </c:strCache>
            </c:strRef>
          </c:cat>
          <c:val>
            <c:numRef>
              <c:f>'1.14'!$D$5:$H$5</c:f>
              <c:numCache>
                <c:formatCode>General</c:formatCode>
                <c:ptCount val="5"/>
                <c:pt idx="0">
                  <c:v>20</c:v>
                </c:pt>
                <c:pt idx="1">
                  <c:v>16</c:v>
                </c:pt>
                <c:pt idx="2">
                  <c:v>4</c:v>
                </c:pt>
                <c:pt idx="3">
                  <c:v>16</c:v>
                </c:pt>
                <c:pt idx="4">
                  <c:v>7</c:v>
                </c:pt>
              </c:numCache>
            </c:numRef>
          </c:val>
        </c:ser>
        <c:dLbls>
          <c:showVal val="1"/>
        </c:dLbls>
        <c:axId val="260875008"/>
        <c:axId val="260876928"/>
      </c:barChart>
      <c:catAx>
        <c:axId val="260875008"/>
        <c:scaling>
          <c:orientation val="minMax"/>
        </c:scaling>
        <c:axPos val="b"/>
        <c:title>
          <c:tx>
            <c:rich>
              <a:bodyPr/>
              <a:lstStyle/>
              <a:p>
                <a:pPr>
                  <a:defRPr b="0"/>
                </a:pPr>
                <a:r>
                  <a:rPr lang="en-US" b="0"/>
                  <a:t>Financial year</a:t>
                </a:r>
              </a:p>
            </c:rich>
          </c:tx>
        </c:title>
        <c:tickLblPos val="nextTo"/>
        <c:crossAx val="260876928"/>
        <c:crosses val="autoZero"/>
        <c:auto val="1"/>
        <c:lblAlgn val="ctr"/>
        <c:lblOffset val="100"/>
      </c:catAx>
      <c:valAx>
        <c:axId val="260876928"/>
        <c:scaling>
          <c:orientation val="minMax"/>
        </c:scaling>
        <c:delete val="1"/>
        <c:axPos val="l"/>
        <c:title>
          <c:tx>
            <c:rich>
              <a:bodyPr rot="-5400000" vert="horz"/>
              <a:lstStyle/>
              <a:p>
                <a:pPr>
                  <a:defRPr b="0"/>
                </a:pPr>
                <a:r>
                  <a:rPr lang="en-US" b="0"/>
                  <a:t>Number of licences</a:t>
                </a:r>
              </a:p>
            </c:rich>
          </c:tx>
        </c:title>
        <c:numFmt formatCode="General" sourceLinked="1"/>
        <c:tickLblPos val="none"/>
        <c:crossAx val="260875008"/>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615988530068109E-2"/>
          <c:y val="0.12143400459590202"/>
          <c:w val="0.88429690782044257"/>
          <c:h val="0.62754101838894261"/>
        </c:manualLayout>
      </c:layout>
      <c:barChart>
        <c:barDir val="col"/>
        <c:grouping val="clustered"/>
        <c:ser>
          <c:idx val="0"/>
          <c:order val="0"/>
          <c:tx>
            <c:strRef>
              <c:f>'1.15'!$A$8</c:f>
              <c:strCache>
                <c:ptCount val="1"/>
                <c:pt idx="0">
                  <c:v>NCDs granted</c:v>
                </c:pt>
              </c:strCache>
            </c:strRef>
          </c:tx>
          <c:cat>
            <c:strRef>
              <c:f>'1.15'!$C$7:$G$7</c:f>
              <c:strCache>
                <c:ptCount val="5"/>
                <c:pt idx="0">
                  <c:v>2008–09</c:v>
                </c:pt>
                <c:pt idx="1">
                  <c:v>2009–10</c:v>
                </c:pt>
                <c:pt idx="2">
                  <c:v>2010–11</c:v>
                </c:pt>
                <c:pt idx="3">
                  <c:v>2011–12</c:v>
                </c:pt>
                <c:pt idx="4">
                  <c:v>2012–13</c:v>
                </c:pt>
              </c:strCache>
            </c:strRef>
          </c:cat>
          <c:val>
            <c:numRef>
              <c:f>'1.15'!$C$8:$G$8</c:f>
              <c:numCache>
                <c:formatCode>General</c:formatCode>
                <c:ptCount val="5"/>
                <c:pt idx="0">
                  <c:v>8</c:v>
                </c:pt>
                <c:pt idx="1">
                  <c:v>4</c:v>
                </c:pt>
                <c:pt idx="2">
                  <c:v>4</c:v>
                </c:pt>
                <c:pt idx="3">
                  <c:v>2</c:v>
                </c:pt>
                <c:pt idx="4">
                  <c:v>2</c:v>
                </c:pt>
              </c:numCache>
            </c:numRef>
          </c:val>
        </c:ser>
        <c:ser>
          <c:idx val="1"/>
          <c:order val="1"/>
          <c:tx>
            <c:strRef>
              <c:f>'1.15'!$A$9</c:f>
              <c:strCache>
                <c:ptCount val="1"/>
                <c:pt idx="0">
                  <c:v>NCDs revoked</c:v>
                </c:pt>
              </c:strCache>
            </c:strRef>
          </c:tx>
          <c:cat>
            <c:strRef>
              <c:f>'1.15'!$C$7:$G$7</c:f>
              <c:strCache>
                <c:ptCount val="5"/>
                <c:pt idx="0">
                  <c:v>2008–09</c:v>
                </c:pt>
                <c:pt idx="1">
                  <c:v>2009–10</c:v>
                </c:pt>
                <c:pt idx="2">
                  <c:v>2010–11</c:v>
                </c:pt>
                <c:pt idx="3">
                  <c:v>2011–12</c:v>
                </c:pt>
                <c:pt idx="4">
                  <c:v>2012–13</c:v>
                </c:pt>
              </c:strCache>
            </c:strRef>
          </c:cat>
          <c:val>
            <c:numRef>
              <c:f>'1.15'!$C$9:$G$9</c:f>
              <c:numCache>
                <c:formatCode>General</c:formatCode>
                <c:ptCount val="5"/>
                <c:pt idx="0">
                  <c:v>11</c:v>
                </c:pt>
                <c:pt idx="1">
                  <c:v>1</c:v>
                </c:pt>
                <c:pt idx="2">
                  <c:v>7</c:v>
                </c:pt>
                <c:pt idx="3">
                  <c:v>3</c:v>
                </c:pt>
                <c:pt idx="4">
                  <c:v>2</c:v>
                </c:pt>
              </c:numCache>
            </c:numRef>
          </c:val>
        </c:ser>
        <c:dLbls>
          <c:showVal val="1"/>
        </c:dLbls>
        <c:axId val="265588736"/>
        <c:axId val="265590656"/>
      </c:barChart>
      <c:catAx>
        <c:axId val="265588736"/>
        <c:scaling>
          <c:orientation val="minMax"/>
        </c:scaling>
        <c:axPos val="b"/>
        <c:title>
          <c:tx>
            <c:rich>
              <a:bodyPr/>
              <a:lstStyle/>
              <a:p>
                <a:pPr>
                  <a:defRPr b="0"/>
                </a:pPr>
                <a:r>
                  <a:rPr lang="en-US" b="0"/>
                  <a:t>Financial year</a:t>
                </a:r>
              </a:p>
            </c:rich>
          </c:tx>
          <c:layout>
            <c:manualLayout>
              <c:xMode val="edge"/>
              <c:yMode val="edge"/>
              <c:x val="0.4050037577901881"/>
              <c:y val="0.92751180346242212"/>
            </c:manualLayout>
          </c:layout>
        </c:title>
        <c:tickLblPos val="nextTo"/>
        <c:txPr>
          <a:bodyPr rot="0" vert="horz"/>
          <a:lstStyle/>
          <a:p>
            <a:pPr>
              <a:defRPr/>
            </a:pPr>
            <a:endParaRPr lang="en-US"/>
          </a:p>
        </c:txPr>
        <c:crossAx val="265590656"/>
        <c:crosses val="autoZero"/>
        <c:auto val="1"/>
        <c:lblAlgn val="ctr"/>
        <c:lblOffset val="100"/>
      </c:catAx>
      <c:valAx>
        <c:axId val="265590656"/>
        <c:scaling>
          <c:orientation val="minMax"/>
        </c:scaling>
        <c:delete val="1"/>
        <c:axPos val="l"/>
        <c:title>
          <c:tx>
            <c:rich>
              <a:bodyPr rot="-5400000" vert="horz"/>
              <a:lstStyle/>
              <a:p>
                <a:pPr>
                  <a:defRPr b="0"/>
                </a:pPr>
                <a:r>
                  <a:rPr lang="en-US" b="0"/>
                  <a:t>Number of licences </a:t>
                </a:r>
              </a:p>
            </c:rich>
          </c:tx>
          <c:layout>
            <c:manualLayout>
              <c:xMode val="edge"/>
              <c:yMode val="edge"/>
              <c:x val="1.8600097895252281E-2"/>
              <c:y val="0.26585033437762562"/>
            </c:manualLayout>
          </c:layout>
        </c:title>
        <c:numFmt formatCode="General" sourceLinked="1"/>
        <c:tickLblPos val="none"/>
        <c:crossAx val="265588736"/>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clustered"/>
        <c:ser>
          <c:idx val="0"/>
          <c:order val="0"/>
          <c:dLbls>
            <c:numFmt formatCode="#,##0" sourceLinked="0"/>
            <c:showVal val="1"/>
          </c:dLbls>
          <c:cat>
            <c:strRef>
              <c:f>'1.16'!$J$1:$N$1</c:f>
              <c:strCache>
                <c:ptCount val="5"/>
                <c:pt idx="0">
                  <c:v>2008–09</c:v>
                </c:pt>
                <c:pt idx="1">
                  <c:v>2009–10</c:v>
                </c:pt>
                <c:pt idx="2">
                  <c:v>2010–11</c:v>
                </c:pt>
                <c:pt idx="3">
                  <c:v>2011–12</c:v>
                </c:pt>
                <c:pt idx="4">
                  <c:v>2012–13</c:v>
                </c:pt>
              </c:strCache>
            </c:strRef>
          </c:cat>
          <c:val>
            <c:numRef>
              <c:f>'1.16'!$J$2:$N$2</c:f>
              <c:numCache>
                <c:formatCode>_-* #,##0_-;\-* #,##0_-;_-* "-"_-;_-@_-</c:formatCode>
                <c:ptCount val="5"/>
                <c:pt idx="0">
                  <c:v>3132400</c:v>
                </c:pt>
                <c:pt idx="1">
                  <c:v>1478800</c:v>
                </c:pt>
                <c:pt idx="2" formatCode="#,##0">
                  <c:v>1072800</c:v>
                </c:pt>
                <c:pt idx="3" formatCode="#,##0">
                  <c:v>2664600</c:v>
                </c:pt>
                <c:pt idx="4" formatCode="#,##0">
                  <c:v>1779700</c:v>
                </c:pt>
              </c:numCache>
            </c:numRef>
          </c:val>
        </c:ser>
        <c:axId val="265697152"/>
        <c:axId val="265699328"/>
      </c:barChart>
      <c:catAx>
        <c:axId val="265697152"/>
        <c:scaling>
          <c:orientation val="minMax"/>
        </c:scaling>
        <c:axPos val="b"/>
        <c:title>
          <c:tx>
            <c:rich>
              <a:bodyPr/>
              <a:lstStyle/>
              <a:p>
                <a:pPr>
                  <a:defRPr b="0"/>
                </a:pPr>
                <a:r>
                  <a:rPr lang="en-AU" b="0"/>
                  <a:t>Financial year</a:t>
                </a:r>
              </a:p>
            </c:rich>
          </c:tx>
          <c:layout>
            <c:manualLayout>
              <c:xMode val="edge"/>
              <c:yMode val="edge"/>
              <c:x val="0.46687634794533961"/>
              <c:y val="0.9424792452702091"/>
            </c:manualLayout>
          </c:layout>
        </c:title>
        <c:tickLblPos val="nextTo"/>
        <c:crossAx val="265699328"/>
        <c:crosses val="autoZero"/>
        <c:auto val="1"/>
        <c:lblAlgn val="ctr"/>
        <c:lblOffset val="100"/>
      </c:catAx>
      <c:valAx>
        <c:axId val="265699328"/>
        <c:scaling>
          <c:orientation val="minMax"/>
        </c:scaling>
        <c:delete val="1"/>
        <c:axPos val="l"/>
        <c:title>
          <c:tx>
            <c:rich>
              <a:bodyPr/>
              <a:lstStyle/>
              <a:p>
                <a:pPr>
                  <a:defRPr b="0"/>
                </a:pPr>
                <a:r>
                  <a:rPr lang="en-AU" b="0"/>
                  <a:t>Numbers allocated</a:t>
                </a:r>
              </a:p>
            </c:rich>
          </c:tx>
        </c:title>
        <c:numFmt formatCode="_-* #,##0_-;\-* #,##0_-;_-* &quot;-&quot;_-;_-@_-" sourceLinked="1"/>
        <c:tickLblPos val="none"/>
        <c:crossAx val="265697152"/>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0.3156417647717828"/>
          <c:y val="6.3926589329005634E-2"/>
          <c:w val="0.64083129453136856"/>
          <c:h val="0.83984078326088574"/>
        </c:manualLayout>
      </c:layout>
      <c:barChart>
        <c:barDir val="bar"/>
        <c:grouping val="clustered"/>
        <c:ser>
          <c:idx val="0"/>
          <c:order val="0"/>
          <c:tx>
            <c:strRef>
              <c:f>'1.17'!$C$2</c:f>
              <c:strCache>
                <c:ptCount val="1"/>
                <c:pt idx="0">
                  <c:v>Jun-11</c:v>
                </c:pt>
              </c:strCache>
            </c:strRef>
          </c:tx>
          <c:dLbls>
            <c:txPr>
              <a:bodyPr/>
              <a:lstStyle/>
              <a:p>
                <a:pPr>
                  <a:defRPr sz="850"/>
                </a:pPr>
                <a:endParaRPr lang="en-US"/>
              </a:p>
            </c:txPr>
            <c:showVal val="1"/>
          </c:dLbls>
          <c:cat>
            <c:strRef>
              <c:f>'1.17'!$A$3:$A$8</c:f>
              <c:strCache>
                <c:ptCount val="6"/>
                <c:pt idx="0">
                  <c:v>Commercial radio </c:v>
                </c:pt>
                <c:pt idx="1">
                  <c:v>Commercial television</c:v>
                </c:pt>
                <c:pt idx="2">
                  <c:v>Subscription television</c:v>
                </c:pt>
                <c:pt idx="3">
                  <c:v>Community radio </c:v>
                </c:pt>
                <c:pt idx="4">
                  <c:v>Community television</c:v>
                </c:pt>
                <c:pt idx="5">
                  <c:v>Temporary community radio</c:v>
                </c:pt>
              </c:strCache>
            </c:strRef>
          </c:cat>
          <c:val>
            <c:numRef>
              <c:f>'1.17'!$C$3:$C$8</c:f>
              <c:numCache>
                <c:formatCode>_-* #,##0_-;\-* #,##0_-;_-* "-"??_-;_-@_-</c:formatCode>
                <c:ptCount val="6"/>
                <c:pt idx="0">
                  <c:v>273</c:v>
                </c:pt>
                <c:pt idx="1">
                  <c:v>69</c:v>
                </c:pt>
                <c:pt idx="2">
                  <c:v>2728</c:v>
                </c:pt>
                <c:pt idx="3">
                  <c:v>356</c:v>
                </c:pt>
                <c:pt idx="4">
                  <c:v>81</c:v>
                </c:pt>
                <c:pt idx="5">
                  <c:v>106</c:v>
                </c:pt>
              </c:numCache>
            </c:numRef>
          </c:val>
        </c:ser>
        <c:ser>
          <c:idx val="1"/>
          <c:order val="1"/>
          <c:tx>
            <c:strRef>
              <c:f>'1.17'!$D$2</c:f>
              <c:strCache>
                <c:ptCount val="1"/>
                <c:pt idx="0">
                  <c:v>Jun-12</c:v>
                </c:pt>
              </c:strCache>
            </c:strRef>
          </c:tx>
          <c:dLbls>
            <c:txPr>
              <a:bodyPr/>
              <a:lstStyle/>
              <a:p>
                <a:pPr>
                  <a:defRPr sz="850"/>
                </a:pPr>
                <a:endParaRPr lang="en-US"/>
              </a:p>
            </c:txPr>
            <c:showVal val="1"/>
          </c:dLbls>
          <c:cat>
            <c:strRef>
              <c:f>'1.17'!$A$3:$A$8</c:f>
              <c:strCache>
                <c:ptCount val="6"/>
                <c:pt idx="0">
                  <c:v>Commercial radio </c:v>
                </c:pt>
                <c:pt idx="1">
                  <c:v>Commercial television</c:v>
                </c:pt>
                <c:pt idx="2">
                  <c:v>Subscription television</c:v>
                </c:pt>
                <c:pt idx="3">
                  <c:v>Community radio </c:v>
                </c:pt>
                <c:pt idx="4">
                  <c:v>Community television</c:v>
                </c:pt>
                <c:pt idx="5">
                  <c:v>Temporary community radio</c:v>
                </c:pt>
              </c:strCache>
            </c:strRef>
          </c:cat>
          <c:val>
            <c:numRef>
              <c:f>'1.17'!$D$3:$D$8</c:f>
              <c:numCache>
                <c:formatCode>_-* #,##0_-;\-* #,##0_-;_-* "-"??_-;_-@_-</c:formatCode>
                <c:ptCount val="6"/>
                <c:pt idx="0">
                  <c:v>273</c:v>
                </c:pt>
                <c:pt idx="1">
                  <c:v>69</c:v>
                </c:pt>
                <c:pt idx="2">
                  <c:v>2719</c:v>
                </c:pt>
                <c:pt idx="3">
                  <c:v>362</c:v>
                </c:pt>
                <c:pt idx="4">
                  <c:v>81</c:v>
                </c:pt>
                <c:pt idx="5">
                  <c:v>96</c:v>
                </c:pt>
              </c:numCache>
            </c:numRef>
          </c:val>
        </c:ser>
        <c:ser>
          <c:idx val="2"/>
          <c:order val="2"/>
          <c:tx>
            <c:strRef>
              <c:f>'1.17'!$E$2</c:f>
              <c:strCache>
                <c:ptCount val="1"/>
                <c:pt idx="0">
                  <c:v>Jun-13</c:v>
                </c:pt>
              </c:strCache>
            </c:strRef>
          </c:tx>
          <c:dLbls>
            <c:txPr>
              <a:bodyPr/>
              <a:lstStyle/>
              <a:p>
                <a:pPr>
                  <a:defRPr sz="850"/>
                </a:pPr>
                <a:endParaRPr lang="en-US"/>
              </a:p>
            </c:txPr>
            <c:showVal val="1"/>
          </c:dLbls>
          <c:cat>
            <c:strRef>
              <c:f>'1.17'!$A$3:$A$8</c:f>
              <c:strCache>
                <c:ptCount val="6"/>
                <c:pt idx="0">
                  <c:v>Commercial radio </c:v>
                </c:pt>
                <c:pt idx="1">
                  <c:v>Commercial television</c:v>
                </c:pt>
                <c:pt idx="2">
                  <c:v>Subscription television</c:v>
                </c:pt>
                <c:pt idx="3">
                  <c:v>Community radio </c:v>
                </c:pt>
                <c:pt idx="4">
                  <c:v>Community television</c:v>
                </c:pt>
                <c:pt idx="5">
                  <c:v>Temporary community radio</c:v>
                </c:pt>
              </c:strCache>
            </c:strRef>
          </c:cat>
          <c:val>
            <c:numRef>
              <c:f>'1.17'!$E$3:$E$8</c:f>
              <c:numCache>
                <c:formatCode>_-* #,##0_-;\-* #,##0_-;_-* "-"??_-;_-@_-</c:formatCode>
                <c:ptCount val="6"/>
                <c:pt idx="0">
                  <c:v>273</c:v>
                </c:pt>
                <c:pt idx="1">
                  <c:v>73</c:v>
                </c:pt>
                <c:pt idx="2">
                  <c:v>2737</c:v>
                </c:pt>
                <c:pt idx="3">
                  <c:v>355</c:v>
                </c:pt>
                <c:pt idx="4">
                  <c:v>69</c:v>
                </c:pt>
                <c:pt idx="5">
                  <c:v>95</c:v>
                </c:pt>
              </c:numCache>
            </c:numRef>
          </c:val>
        </c:ser>
        <c:dLbls>
          <c:showVal val="1"/>
        </c:dLbls>
        <c:axId val="265725824"/>
        <c:axId val="266866688"/>
      </c:barChart>
      <c:catAx>
        <c:axId val="265725824"/>
        <c:scaling>
          <c:orientation val="minMax"/>
        </c:scaling>
        <c:axPos val="l"/>
        <c:title>
          <c:tx>
            <c:rich>
              <a:bodyPr rot="-5400000"/>
              <a:lstStyle/>
              <a:p>
                <a:pPr>
                  <a:defRPr b="0"/>
                </a:pPr>
                <a:r>
                  <a:rPr lang="en-AU" b="0"/>
                  <a:t>Licence type</a:t>
                </a:r>
              </a:p>
            </c:rich>
          </c:tx>
          <c:layout>
            <c:manualLayout>
              <c:xMode val="edge"/>
              <c:yMode val="edge"/>
              <c:x val="1.7527866921906346E-2"/>
              <c:y val="0.33180123849653859"/>
            </c:manualLayout>
          </c:layout>
        </c:title>
        <c:numFmt formatCode="mmm\-yy" sourceLinked="1"/>
        <c:tickLblPos val="nextTo"/>
        <c:crossAx val="266866688"/>
        <c:crosses val="autoZero"/>
        <c:auto val="1"/>
        <c:lblAlgn val="ctr"/>
        <c:lblOffset val="100"/>
      </c:catAx>
      <c:valAx>
        <c:axId val="266866688"/>
        <c:scaling>
          <c:orientation val="minMax"/>
        </c:scaling>
        <c:delete val="1"/>
        <c:axPos val="b"/>
        <c:numFmt formatCode="_-* #,##0_-;\-* #,##0_-;_-* &quot;-&quot;??_-;_-@_-" sourceLinked="1"/>
        <c:tickLblPos val="none"/>
        <c:crossAx val="265725824"/>
        <c:crosses val="autoZero"/>
        <c:crossBetween val="between"/>
      </c:valAx>
    </c:plotArea>
    <c:legend>
      <c:legendPos val="r"/>
      <c:layout>
        <c:manualLayout>
          <c:xMode val="edge"/>
          <c:yMode val="edge"/>
          <c:x val="0.87080766604962789"/>
          <c:y val="0.17016750254233262"/>
          <c:w val="9.0602412811528477E-2"/>
          <c:h val="0.17175692733064857"/>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5.0933333333334024E-2"/>
          <c:y val="0.10607078877045248"/>
          <c:w val="0.92462222222222223"/>
          <c:h val="0.8181872504032236"/>
        </c:manualLayout>
      </c:layout>
      <c:barChart>
        <c:barDir val="col"/>
        <c:grouping val="clustered"/>
        <c:ser>
          <c:idx val="0"/>
          <c:order val="0"/>
          <c:tx>
            <c:strRef>
              <c:f>'1.18'!$B$26</c:f>
              <c:strCache>
                <c:ptCount val="1"/>
                <c:pt idx="0">
                  <c:v>Online general</c:v>
                </c:pt>
              </c:strCache>
            </c:strRef>
          </c:tx>
          <c:dLbls>
            <c:showVal val="1"/>
          </c:dLbls>
          <c:cat>
            <c:numRef>
              <c:f>'1.18'!$C$25:$E$25</c:f>
              <c:numCache>
                <c:formatCode>General</c:formatCode>
                <c:ptCount val="3"/>
                <c:pt idx="0">
                  <c:v>2010</c:v>
                </c:pt>
                <c:pt idx="1">
                  <c:v>2011</c:v>
                </c:pt>
                <c:pt idx="2">
                  <c:v>2012</c:v>
                </c:pt>
              </c:numCache>
            </c:numRef>
          </c:cat>
          <c:val>
            <c:numRef>
              <c:f>'1.18'!$C$26:$E$26</c:f>
              <c:numCache>
                <c:formatCode>#,##0</c:formatCode>
                <c:ptCount val="3"/>
                <c:pt idx="0">
                  <c:v>605</c:v>
                </c:pt>
                <c:pt idx="1">
                  <c:v>632</c:v>
                </c:pt>
                <c:pt idx="2">
                  <c:v>876</c:v>
                </c:pt>
              </c:numCache>
            </c:numRef>
          </c:val>
        </c:ser>
        <c:ser>
          <c:idx val="1"/>
          <c:order val="1"/>
          <c:tx>
            <c:strRef>
              <c:f>'1.18'!$B$27</c:f>
              <c:strCache>
                <c:ptCount val="1"/>
                <c:pt idx="0">
                  <c:v>Classifieds</c:v>
                </c:pt>
              </c:strCache>
            </c:strRef>
          </c:tx>
          <c:dLbls>
            <c:showVal val="1"/>
          </c:dLbls>
          <c:cat>
            <c:numRef>
              <c:f>'1.18'!$C$25:$E$25</c:f>
              <c:numCache>
                <c:formatCode>General</c:formatCode>
                <c:ptCount val="3"/>
                <c:pt idx="0">
                  <c:v>2010</c:v>
                </c:pt>
                <c:pt idx="1">
                  <c:v>2011</c:v>
                </c:pt>
                <c:pt idx="2">
                  <c:v>2012</c:v>
                </c:pt>
              </c:numCache>
            </c:numRef>
          </c:cat>
          <c:val>
            <c:numRef>
              <c:f>'1.18'!$C$27:$E$27</c:f>
              <c:numCache>
                <c:formatCode>#,##0</c:formatCode>
                <c:ptCount val="3"/>
                <c:pt idx="0">
                  <c:v>531</c:v>
                </c:pt>
                <c:pt idx="1">
                  <c:v>615</c:v>
                </c:pt>
                <c:pt idx="2">
                  <c:v>673</c:v>
                </c:pt>
              </c:numCache>
            </c:numRef>
          </c:val>
        </c:ser>
        <c:ser>
          <c:idx val="2"/>
          <c:order val="2"/>
          <c:tx>
            <c:strRef>
              <c:f>'1.18'!$B$28</c:f>
              <c:strCache>
                <c:ptCount val="1"/>
                <c:pt idx="0">
                  <c:v>Search &amp; directories</c:v>
                </c:pt>
              </c:strCache>
            </c:strRef>
          </c:tx>
          <c:dLbls>
            <c:showVal val="1"/>
          </c:dLbls>
          <c:cat>
            <c:numRef>
              <c:f>'1.18'!$C$25:$E$25</c:f>
              <c:numCache>
                <c:formatCode>General</c:formatCode>
                <c:ptCount val="3"/>
                <c:pt idx="0">
                  <c:v>2010</c:v>
                </c:pt>
                <c:pt idx="1">
                  <c:v>2011</c:v>
                </c:pt>
                <c:pt idx="2">
                  <c:v>2012</c:v>
                </c:pt>
              </c:numCache>
            </c:numRef>
          </c:cat>
          <c:val>
            <c:numRef>
              <c:f>'1.18'!$C$28:$E$28</c:f>
              <c:numCache>
                <c:formatCode>#,##0</c:formatCode>
                <c:ptCount val="3"/>
                <c:pt idx="0">
                  <c:v>1129</c:v>
                </c:pt>
                <c:pt idx="1">
                  <c:v>1413</c:v>
                </c:pt>
                <c:pt idx="2">
                  <c:v>1794</c:v>
                </c:pt>
              </c:numCache>
            </c:numRef>
          </c:val>
        </c:ser>
        <c:ser>
          <c:idx val="3"/>
          <c:order val="3"/>
          <c:tx>
            <c:strRef>
              <c:f>'1.18'!$B$29</c:f>
              <c:strCache>
                <c:ptCount val="1"/>
                <c:pt idx="0">
                  <c:v>Total online spend</c:v>
                </c:pt>
              </c:strCache>
            </c:strRef>
          </c:tx>
          <c:dLbls>
            <c:showVal val="1"/>
          </c:dLbls>
          <c:cat>
            <c:numRef>
              <c:f>'1.18'!$C$25:$E$25</c:f>
              <c:numCache>
                <c:formatCode>General</c:formatCode>
                <c:ptCount val="3"/>
                <c:pt idx="0">
                  <c:v>2010</c:v>
                </c:pt>
                <c:pt idx="1">
                  <c:v>2011</c:v>
                </c:pt>
                <c:pt idx="2">
                  <c:v>2012</c:v>
                </c:pt>
              </c:numCache>
            </c:numRef>
          </c:cat>
          <c:val>
            <c:numRef>
              <c:f>'1.18'!$C$29:$E$29</c:f>
              <c:numCache>
                <c:formatCode>#,##0</c:formatCode>
                <c:ptCount val="3"/>
                <c:pt idx="0">
                  <c:v>2265</c:v>
                </c:pt>
                <c:pt idx="1">
                  <c:v>2660</c:v>
                </c:pt>
                <c:pt idx="2">
                  <c:v>3343</c:v>
                </c:pt>
              </c:numCache>
            </c:numRef>
          </c:val>
        </c:ser>
        <c:axId val="266894336"/>
        <c:axId val="266908416"/>
      </c:barChart>
      <c:catAx>
        <c:axId val="266894336"/>
        <c:scaling>
          <c:orientation val="minMax"/>
        </c:scaling>
        <c:axPos val="b"/>
        <c:numFmt formatCode="General" sourceLinked="1"/>
        <c:tickLblPos val="nextTo"/>
        <c:crossAx val="266908416"/>
        <c:crosses val="autoZero"/>
        <c:auto val="1"/>
        <c:lblAlgn val="ctr"/>
        <c:lblOffset val="100"/>
      </c:catAx>
      <c:valAx>
        <c:axId val="266908416"/>
        <c:scaling>
          <c:orientation val="minMax"/>
        </c:scaling>
        <c:delete val="1"/>
        <c:axPos val="l"/>
        <c:title>
          <c:tx>
            <c:rich>
              <a:bodyPr rot="0" vert="horz"/>
              <a:lstStyle/>
              <a:p>
                <a:pPr>
                  <a:defRPr b="0"/>
                </a:pPr>
                <a:r>
                  <a:rPr lang="en-AU" b="0"/>
                  <a:t>($A millions)</a:t>
                </a:r>
              </a:p>
            </c:rich>
          </c:tx>
          <c:layout>
            <c:manualLayout>
              <c:xMode val="edge"/>
              <c:yMode val="edge"/>
              <c:x val="7.1644909015194075E-2"/>
              <c:y val="0.23927456721339435"/>
            </c:manualLayout>
          </c:layout>
        </c:title>
        <c:numFmt formatCode="#,##0" sourceLinked="1"/>
        <c:tickLblPos val="none"/>
        <c:crossAx val="266894336"/>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2.3243528790279997E-2"/>
          <c:y val="4.3781094527363194E-2"/>
          <c:w val="0.70940298072883456"/>
          <c:h val="0.86756234575154745"/>
        </c:manualLayout>
      </c:layout>
      <c:lineChart>
        <c:grouping val="standard"/>
        <c:ser>
          <c:idx val="0"/>
          <c:order val="0"/>
          <c:tx>
            <c:strRef>
              <c:f>'1.19'!$A$6</c:f>
              <c:strCache>
                <c:ptCount val="1"/>
                <c:pt idx="0">
                  <c:v>4+ hrs per day</c:v>
                </c:pt>
              </c:strCache>
            </c:strRef>
          </c:tx>
          <c:dLbls>
            <c:dLbl>
              <c:idx val="0"/>
              <c:layout>
                <c:manualLayout>
                  <c:x val="-3.0787110406762349E-2"/>
                  <c:y val="-4.418913307478356E-2"/>
                </c:manualLayout>
              </c:layout>
              <c:dLblPos val="r"/>
              <c:showVal val="1"/>
            </c:dLbl>
            <c:dLbl>
              <c:idx val="1"/>
              <c:layout>
                <c:manualLayout>
                  <c:x val="-3.0787110406762349E-2"/>
                  <c:y val="-4.418913307478356E-2"/>
                </c:manualLayout>
              </c:layout>
              <c:dLblPos val="r"/>
              <c:showVal val="1"/>
            </c:dLbl>
            <c:dLbl>
              <c:idx val="2"/>
              <c:layout>
                <c:manualLayout>
                  <c:x val="-2.867406233491808E-2"/>
                  <c:y val="-3.6228934069808441E-2"/>
                </c:manualLayout>
              </c:layout>
              <c:dLblPos val="r"/>
              <c:showVal val="1"/>
            </c:dLbl>
            <c:dLbl>
              <c:idx val="3"/>
              <c:layout>
                <c:manualLayout>
                  <c:x val="-2.8674062334918118E-2"/>
                  <c:y val="-3.6228934069808441E-2"/>
                </c:manualLayout>
              </c:layout>
              <c:dLblPos val="r"/>
              <c:showVal val="1"/>
            </c:dLbl>
            <c:dLbl>
              <c:idx val="4"/>
              <c:layout>
                <c:manualLayout>
                  <c:x val="-3.0787110406762429E-2"/>
                  <c:y val="-4.0209033572296E-2"/>
                </c:manualLayout>
              </c:layout>
              <c:dLblPos val="r"/>
              <c:showVal val="1"/>
            </c:dLbl>
            <c:dLblPos val="t"/>
            <c:showVal val="1"/>
          </c:dLbls>
          <c:cat>
            <c:strRef>
              <c:f>'1.19'!$B$5:$F$5</c:f>
              <c:strCache>
                <c:ptCount val="5"/>
                <c:pt idx="0">
                  <c:v>Jun-09</c:v>
                </c:pt>
                <c:pt idx="1">
                  <c:v>Jun-10</c:v>
                </c:pt>
                <c:pt idx="2">
                  <c:v>Jun-11</c:v>
                </c:pt>
                <c:pt idx="3">
                  <c:v>Jun-12</c:v>
                </c:pt>
                <c:pt idx="4">
                  <c:v>Jun-13</c:v>
                </c:pt>
              </c:strCache>
            </c:strRef>
          </c:cat>
          <c:val>
            <c:numRef>
              <c:f>'1.19'!$B$6:$F$6</c:f>
              <c:numCache>
                <c:formatCode>General</c:formatCode>
                <c:ptCount val="5"/>
                <c:pt idx="0">
                  <c:v>19</c:v>
                </c:pt>
                <c:pt idx="1">
                  <c:v>18</c:v>
                </c:pt>
                <c:pt idx="2">
                  <c:v>19</c:v>
                </c:pt>
                <c:pt idx="3">
                  <c:v>18</c:v>
                </c:pt>
                <c:pt idx="4">
                  <c:v>18</c:v>
                </c:pt>
              </c:numCache>
            </c:numRef>
          </c:val>
        </c:ser>
        <c:ser>
          <c:idx val="1"/>
          <c:order val="1"/>
          <c:tx>
            <c:strRef>
              <c:f>'1.19'!$A$7</c:f>
              <c:strCache>
                <c:ptCount val="1"/>
                <c:pt idx="0">
                  <c:v>2–&lt;4 hrs per day</c:v>
                </c:pt>
              </c:strCache>
            </c:strRef>
          </c:tx>
          <c:dLbls>
            <c:dLbl>
              <c:idx val="0"/>
              <c:layout>
                <c:manualLayout>
                  <c:x val="-3.0787110406762349E-2"/>
                  <c:y val="-3.2248834567321256E-2"/>
                </c:manualLayout>
              </c:layout>
              <c:dLblPos val="r"/>
              <c:showVal val="1"/>
            </c:dLbl>
            <c:dLbl>
              <c:idx val="1"/>
              <c:layout>
                <c:manualLayout>
                  <c:x val="-3.0787110406762349E-2"/>
                  <c:y val="-4.0209033572295966E-2"/>
                </c:manualLayout>
              </c:layout>
              <c:dLblPos val="r"/>
              <c:showVal val="1"/>
            </c:dLbl>
            <c:dLbl>
              <c:idx val="2"/>
              <c:layout>
                <c:manualLayout>
                  <c:x val="-3.0787110406762321E-2"/>
                  <c:y val="-4.0209033572295966E-2"/>
                </c:manualLayout>
              </c:layout>
              <c:dLblPos val="r"/>
              <c:showVal val="1"/>
            </c:dLbl>
            <c:dLbl>
              <c:idx val="3"/>
              <c:layout>
                <c:manualLayout>
                  <c:x val="-3.0787110406762349E-2"/>
                  <c:y val="-4.418913307478356E-2"/>
                </c:manualLayout>
              </c:layout>
              <c:dLblPos val="r"/>
              <c:showVal val="1"/>
            </c:dLbl>
            <c:dLbl>
              <c:idx val="4"/>
              <c:layout>
                <c:manualLayout>
                  <c:x val="-3.0787110406762429E-2"/>
                  <c:y val="-3.2248834567321256E-2"/>
                </c:manualLayout>
              </c:layout>
              <c:dLblPos val="r"/>
              <c:showVal val="1"/>
            </c:dLbl>
            <c:dLblPos val="t"/>
            <c:showVal val="1"/>
          </c:dLbls>
          <c:cat>
            <c:strRef>
              <c:f>'1.19'!$B$5:$F$5</c:f>
              <c:strCache>
                <c:ptCount val="5"/>
                <c:pt idx="0">
                  <c:v>Jun-09</c:v>
                </c:pt>
                <c:pt idx="1">
                  <c:v>Jun-10</c:v>
                </c:pt>
                <c:pt idx="2">
                  <c:v>Jun-11</c:v>
                </c:pt>
                <c:pt idx="3">
                  <c:v>Jun-12</c:v>
                </c:pt>
                <c:pt idx="4">
                  <c:v>Jun-13</c:v>
                </c:pt>
              </c:strCache>
            </c:strRef>
          </c:cat>
          <c:val>
            <c:numRef>
              <c:f>'1.19'!$B$7:$F$7</c:f>
              <c:numCache>
                <c:formatCode>General</c:formatCode>
                <c:ptCount val="5"/>
                <c:pt idx="0">
                  <c:v>41</c:v>
                </c:pt>
                <c:pt idx="1">
                  <c:v>40</c:v>
                </c:pt>
                <c:pt idx="2">
                  <c:v>40</c:v>
                </c:pt>
                <c:pt idx="3">
                  <c:v>39</c:v>
                </c:pt>
                <c:pt idx="4">
                  <c:v>39</c:v>
                </c:pt>
              </c:numCache>
            </c:numRef>
          </c:val>
        </c:ser>
        <c:ser>
          <c:idx val="2"/>
          <c:order val="2"/>
          <c:tx>
            <c:strRef>
              <c:f>'1.19'!$A$8</c:f>
              <c:strCache>
                <c:ptCount val="1"/>
                <c:pt idx="0">
                  <c:v>&lt;2 hrs per day</c:v>
                </c:pt>
              </c:strCache>
            </c:strRef>
          </c:tx>
          <c:dLbls>
            <c:dLbl>
              <c:idx val="0"/>
              <c:layout>
                <c:manualLayout>
                  <c:x val="-3.0787110406762349E-2"/>
                  <c:y val="-3.2248834567321256E-2"/>
                </c:manualLayout>
              </c:layout>
              <c:dLblPos val="r"/>
              <c:showVal val="1"/>
            </c:dLbl>
            <c:dLbl>
              <c:idx val="1"/>
              <c:layout>
                <c:manualLayout>
                  <c:x val="-3.0787110406762349E-2"/>
                  <c:y val="-4.0209033572296E-2"/>
                </c:manualLayout>
              </c:layout>
              <c:dLblPos val="r"/>
              <c:showVal val="1"/>
            </c:dLbl>
            <c:dLbl>
              <c:idx val="2"/>
              <c:layout>
                <c:manualLayout>
                  <c:x val="-3.0787110406762321E-2"/>
                  <c:y val="-4.0209033572296E-2"/>
                </c:manualLayout>
              </c:layout>
              <c:dLblPos val="r"/>
              <c:showVal val="1"/>
            </c:dLbl>
            <c:dLbl>
              <c:idx val="3"/>
              <c:layout>
                <c:manualLayout>
                  <c:x val="-3.0787110406762349E-2"/>
                  <c:y val="-2.4288635562345756E-2"/>
                </c:manualLayout>
              </c:layout>
              <c:dLblPos val="r"/>
              <c:showVal val="1"/>
            </c:dLbl>
            <c:dLbl>
              <c:idx val="4"/>
              <c:layout>
                <c:manualLayout>
                  <c:x val="-3.0787110406762429E-2"/>
                  <c:y val="-3.2248834567321256E-2"/>
                </c:manualLayout>
              </c:layout>
              <c:dLblPos val="r"/>
              <c:showVal val="1"/>
            </c:dLbl>
            <c:dLblPos val="t"/>
            <c:showVal val="1"/>
          </c:dLbls>
          <c:cat>
            <c:strRef>
              <c:f>'1.19'!$B$5:$F$5</c:f>
              <c:strCache>
                <c:ptCount val="5"/>
                <c:pt idx="0">
                  <c:v>Jun-09</c:v>
                </c:pt>
                <c:pt idx="1">
                  <c:v>Jun-10</c:v>
                </c:pt>
                <c:pt idx="2">
                  <c:v>Jun-11</c:v>
                </c:pt>
                <c:pt idx="3">
                  <c:v>Jun-12</c:v>
                </c:pt>
                <c:pt idx="4">
                  <c:v>Jun-13</c:v>
                </c:pt>
              </c:strCache>
            </c:strRef>
          </c:cat>
          <c:val>
            <c:numRef>
              <c:f>'1.19'!$B$8:$F$8</c:f>
              <c:numCache>
                <c:formatCode>General</c:formatCode>
                <c:ptCount val="5"/>
                <c:pt idx="0">
                  <c:v>34</c:v>
                </c:pt>
                <c:pt idx="1">
                  <c:v>35</c:v>
                </c:pt>
                <c:pt idx="2">
                  <c:v>34</c:v>
                </c:pt>
                <c:pt idx="3">
                  <c:v>36</c:v>
                </c:pt>
                <c:pt idx="4">
                  <c:v>34</c:v>
                </c:pt>
              </c:numCache>
            </c:numRef>
          </c:val>
        </c:ser>
        <c:ser>
          <c:idx val="3"/>
          <c:order val="3"/>
          <c:tx>
            <c:strRef>
              <c:f>'1.19'!$A$9</c:f>
              <c:strCache>
                <c:ptCount val="1"/>
                <c:pt idx="0">
                  <c:v>No commercial TV viewing</c:v>
                </c:pt>
              </c:strCache>
            </c:strRef>
          </c:tx>
          <c:dLbls>
            <c:dLbl>
              <c:idx val="0"/>
              <c:layout>
                <c:manualLayout>
                  <c:x val="-2.5430616735507151E-2"/>
                  <c:y val="-4.418913307478356E-2"/>
                </c:manualLayout>
              </c:layout>
              <c:dLblPos val="r"/>
              <c:showVal val="1"/>
            </c:dLbl>
            <c:dLbl>
              <c:idx val="1"/>
              <c:layout>
                <c:manualLayout>
                  <c:x val="-2.1204520591819841E-2"/>
                  <c:y val="-3.6228934069808441E-2"/>
                </c:manualLayout>
              </c:layout>
              <c:dLblPos val="r"/>
              <c:showVal val="1"/>
            </c:dLbl>
            <c:dLbl>
              <c:idx val="2"/>
              <c:layout>
                <c:manualLayout>
                  <c:x val="-2.3317568663663482E-2"/>
                  <c:y val="-4.418913307478356E-2"/>
                </c:manualLayout>
              </c:layout>
              <c:dLblPos val="r"/>
              <c:showVal val="1"/>
            </c:dLbl>
            <c:dLbl>
              <c:idx val="3"/>
              <c:layout>
                <c:manualLayout>
                  <c:x val="-2.5430616735507151E-2"/>
                  <c:y val="-3.2248834567321256E-2"/>
                </c:manualLayout>
              </c:layout>
              <c:dLblPos val="r"/>
              <c:showVal val="1"/>
            </c:dLbl>
            <c:dLbl>
              <c:idx val="4"/>
              <c:layout>
                <c:manualLayout>
                  <c:x val="-3.0787110406762429E-2"/>
                  <c:y val="-4.0209033572295876E-2"/>
                </c:manualLayout>
              </c:layout>
              <c:dLblPos val="r"/>
              <c:showVal val="1"/>
            </c:dLbl>
            <c:dLblPos val="t"/>
            <c:showVal val="1"/>
          </c:dLbls>
          <c:cat>
            <c:strRef>
              <c:f>'1.19'!$B$5:$F$5</c:f>
              <c:strCache>
                <c:ptCount val="5"/>
                <c:pt idx="0">
                  <c:v>Jun-09</c:v>
                </c:pt>
                <c:pt idx="1">
                  <c:v>Jun-10</c:v>
                </c:pt>
                <c:pt idx="2">
                  <c:v>Jun-11</c:v>
                </c:pt>
                <c:pt idx="3">
                  <c:v>Jun-12</c:v>
                </c:pt>
                <c:pt idx="4">
                  <c:v>Jun-13</c:v>
                </c:pt>
              </c:strCache>
            </c:strRef>
          </c:cat>
          <c:val>
            <c:numRef>
              <c:f>'1.19'!$B$9:$F$9</c:f>
              <c:numCache>
                <c:formatCode>General</c:formatCode>
                <c:ptCount val="5"/>
                <c:pt idx="0">
                  <c:v>5</c:v>
                </c:pt>
                <c:pt idx="1">
                  <c:v>7</c:v>
                </c:pt>
                <c:pt idx="2">
                  <c:v>7</c:v>
                </c:pt>
                <c:pt idx="3">
                  <c:v>8</c:v>
                </c:pt>
                <c:pt idx="4">
                  <c:v>10</c:v>
                </c:pt>
              </c:numCache>
            </c:numRef>
          </c:val>
        </c:ser>
        <c:marker val="1"/>
        <c:axId val="266985856"/>
        <c:axId val="266987392"/>
      </c:lineChart>
      <c:catAx>
        <c:axId val="266985856"/>
        <c:scaling>
          <c:orientation val="minMax"/>
        </c:scaling>
        <c:axPos val="b"/>
        <c:numFmt formatCode="General" sourceLinked="1"/>
        <c:tickLblPos val="nextTo"/>
        <c:crossAx val="266987392"/>
        <c:crosses val="autoZero"/>
        <c:auto val="1"/>
        <c:lblAlgn val="ctr"/>
        <c:lblOffset val="100"/>
      </c:catAx>
      <c:valAx>
        <c:axId val="266987392"/>
        <c:scaling>
          <c:orientation val="minMax"/>
        </c:scaling>
        <c:delete val="1"/>
        <c:axPos val="l"/>
        <c:title>
          <c:tx>
            <c:rich>
              <a:bodyPr rot="-5400000" vert="horz"/>
              <a:lstStyle/>
              <a:p>
                <a:pPr>
                  <a:defRPr b="0"/>
                </a:pPr>
                <a:r>
                  <a:rPr lang="en-US" b="0"/>
                  <a:t>% of people aged 14 years and over</a:t>
                </a:r>
              </a:p>
            </c:rich>
          </c:tx>
          <c:layout>
            <c:manualLayout>
              <c:xMode val="edge"/>
              <c:yMode val="edge"/>
              <c:x val="1.690438457474908E-2"/>
              <c:y val="0.17391060445802559"/>
            </c:manualLayout>
          </c:layout>
        </c:title>
        <c:numFmt formatCode="General" sourceLinked="1"/>
        <c:tickLblPos val="none"/>
        <c:crossAx val="266985856"/>
        <c:crosses val="autoZero"/>
        <c:crossBetween val="between"/>
      </c:valAx>
      <c:spPr>
        <a:noFill/>
        <a:ln w="25400">
          <a:noFill/>
        </a:ln>
      </c:spPr>
    </c:plotArea>
    <c:legend>
      <c:legendPos val="r"/>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5.3944248548811753E-2"/>
          <c:y val="4.5912852344989895E-2"/>
          <c:w val="0.66235302738720003"/>
          <c:h val="0.86111378598300659"/>
        </c:manualLayout>
      </c:layout>
      <c:lineChart>
        <c:grouping val="standard"/>
        <c:ser>
          <c:idx val="0"/>
          <c:order val="0"/>
          <c:tx>
            <c:strRef>
              <c:f>'1.20'!$A$6</c:f>
              <c:strCache>
                <c:ptCount val="1"/>
                <c:pt idx="0">
                  <c:v>4+ hrs per day</c:v>
                </c:pt>
              </c:strCache>
            </c:strRef>
          </c:tx>
          <c:dLbls>
            <c:dLbl>
              <c:idx val="0"/>
              <c:layout>
                <c:manualLayout>
                  <c:x val="-3.0787110406762349E-2"/>
                  <c:y val="3.622893406980851E-2"/>
                </c:manualLayout>
              </c:layout>
              <c:dLblPos val="r"/>
              <c:showVal val="1"/>
            </c:dLbl>
            <c:dLbl>
              <c:idx val="1"/>
              <c:layout>
                <c:manualLayout>
                  <c:x val="-3.0787110406762349E-2"/>
                  <c:y val="3.2248834567321256E-2"/>
                </c:manualLayout>
              </c:layout>
              <c:dLblPos val="r"/>
              <c:showVal val="1"/>
            </c:dLbl>
            <c:dLbl>
              <c:idx val="2"/>
              <c:layout>
                <c:manualLayout>
                  <c:x val="-3.0787110406762321E-2"/>
                  <c:y val="2.8268735064833312E-2"/>
                </c:manualLayout>
              </c:layout>
              <c:dLblPos val="r"/>
              <c:showVal val="1"/>
            </c:dLbl>
            <c:dLbl>
              <c:idx val="3"/>
              <c:layout>
                <c:manualLayout>
                  <c:x val="-3.0787110406762349E-2"/>
                  <c:y val="3.6228934069808441E-2"/>
                </c:manualLayout>
              </c:layout>
              <c:dLblPos val="r"/>
              <c:showVal val="1"/>
            </c:dLbl>
            <c:dLbl>
              <c:idx val="4"/>
              <c:layout>
                <c:manualLayout>
                  <c:x val="-3.0787110406762429E-2"/>
                  <c:y val="4.0209033572296E-2"/>
                </c:manualLayout>
              </c:layout>
              <c:dLblPos val="r"/>
              <c:showVal val="1"/>
            </c:dLbl>
            <c:dLblPos val="b"/>
            <c:showVal val="1"/>
          </c:dLbls>
          <c:cat>
            <c:strRef>
              <c:f>'1.20'!$B$5:$F$5</c:f>
              <c:strCache>
                <c:ptCount val="5"/>
                <c:pt idx="0">
                  <c:v>Jun-09</c:v>
                </c:pt>
                <c:pt idx="1">
                  <c:v>Jun-10</c:v>
                </c:pt>
                <c:pt idx="2">
                  <c:v>Jun-11</c:v>
                </c:pt>
                <c:pt idx="3">
                  <c:v>Jun-12</c:v>
                </c:pt>
                <c:pt idx="4">
                  <c:v>Jun-13</c:v>
                </c:pt>
              </c:strCache>
            </c:strRef>
          </c:cat>
          <c:val>
            <c:numRef>
              <c:f>'1.20'!$B$6:$F$6</c:f>
              <c:numCache>
                <c:formatCode>General</c:formatCode>
                <c:ptCount val="5"/>
                <c:pt idx="0">
                  <c:v>14</c:v>
                </c:pt>
                <c:pt idx="1">
                  <c:v>13</c:v>
                </c:pt>
                <c:pt idx="2">
                  <c:v>12</c:v>
                </c:pt>
                <c:pt idx="3">
                  <c:v>11</c:v>
                </c:pt>
                <c:pt idx="4">
                  <c:v>12</c:v>
                </c:pt>
              </c:numCache>
            </c:numRef>
          </c:val>
        </c:ser>
        <c:ser>
          <c:idx val="1"/>
          <c:order val="1"/>
          <c:tx>
            <c:strRef>
              <c:f>'1.20'!$A$7</c:f>
              <c:strCache>
                <c:ptCount val="1"/>
                <c:pt idx="0">
                  <c:v>2–&lt;4 hrs per day</c:v>
                </c:pt>
              </c:strCache>
            </c:strRef>
          </c:tx>
          <c:dLbls>
            <c:dLbl>
              <c:idx val="0"/>
              <c:layout>
                <c:manualLayout>
                  <c:x val="-3.0787110406762366E-2"/>
                  <c:y val="-3.2248834567321256E-2"/>
                </c:manualLayout>
              </c:layout>
              <c:dLblPos val="r"/>
              <c:showVal val="1"/>
            </c:dLbl>
            <c:dLbl>
              <c:idx val="1"/>
              <c:layout>
                <c:manualLayout>
                  <c:x val="-3.0787110406762366E-2"/>
                  <c:y val="-4.0209033572295966E-2"/>
                </c:manualLayout>
              </c:layout>
              <c:dLblPos val="r"/>
              <c:showVal val="1"/>
            </c:dLbl>
            <c:dLbl>
              <c:idx val="2"/>
              <c:layout>
                <c:manualLayout>
                  <c:x val="-3.0787110406762342E-2"/>
                  <c:y val="-4.0209033572295966E-2"/>
                </c:manualLayout>
              </c:layout>
              <c:dLblPos val="r"/>
              <c:showVal val="1"/>
            </c:dLbl>
            <c:dLbl>
              <c:idx val="3"/>
              <c:layout>
                <c:manualLayout>
                  <c:x val="-3.0787110406762366E-2"/>
                  <c:y val="-4.418913307478356E-2"/>
                </c:manualLayout>
              </c:layout>
              <c:dLblPos val="r"/>
              <c:showVal val="1"/>
            </c:dLbl>
            <c:dLbl>
              <c:idx val="4"/>
              <c:layout>
                <c:manualLayout>
                  <c:x val="-3.0787110406762446E-2"/>
                  <c:y val="-3.2248834567321256E-2"/>
                </c:manualLayout>
              </c:layout>
              <c:dLblPos val="r"/>
              <c:showVal val="1"/>
            </c:dLbl>
            <c:dLblPos val="t"/>
            <c:showVal val="1"/>
          </c:dLbls>
          <c:cat>
            <c:strRef>
              <c:f>'1.20'!$B$5:$F$5</c:f>
              <c:strCache>
                <c:ptCount val="5"/>
                <c:pt idx="0">
                  <c:v>Jun-09</c:v>
                </c:pt>
                <c:pt idx="1">
                  <c:v>Jun-10</c:v>
                </c:pt>
                <c:pt idx="2">
                  <c:v>Jun-11</c:v>
                </c:pt>
                <c:pt idx="3">
                  <c:v>Jun-12</c:v>
                </c:pt>
                <c:pt idx="4">
                  <c:v>Jun-13</c:v>
                </c:pt>
              </c:strCache>
            </c:strRef>
          </c:cat>
          <c:val>
            <c:numRef>
              <c:f>'1.20'!$B$7:$F$7</c:f>
              <c:numCache>
                <c:formatCode>General</c:formatCode>
                <c:ptCount val="5"/>
                <c:pt idx="0">
                  <c:v>15</c:v>
                </c:pt>
                <c:pt idx="1">
                  <c:v>15</c:v>
                </c:pt>
                <c:pt idx="2">
                  <c:v>13</c:v>
                </c:pt>
                <c:pt idx="3">
                  <c:v>14</c:v>
                </c:pt>
                <c:pt idx="4">
                  <c:v>14</c:v>
                </c:pt>
              </c:numCache>
            </c:numRef>
          </c:val>
        </c:ser>
        <c:ser>
          <c:idx val="2"/>
          <c:order val="2"/>
          <c:tx>
            <c:strRef>
              <c:f>'1.20'!$A$8</c:f>
              <c:strCache>
                <c:ptCount val="1"/>
                <c:pt idx="0">
                  <c:v>&lt;2 hrs per day</c:v>
                </c:pt>
              </c:strCache>
            </c:strRef>
          </c:tx>
          <c:dLbls>
            <c:dLbl>
              <c:idx val="0"/>
              <c:layout>
                <c:manualLayout>
                  <c:x val="-3.0787110406762349E-2"/>
                  <c:y val="3.9392956477455242E-2"/>
                </c:manualLayout>
              </c:layout>
              <c:dLblPos val="r"/>
              <c:showVal val="1"/>
            </c:dLbl>
            <c:dLbl>
              <c:idx val="1"/>
              <c:layout>
                <c:manualLayout>
                  <c:x val="-3.0787110406762349E-2"/>
                  <c:y val="3.9392956477455242E-2"/>
                </c:manualLayout>
              </c:layout>
              <c:dLblPos val="r"/>
              <c:showVal val="1"/>
            </c:dLbl>
            <c:dLbl>
              <c:idx val="2"/>
              <c:layout>
                <c:manualLayout>
                  <c:x val="-3.0787110406762321E-2"/>
                  <c:y val="3.6228934069808441E-2"/>
                </c:manualLayout>
              </c:layout>
              <c:dLblPos val="r"/>
              <c:showVal val="1"/>
            </c:dLbl>
            <c:dLbl>
              <c:idx val="3"/>
              <c:layout>
                <c:manualLayout>
                  <c:x val="-3.0787110406762349E-2"/>
                  <c:y val="4.418913307478356E-2"/>
                </c:manualLayout>
              </c:layout>
              <c:dLblPos val="r"/>
              <c:showVal val="1"/>
            </c:dLbl>
            <c:dLbl>
              <c:idx val="4"/>
              <c:layout>
                <c:manualLayout>
                  <c:x val="-3.0787110406762446E-2"/>
                  <c:y val="-3.2248834567321256E-2"/>
                </c:manualLayout>
              </c:layout>
              <c:dLblPos val="r"/>
              <c:showVal val="1"/>
            </c:dLbl>
            <c:dLblPos val="t"/>
            <c:showVal val="1"/>
          </c:dLbls>
          <c:cat>
            <c:strRef>
              <c:f>'1.20'!$B$5:$F$5</c:f>
              <c:strCache>
                <c:ptCount val="5"/>
                <c:pt idx="0">
                  <c:v>Jun-09</c:v>
                </c:pt>
                <c:pt idx="1">
                  <c:v>Jun-10</c:v>
                </c:pt>
                <c:pt idx="2">
                  <c:v>Jun-11</c:v>
                </c:pt>
                <c:pt idx="3">
                  <c:v>Jun-12</c:v>
                </c:pt>
                <c:pt idx="4">
                  <c:v>Jun-13</c:v>
                </c:pt>
              </c:strCache>
            </c:strRef>
          </c:cat>
          <c:val>
            <c:numRef>
              <c:f>'1.20'!$B$8:$F$8</c:f>
              <c:numCache>
                <c:formatCode>General</c:formatCode>
                <c:ptCount val="5"/>
                <c:pt idx="0">
                  <c:v>35</c:v>
                </c:pt>
                <c:pt idx="1">
                  <c:v>36</c:v>
                </c:pt>
                <c:pt idx="2">
                  <c:v>35</c:v>
                </c:pt>
                <c:pt idx="3">
                  <c:v>36</c:v>
                </c:pt>
                <c:pt idx="4">
                  <c:v>38</c:v>
                </c:pt>
              </c:numCache>
            </c:numRef>
          </c:val>
        </c:ser>
        <c:ser>
          <c:idx val="3"/>
          <c:order val="3"/>
          <c:tx>
            <c:strRef>
              <c:f>'1.20'!$A$9</c:f>
              <c:strCache>
                <c:ptCount val="1"/>
                <c:pt idx="0">
                  <c:v>No commercial radio listening</c:v>
                </c:pt>
              </c:strCache>
            </c:strRef>
          </c:tx>
          <c:dLbls>
            <c:dLbl>
              <c:idx val="0"/>
              <c:layout>
                <c:manualLayout>
                  <c:x val="-2.5430616735507151E-2"/>
                  <c:y val="-4.816923257727114E-2"/>
                </c:manualLayout>
              </c:layout>
              <c:dLblPos val="r"/>
              <c:showVal val="1"/>
            </c:dLbl>
            <c:dLbl>
              <c:idx val="1"/>
              <c:layout>
                <c:manualLayout>
                  <c:x val="-2.965671287919484E-2"/>
                  <c:y val="-4.0209346965957245E-2"/>
                </c:manualLayout>
              </c:layout>
              <c:dLblPos val="r"/>
              <c:showVal val="1"/>
            </c:dLbl>
            <c:dLbl>
              <c:idx val="2"/>
              <c:layout>
                <c:manualLayout>
                  <c:x val="-2.3317568663663482E-2"/>
                  <c:y val="-4.418913307478356E-2"/>
                </c:manualLayout>
              </c:layout>
              <c:dLblPos val="r"/>
              <c:showVal val="1"/>
            </c:dLbl>
            <c:dLbl>
              <c:idx val="3"/>
              <c:layout>
                <c:manualLayout>
                  <c:x val="-2.5430616735507151E-2"/>
                  <c:y val="-3.2248834567321256E-2"/>
                </c:manualLayout>
              </c:layout>
              <c:dLblPos val="r"/>
              <c:showVal val="1"/>
            </c:dLbl>
            <c:dLbl>
              <c:idx val="4"/>
              <c:layout>
                <c:manualLayout>
                  <c:x val="-3.0787276788500302E-2"/>
                  <c:y val="5.1333254984917934E-2"/>
                </c:manualLayout>
              </c:layout>
              <c:dLblPos val="r"/>
              <c:showVal val="1"/>
            </c:dLbl>
            <c:dLblPos val="t"/>
            <c:showVal val="1"/>
          </c:dLbls>
          <c:cat>
            <c:strRef>
              <c:f>'1.20'!$B$5:$F$5</c:f>
              <c:strCache>
                <c:ptCount val="5"/>
                <c:pt idx="0">
                  <c:v>Jun-09</c:v>
                </c:pt>
                <c:pt idx="1">
                  <c:v>Jun-10</c:v>
                </c:pt>
                <c:pt idx="2">
                  <c:v>Jun-11</c:v>
                </c:pt>
                <c:pt idx="3">
                  <c:v>Jun-12</c:v>
                </c:pt>
                <c:pt idx="4">
                  <c:v>Jun-13</c:v>
                </c:pt>
              </c:strCache>
            </c:strRef>
          </c:cat>
          <c:val>
            <c:numRef>
              <c:f>'1.20'!$B$9:$F$9</c:f>
              <c:numCache>
                <c:formatCode>General</c:formatCode>
                <c:ptCount val="5"/>
                <c:pt idx="0">
                  <c:v>36</c:v>
                </c:pt>
                <c:pt idx="1">
                  <c:v>37</c:v>
                </c:pt>
                <c:pt idx="2">
                  <c:v>40</c:v>
                </c:pt>
                <c:pt idx="3">
                  <c:v>39</c:v>
                </c:pt>
                <c:pt idx="4">
                  <c:v>37</c:v>
                </c:pt>
              </c:numCache>
            </c:numRef>
          </c:val>
        </c:ser>
        <c:marker val="1"/>
        <c:axId val="267318784"/>
        <c:axId val="267320320"/>
      </c:lineChart>
      <c:catAx>
        <c:axId val="267318784"/>
        <c:scaling>
          <c:orientation val="minMax"/>
        </c:scaling>
        <c:axPos val="b"/>
        <c:numFmt formatCode="General" sourceLinked="1"/>
        <c:tickLblPos val="nextTo"/>
        <c:crossAx val="267320320"/>
        <c:crosses val="autoZero"/>
        <c:auto val="1"/>
        <c:lblAlgn val="ctr"/>
        <c:lblOffset val="100"/>
      </c:catAx>
      <c:valAx>
        <c:axId val="267320320"/>
        <c:scaling>
          <c:orientation val="minMax"/>
        </c:scaling>
        <c:delete val="1"/>
        <c:axPos val="l"/>
        <c:title>
          <c:tx>
            <c:rich>
              <a:bodyPr rot="-5400000" vert="horz"/>
              <a:lstStyle/>
              <a:p>
                <a:pPr>
                  <a:defRPr/>
                </a:pPr>
                <a:r>
                  <a:rPr lang="en-US" sz="900" b="0" i="0" baseline="0">
                    <a:latin typeface="Arial" pitchFamily="34" charset="0"/>
                    <a:cs typeface="Arial" pitchFamily="34" charset="0"/>
                  </a:rPr>
                  <a:t>% of people aged 14 years and over</a:t>
                </a:r>
                <a:endParaRPr lang="en-AU" sz="900">
                  <a:latin typeface="Arial" pitchFamily="34" charset="0"/>
                  <a:cs typeface="Arial" pitchFamily="34" charset="0"/>
                </a:endParaRPr>
              </a:p>
            </c:rich>
          </c:tx>
        </c:title>
        <c:numFmt formatCode="General" sourceLinked="1"/>
        <c:tickLblPos val="none"/>
        <c:crossAx val="267318784"/>
        <c:crosses val="autoZero"/>
        <c:crossBetween val="between"/>
      </c:valAx>
      <c:spPr>
        <a:noFill/>
        <a:ln w="25400">
          <a:noFill/>
        </a:ln>
      </c:spPr>
    </c:plotArea>
    <c:legend>
      <c:legendPos val="r"/>
      <c:layout>
        <c:manualLayout>
          <c:xMode val="edge"/>
          <c:yMode val="edge"/>
          <c:x val="0.67198085670268648"/>
          <c:y val="0.32094365536636482"/>
          <c:w val="0.32801914329731746"/>
          <c:h val="0.26628665592409018"/>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8.7744810733378892E-2"/>
          <c:y val="0.11746712142265672"/>
          <c:w val="0.89481563318260005"/>
          <c:h val="0.72936011340828888"/>
        </c:manualLayout>
      </c:layout>
      <c:barChart>
        <c:barDir val="col"/>
        <c:grouping val="clustered"/>
        <c:ser>
          <c:idx val="0"/>
          <c:order val="0"/>
          <c:tx>
            <c:strRef>
              <c:f>'1.2'!$D$3</c:f>
              <c:strCache>
                <c:ptCount val="1"/>
                <c:pt idx="0">
                  <c:v>Have used in the six months to May 2012</c:v>
                </c:pt>
              </c:strCache>
            </c:strRef>
          </c:tx>
          <c:invertIfNegative val="1"/>
          <c:dLbls>
            <c:showVal val="1"/>
          </c:dLbls>
          <c:cat>
            <c:strRef>
              <c:f>'1.2'!$C$4:$C$11</c:f>
              <c:strCache>
                <c:ptCount val="8"/>
                <c:pt idx="0">
                  <c:v>Public payphone</c:v>
                </c:pt>
                <c:pt idx="1">
                  <c:v>Instant messaging</c:v>
                </c:pt>
                <c:pt idx="2">
                  <c:v>Internet telephony (e.g., VoIP, Skype)</c:v>
                </c:pt>
                <c:pt idx="3">
                  <c:v>Social networking (e.g., Facebook, blogging)</c:v>
                </c:pt>
                <c:pt idx="4">
                  <c:v>Fixed-line telephone at home</c:v>
                </c:pt>
                <c:pt idx="5">
                  <c:v>Texting from a mobile phone</c:v>
                </c:pt>
                <c:pt idx="6">
                  <c:v>Email</c:v>
                </c:pt>
                <c:pt idx="7">
                  <c:v>Mobile phone calls</c:v>
                </c:pt>
              </c:strCache>
            </c:strRef>
          </c:cat>
          <c:val>
            <c:numRef>
              <c:f>'1.2'!$D$4:$D$11</c:f>
              <c:numCache>
                <c:formatCode>0</c:formatCode>
                <c:ptCount val="8"/>
                <c:pt idx="0">
                  <c:v>7.6</c:v>
                </c:pt>
                <c:pt idx="1">
                  <c:v>34.5</c:v>
                </c:pt>
                <c:pt idx="2">
                  <c:v>42.3</c:v>
                </c:pt>
                <c:pt idx="3">
                  <c:v>52.2</c:v>
                </c:pt>
                <c:pt idx="4">
                  <c:v>78.400000000000006</c:v>
                </c:pt>
                <c:pt idx="5">
                  <c:v>80.600000000000009</c:v>
                </c:pt>
                <c:pt idx="6">
                  <c:v>82.899999999999991</c:v>
                </c:pt>
                <c:pt idx="7">
                  <c:v>91.3</c:v>
                </c:pt>
              </c:numCache>
            </c:numRef>
          </c:val>
        </c:ser>
        <c:ser>
          <c:idx val="1"/>
          <c:order val="1"/>
          <c:tx>
            <c:strRef>
              <c:f>'1.2'!$E$3</c:f>
              <c:strCache>
                <c:ptCount val="1"/>
                <c:pt idx="0">
                  <c:v>Have used in the six months to May 2013</c:v>
                </c:pt>
              </c:strCache>
            </c:strRef>
          </c:tx>
          <c:dLbls>
            <c:showVal val="1"/>
          </c:dLbls>
          <c:cat>
            <c:strRef>
              <c:f>'1.2'!$C$4:$C$11</c:f>
              <c:strCache>
                <c:ptCount val="8"/>
                <c:pt idx="0">
                  <c:v>Public payphone</c:v>
                </c:pt>
                <c:pt idx="1">
                  <c:v>Instant messaging</c:v>
                </c:pt>
                <c:pt idx="2">
                  <c:v>Internet telephony (e.g., VoIP, Skype)</c:v>
                </c:pt>
                <c:pt idx="3">
                  <c:v>Social networking (e.g., Facebook, blogging)</c:v>
                </c:pt>
                <c:pt idx="4">
                  <c:v>Fixed-line telephone at home</c:v>
                </c:pt>
                <c:pt idx="5">
                  <c:v>Texting from a mobile phone</c:v>
                </c:pt>
                <c:pt idx="6">
                  <c:v>Email</c:v>
                </c:pt>
                <c:pt idx="7">
                  <c:v>Mobile phone calls</c:v>
                </c:pt>
              </c:strCache>
            </c:strRef>
          </c:cat>
          <c:val>
            <c:numRef>
              <c:f>'1.2'!$E$4:$E$11</c:f>
              <c:numCache>
                <c:formatCode>0</c:formatCode>
                <c:ptCount val="8"/>
                <c:pt idx="0">
                  <c:v>9</c:v>
                </c:pt>
                <c:pt idx="1">
                  <c:v>34.5</c:v>
                </c:pt>
                <c:pt idx="2">
                  <c:v>45</c:v>
                </c:pt>
                <c:pt idx="3">
                  <c:v>57</c:v>
                </c:pt>
                <c:pt idx="4">
                  <c:v>76</c:v>
                </c:pt>
                <c:pt idx="5">
                  <c:v>84</c:v>
                </c:pt>
                <c:pt idx="6">
                  <c:v>86</c:v>
                </c:pt>
                <c:pt idx="7">
                  <c:v>93</c:v>
                </c:pt>
              </c:numCache>
            </c:numRef>
          </c:val>
        </c:ser>
        <c:axId val="250614144"/>
        <c:axId val="250615680"/>
      </c:barChart>
      <c:catAx>
        <c:axId val="250614144"/>
        <c:scaling>
          <c:orientation val="minMax"/>
        </c:scaling>
        <c:axPos val="b"/>
        <c:tickLblPos val="nextTo"/>
        <c:crossAx val="250615680"/>
        <c:crosses val="autoZero"/>
        <c:auto val="1"/>
        <c:lblAlgn val="ctr"/>
        <c:lblOffset val="100"/>
      </c:catAx>
      <c:valAx>
        <c:axId val="250615680"/>
        <c:scaling>
          <c:orientation val="minMax"/>
        </c:scaling>
        <c:delete val="1"/>
        <c:axPos val="l"/>
        <c:title>
          <c:tx>
            <c:rich>
              <a:bodyPr/>
              <a:lstStyle/>
              <a:p>
                <a:pPr>
                  <a:defRPr b="0"/>
                </a:pPr>
                <a:r>
                  <a:rPr lang="en-AU" b="0"/>
                  <a:t>% of people  aged 18 years and over</a:t>
                </a:r>
              </a:p>
            </c:rich>
          </c:tx>
          <c:layout>
            <c:manualLayout>
              <c:xMode val="edge"/>
              <c:yMode val="edge"/>
              <c:x val="2.8838822579041272E-3"/>
              <c:y val="2.4949838072503543E-2"/>
            </c:manualLayout>
          </c:layout>
        </c:title>
        <c:numFmt formatCode="0" sourceLinked="1"/>
        <c:tickLblPos val="none"/>
        <c:crossAx val="250614144"/>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0.12229439371196812"/>
          <c:y val="2.4188491896369728E-2"/>
          <c:w val="0.76074157411029275"/>
          <c:h val="0.89161900111026238"/>
        </c:manualLayout>
      </c:layout>
      <c:barChart>
        <c:barDir val="col"/>
        <c:grouping val="clustered"/>
        <c:ser>
          <c:idx val="0"/>
          <c:order val="0"/>
          <c:tx>
            <c:strRef>
              <c:f>'1.21'!$A$6</c:f>
              <c:strCache>
                <c:ptCount val="1"/>
                <c:pt idx="0">
                  <c:v>Number of persons aged 14 years and over (000s)</c:v>
                </c:pt>
              </c:strCache>
            </c:strRef>
          </c:tx>
          <c:dLbls>
            <c:numFmt formatCode="#,##0" sourceLinked="0"/>
            <c:txPr>
              <a:bodyPr rot="5400000"/>
              <a:lstStyle/>
              <a:p>
                <a:pPr>
                  <a:defRPr b="1">
                    <a:solidFill>
                      <a:schemeClr val="bg1"/>
                    </a:solidFill>
                  </a:defRPr>
                </a:pPr>
                <a:endParaRPr lang="en-US"/>
              </a:p>
            </c:txPr>
            <c:dLblPos val="ctr"/>
            <c:showVal val="1"/>
          </c:dLbls>
          <c:cat>
            <c:strRef>
              <c:f>'1.21'!$B$5:$G$5</c:f>
              <c:strCache>
                <c:ptCount val="6"/>
                <c:pt idx="0">
                  <c:v>Jun-08</c:v>
                </c:pt>
                <c:pt idx="1">
                  <c:v>Jun-09</c:v>
                </c:pt>
                <c:pt idx="2">
                  <c:v>Jun-10</c:v>
                </c:pt>
                <c:pt idx="3">
                  <c:v>Jun-11</c:v>
                </c:pt>
                <c:pt idx="4">
                  <c:v>Jun-12</c:v>
                </c:pt>
                <c:pt idx="5">
                  <c:v>Jun-13</c:v>
                </c:pt>
              </c:strCache>
            </c:strRef>
          </c:cat>
          <c:val>
            <c:numRef>
              <c:f>'1.21'!$B$6:$G$6</c:f>
              <c:numCache>
                <c:formatCode>General</c:formatCode>
                <c:ptCount val="6"/>
                <c:pt idx="0">
                  <c:v>7195</c:v>
                </c:pt>
                <c:pt idx="1">
                  <c:v>8094</c:v>
                </c:pt>
                <c:pt idx="2">
                  <c:v>8895</c:v>
                </c:pt>
                <c:pt idx="3">
                  <c:v>10033</c:v>
                </c:pt>
                <c:pt idx="4">
                  <c:v>10816</c:v>
                </c:pt>
                <c:pt idx="5">
                  <c:v>11560</c:v>
                </c:pt>
              </c:numCache>
            </c:numRef>
          </c:val>
        </c:ser>
        <c:axId val="228132352"/>
        <c:axId val="228133888"/>
      </c:barChart>
      <c:lineChart>
        <c:grouping val="standard"/>
        <c:ser>
          <c:idx val="1"/>
          <c:order val="1"/>
          <c:tx>
            <c:strRef>
              <c:f>'1.21'!$A$7</c:f>
              <c:strCache>
                <c:ptCount val="1"/>
                <c:pt idx="0">
                  <c:v>% of online population</c:v>
                </c:pt>
              </c:strCache>
            </c:strRef>
          </c:tx>
          <c:marker>
            <c:symbol val="none"/>
          </c:marker>
          <c:dLbls>
            <c:dLbl>
              <c:idx val="0"/>
              <c:layout>
                <c:manualLayout>
                  <c:x val="-1.135960241391552E-2"/>
                  <c:y val="-4.1394328410902098E-2"/>
                </c:manualLayout>
              </c:layout>
              <c:showVal val="1"/>
            </c:dLbl>
            <c:dLbl>
              <c:idx val="1"/>
              <c:layout>
                <c:manualLayout>
                  <c:x val="-4.259850905218349E-3"/>
                  <c:y val="-3.2679732955975656E-2"/>
                </c:manualLayout>
              </c:layout>
              <c:showVal val="1"/>
            </c:dLbl>
            <c:dLbl>
              <c:idx val="2"/>
              <c:layout>
                <c:manualLayout>
                  <c:x val="-9.9396521121761228E-3"/>
                  <c:y val="-3.2679732955975656E-2"/>
                </c:manualLayout>
              </c:layout>
              <c:showVal val="1"/>
            </c:dLbl>
            <c:dLbl>
              <c:idx val="3"/>
              <c:layout>
                <c:manualLayout>
                  <c:x val="-1.5619453319133895E-2"/>
                  <c:y val="-2.6143786364780243E-2"/>
                </c:manualLayout>
              </c:layout>
              <c:showVal val="1"/>
            </c:dLbl>
            <c:dLbl>
              <c:idx val="4"/>
              <c:layout>
                <c:manualLayout>
                  <c:x val="-1.845935392261271E-2"/>
                  <c:y val="-2.1786488637316904E-2"/>
                </c:manualLayout>
              </c:layout>
              <c:showVal val="1"/>
            </c:dLbl>
            <c:dLbl>
              <c:idx val="5"/>
              <c:layout>
                <c:manualLayout>
                  <c:x val="-2.9818956336528108E-2"/>
                  <c:y val="-1.9607839773585364E-2"/>
                </c:manualLayout>
              </c:layout>
              <c:showVal val="1"/>
            </c:dLbl>
            <c:showVal val="1"/>
          </c:dLbls>
          <c:cat>
            <c:strRef>
              <c:f>'1.21'!$B$5:$G$5</c:f>
              <c:strCache>
                <c:ptCount val="6"/>
                <c:pt idx="0">
                  <c:v>Jun-08</c:v>
                </c:pt>
                <c:pt idx="1">
                  <c:v>Jun-09</c:v>
                </c:pt>
                <c:pt idx="2">
                  <c:v>Jun-10</c:v>
                </c:pt>
                <c:pt idx="3">
                  <c:v>Jun-11</c:v>
                </c:pt>
                <c:pt idx="4">
                  <c:v>Jun-12</c:v>
                </c:pt>
                <c:pt idx="5">
                  <c:v>Jun-13</c:v>
                </c:pt>
              </c:strCache>
            </c:strRef>
          </c:cat>
          <c:val>
            <c:numRef>
              <c:f>'1.21'!$B$7:$G$7</c:f>
              <c:numCache>
                <c:formatCode>0%</c:formatCode>
                <c:ptCount val="6"/>
                <c:pt idx="0">
                  <c:v>0.48000000000000032</c:v>
                </c:pt>
                <c:pt idx="1">
                  <c:v>0.52200000000000002</c:v>
                </c:pt>
                <c:pt idx="2">
                  <c:v>0.55900000000000005</c:v>
                </c:pt>
                <c:pt idx="3">
                  <c:v>0.59799999999999998</c:v>
                </c:pt>
                <c:pt idx="4">
                  <c:v>0.62100000000000199</c:v>
                </c:pt>
                <c:pt idx="5">
                  <c:v>0.64800000000000224</c:v>
                </c:pt>
              </c:numCache>
            </c:numRef>
          </c:val>
        </c:ser>
        <c:marker val="1"/>
        <c:axId val="228150272"/>
        <c:axId val="228148352"/>
      </c:lineChart>
      <c:catAx>
        <c:axId val="228132352"/>
        <c:scaling>
          <c:orientation val="minMax"/>
        </c:scaling>
        <c:axPos val="b"/>
        <c:tickLblPos val="nextTo"/>
        <c:crossAx val="228133888"/>
        <c:crosses val="autoZero"/>
        <c:auto val="1"/>
        <c:lblAlgn val="ctr"/>
        <c:lblOffset val="100"/>
      </c:catAx>
      <c:valAx>
        <c:axId val="228133888"/>
        <c:scaling>
          <c:orientation val="minMax"/>
        </c:scaling>
        <c:axPos val="l"/>
        <c:title>
          <c:tx>
            <c:rich>
              <a:bodyPr rot="-5400000" vert="horz"/>
              <a:lstStyle/>
              <a:p>
                <a:pPr>
                  <a:defRPr b="0"/>
                </a:pPr>
                <a:r>
                  <a:rPr lang="en-US" b="0"/>
                  <a:t>Number of people aged 14 years and over
('000s)</a:t>
                </a:r>
              </a:p>
            </c:rich>
          </c:tx>
        </c:title>
        <c:numFmt formatCode="#,##0" sourceLinked="0"/>
        <c:tickLblPos val="nextTo"/>
        <c:crossAx val="228132352"/>
        <c:crosses val="autoZero"/>
        <c:crossBetween val="between"/>
      </c:valAx>
      <c:valAx>
        <c:axId val="228148352"/>
        <c:scaling>
          <c:orientation val="minMax"/>
        </c:scaling>
        <c:axPos val="r"/>
        <c:title>
          <c:tx>
            <c:rich>
              <a:bodyPr rot="-5400000" vert="horz"/>
              <a:lstStyle/>
              <a:p>
                <a:pPr>
                  <a:defRPr b="0"/>
                </a:pPr>
                <a:r>
                  <a:rPr lang="en-US" b="0"/>
                  <a:t>% of online population</a:t>
                </a:r>
              </a:p>
            </c:rich>
          </c:tx>
          <c:layout>
            <c:manualLayout>
              <c:xMode val="edge"/>
              <c:yMode val="edge"/>
              <c:x val="0.94617033865262767"/>
              <c:y val="0.37815466855773427"/>
            </c:manualLayout>
          </c:layout>
        </c:title>
        <c:numFmt formatCode="0%" sourceLinked="1"/>
        <c:tickLblPos val="nextTo"/>
        <c:crossAx val="228150272"/>
        <c:crosses val="max"/>
        <c:crossBetween val="between"/>
      </c:valAx>
      <c:catAx>
        <c:axId val="228150272"/>
        <c:scaling>
          <c:orientation val="minMax"/>
        </c:scaling>
        <c:delete val="1"/>
        <c:axPos val="b"/>
        <c:tickLblPos val="none"/>
        <c:crossAx val="228148352"/>
        <c:crosses val="autoZero"/>
        <c:auto val="1"/>
        <c:lblAlgn val="ctr"/>
        <c:lblOffset val="100"/>
      </c:catAx>
    </c:plotArea>
    <c:plotVisOnly val="1"/>
    <c:dispBlanksAs val="gap"/>
  </c:chart>
  <c:spPr>
    <a:ln>
      <a:noFill/>
    </a:ln>
  </c:spPr>
  <c:txPr>
    <a:bodyPr/>
    <a:lstStyle/>
    <a:p>
      <a:pPr>
        <a:defRPr sz="900">
          <a:latin typeface="Arial" pitchFamily="34" charset="0"/>
          <a:cs typeface="Arial" pitchFamily="34" charset="0"/>
        </a:defRPr>
      </a:pPr>
      <a:endParaRPr lang="en-US"/>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51941026455664"/>
          <c:y val="4.8297037194674985E-2"/>
          <c:w val="0.76732549652669535"/>
          <c:h val="0.89759587473790658"/>
        </c:manualLayout>
      </c:layout>
      <c:barChart>
        <c:barDir val="bar"/>
        <c:grouping val="clustered"/>
        <c:ser>
          <c:idx val="0"/>
          <c:order val="0"/>
          <c:tx>
            <c:strRef>
              <c:f>'1.23'!$C$8</c:f>
              <c:strCache>
                <c:ptCount val="1"/>
                <c:pt idx="0">
                  <c:v>Jun-13</c:v>
                </c:pt>
              </c:strCache>
            </c:strRef>
          </c:tx>
          <c:dLbls>
            <c:showVal val="1"/>
          </c:dLbls>
          <c:cat>
            <c:strRef>
              <c:f>'1.23'!$A$9:$A$18</c:f>
              <c:strCache>
                <c:ptCount val="10"/>
                <c:pt idx="0">
                  <c:v>Fetch TV</c:v>
                </c:pt>
                <c:pt idx="1">
                  <c:v>My Star</c:v>
                </c:pt>
                <c:pt idx="2">
                  <c:v>TiVo</c:v>
                </c:pt>
                <c:pt idx="3">
                  <c:v>My Star HD</c:v>
                </c:pt>
                <c:pt idx="4">
                  <c:v>FOXTEL iQ2</c:v>
                </c:pt>
                <c:pt idx="5">
                  <c:v>Apple TV</c:v>
                </c:pt>
                <c:pt idx="6">
                  <c:v>T-Box</c:v>
                </c:pt>
                <c:pt idx="7">
                  <c:v>FOXTEL iQHD</c:v>
                </c:pt>
                <c:pt idx="8">
                  <c:v>FOXTEL iQ</c:v>
                </c:pt>
                <c:pt idx="9">
                  <c:v>Digital video recorder/PVR</c:v>
                </c:pt>
              </c:strCache>
            </c:strRef>
          </c:cat>
          <c:val>
            <c:numRef>
              <c:f>'1.23'!$C$9:$C$18</c:f>
              <c:numCache>
                <c:formatCode>#,##0</c:formatCode>
                <c:ptCount val="10"/>
                <c:pt idx="0">
                  <c:v>123</c:v>
                </c:pt>
                <c:pt idx="1">
                  <c:v>153</c:v>
                </c:pt>
                <c:pt idx="2">
                  <c:v>183</c:v>
                </c:pt>
                <c:pt idx="3">
                  <c:v>191</c:v>
                </c:pt>
                <c:pt idx="4">
                  <c:v>237</c:v>
                </c:pt>
                <c:pt idx="5">
                  <c:v>581</c:v>
                </c:pt>
                <c:pt idx="6">
                  <c:v>647</c:v>
                </c:pt>
                <c:pt idx="7">
                  <c:v>703</c:v>
                </c:pt>
                <c:pt idx="8">
                  <c:v>1108</c:v>
                </c:pt>
                <c:pt idx="9">
                  <c:v>1795</c:v>
                </c:pt>
              </c:numCache>
            </c:numRef>
          </c:val>
        </c:ser>
        <c:axId val="247961856"/>
        <c:axId val="250114048"/>
      </c:barChart>
      <c:catAx>
        <c:axId val="247961856"/>
        <c:scaling>
          <c:orientation val="minMax"/>
        </c:scaling>
        <c:axPos val="l"/>
        <c:tickLblPos val="nextTo"/>
        <c:crossAx val="250114048"/>
        <c:crosses val="autoZero"/>
        <c:auto val="1"/>
        <c:lblAlgn val="ctr"/>
        <c:lblOffset val="100"/>
      </c:catAx>
      <c:valAx>
        <c:axId val="250114048"/>
        <c:scaling>
          <c:orientation val="minMax"/>
        </c:scaling>
        <c:delete val="1"/>
        <c:axPos val="b"/>
        <c:title>
          <c:tx>
            <c:rich>
              <a:bodyPr rot="0" vert="horz"/>
              <a:lstStyle/>
              <a:p>
                <a:pPr>
                  <a:defRPr b="0"/>
                </a:pPr>
                <a:r>
                  <a:rPr lang="en-AU" b="0"/>
                  <a:t>Number of people aged 18 years and over ('000s)</a:t>
                </a:r>
              </a:p>
            </c:rich>
          </c:tx>
        </c:title>
        <c:numFmt formatCode="#,##0" sourceLinked="1"/>
        <c:tickLblPos val="none"/>
        <c:crossAx val="247961856"/>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548308316848275"/>
          <c:y val="2.2422002444499652E-2"/>
          <c:w val="0.55253038194443216"/>
          <c:h val="0.93206564447019113"/>
        </c:manualLayout>
      </c:layout>
      <c:barChart>
        <c:barDir val="bar"/>
        <c:grouping val="clustered"/>
        <c:ser>
          <c:idx val="0"/>
          <c:order val="0"/>
          <c:dLbls>
            <c:spPr>
              <a:noFill/>
            </c:spPr>
            <c:showVal val="1"/>
          </c:dLbls>
          <c:cat>
            <c:strRef>
              <c:f>'1.24 '!$A$5:$A$24</c:f>
              <c:strCache>
                <c:ptCount val="20"/>
                <c:pt idx="0">
                  <c:v>Telegraph</c:v>
                </c:pt>
                <c:pt idx="1">
                  <c:v>AdelaideNow</c:v>
                </c:pt>
                <c:pt idx="2">
                  <c:v>Google News</c:v>
                </c:pt>
                <c:pt idx="3">
                  <c:v>brisbanetimes.com.au</c:v>
                </c:pt>
                <c:pt idx="4">
                  <c:v>HuffingtonPost</c:v>
                </c:pt>
                <c:pt idx="5">
                  <c:v>MailOnline</c:v>
                </c:pt>
                <c:pt idx="6">
                  <c:v>CNN Digital Network</c:v>
                </c:pt>
                <c:pt idx="7">
                  <c:v>The Australian</c:v>
                </c:pt>
                <c:pt idx="8">
                  <c:v>couriermail.com.au</c:v>
                </c:pt>
                <c:pt idx="9">
                  <c:v>The Guardian</c:v>
                </c:pt>
                <c:pt idx="10">
                  <c:v>The Telegraph</c:v>
                </c:pt>
                <c:pt idx="11">
                  <c:v>BBC</c:v>
                </c:pt>
                <c:pt idx="12">
                  <c:v>BigPond news websites</c:v>
                </c:pt>
                <c:pt idx="13">
                  <c:v>Herald Sun</c:v>
                </c:pt>
                <c:pt idx="14">
                  <c:v>ABC news websites</c:v>
                </c:pt>
                <c:pt idx="15">
                  <c:v>The Age</c:v>
                </c:pt>
                <c:pt idx="16">
                  <c:v>Yahoo!7 news websites</c:v>
                </c:pt>
                <c:pt idx="17">
                  <c:v>smh.com.au</c:v>
                </c:pt>
                <c:pt idx="18">
                  <c:v>ninemsn news websites</c:v>
                </c:pt>
                <c:pt idx="19">
                  <c:v>news.com.au</c:v>
                </c:pt>
              </c:strCache>
            </c:strRef>
          </c:cat>
          <c:val>
            <c:numRef>
              <c:f>'1.24 '!$B$5:$B$24</c:f>
              <c:numCache>
                <c:formatCode>#,##0</c:formatCode>
                <c:ptCount val="20"/>
                <c:pt idx="0">
                  <c:v>575</c:v>
                </c:pt>
                <c:pt idx="1">
                  <c:v>582</c:v>
                </c:pt>
                <c:pt idx="2">
                  <c:v>700</c:v>
                </c:pt>
                <c:pt idx="3">
                  <c:v>737</c:v>
                </c:pt>
                <c:pt idx="4">
                  <c:v>775</c:v>
                </c:pt>
                <c:pt idx="5">
                  <c:v>858</c:v>
                </c:pt>
                <c:pt idx="6">
                  <c:v>903</c:v>
                </c:pt>
                <c:pt idx="7">
                  <c:v>909</c:v>
                </c:pt>
                <c:pt idx="8">
                  <c:v>932</c:v>
                </c:pt>
                <c:pt idx="9">
                  <c:v>1020</c:v>
                </c:pt>
                <c:pt idx="10">
                  <c:v>1120</c:v>
                </c:pt>
                <c:pt idx="11">
                  <c:v>1258</c:v>
                </c:pt>
                <c:pt idx="12">
                  <c:v>1422</c:v>
                </c:pt>
                <c:pt idx="13">
                  <c:v>1615</c:v>
                </c:pt>
                <c:pt idx="14">
                  <c:v>1616</c:v>
                </c:pt>
                <c:pt idx="15">
                  <c:v>1827</c:v>
                </c:pt>
                <c:pt idx="16">
                  <c:v>2498</c:v>
                </c:pt>
                <c:pt idx="17">
                  <c:v>2596</c:v>
                </c:pt>
                <c:pt idx="18">
                  <c:v>2616</c:v>
                </c:pt>
                <c:pt idx="19">
                  <c:v>2870</c:v>
                </c:pt>
              </c:numCache>
            </c:numRef>
          </c:val>
        </c:ser>
        <c:dLbls>
          <c:showVal val="1"/>
        </c:dLbls>
        <c:axId val="260312448"/>
        <c:axId val="260342912"/>
      </c:barChart>
      <c:catAx>
        <c:axId val="260312448"/>
        <c:scaling>
          <c:orientation val="minMax"/>
        </c:scaling>
        <c:axPos val="l"/>
        <c:numFmt formatCode="General" sourceLinked="1"/>
        <c:tickLblPos val="nextTo"/>
        <c:crossAx val="260342912"/>
        <c:crosses val="autoZero"/>
        <c:auto val="1"/>
        <c:lblAlgn val="ctr"/>
        <c:lblOffset val="100"/>
      </c:catAx>
      <c:valAx>
        <c:axId val="260342912"/>
        <c:scaling>
          <c:orientation val="minMax"/>
        </c:scaling>
        <c:delete val="1"/>
        <c:axPos val="b"/>
        <c:title>
          <c:tx>
            <c:rich>
              <a:bodyPr/>
              <a:lstStyle/>
              <a:p>
                <a:pPr>
                  <a:defRPr b="0"/>
                </a:pPr>
                <a:r>
                  <a:rPr lang="en-AU" b="0"/>
                  <a:t>Online audience ('000)</a:t>
                </a:r>
              </a:p>
            </c:rich>
          </c:tx>
        </c:title>
        <c:numFmt formatCode="#,##0" sourceLinked="1"/>
        <c:tickLblPos val="none"/>
        <c:crossAx val="260312448"/>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298337707786525E-2"/>
          <c:y val="5.146198830409357E-2"/>
          <c:w val="0.91207128056361375"/>
          <c:h val="0.77423806234746972"/>
        </c:manualLayout>
      </c:layout>
      <c:barChart>
        <c:barDir val="col"/>
        <c:grouping val="clustered"/>
        <c:ser>
          <c:idx val="0"/>
          <c:order val="0"/>
          <c:tx>
            <c:strRef>
              <c:f>'2.1 '!$B$1</c:f>
              <c:strCache>
                <c:ptCount val="1"/>
                <c:pt idx="0">
                  <c:v>2011–12</c:v>
                </c:pt>
              </c:strCache>
            </c:strRef>
          </c:tx>
          <c:dLbls>
            <c:showVal val="1"/>
          </c:dLbls>
          <c:cat>
            <c:strRef>
              <c:f>'2.1 '!$A$2:$A$5</c:f>
              <c:strCache>
                <c:ptCount val="4"/>
                <c:pt idx="0">
                  <c:v>TTY–106</c:v>
                </c:pt>
                <c:pt idx="1">
                  <c:v>TTY–000</c:v>
                </c:pt>
                <c:pt idx="2">
                  <c:v>Internet relay–000</c:v>
                </c:pt>
                <c:pt idx="3">
                  <c:v>Speak and Listen–000</c:v>
                </c:pt>
              </c:strCache>
            </c:strRef>
          </c:cat>
          <c:val>
            <c:numRef>
              <c:f>'2.1 '!$B$2:$B$5</c:f>
              <c:numCache>
                <c:formatCode>General</c:formatCode>
                <c:ptCount val="4"/>
                <c:pt idx="0">
                  <c:v>142</c:v>
                </c:pt>
                <c:pt idx="1">
                  <c:v>147</c:v>
                </c:pt>
                <c:pt idx="2">
                  <c:v>176</c:v>
                </c:pt>
                <c:pt idx="3">
                  <c:v>0</c:v>
                </c:pt>
              </c:numCache>
            </c:numRef>
          </c:val>
        </c:ser>
        <c:ser>
          <c:idx val="1"/>
          <c:order val="1"/>
          <c:tx>
            <c:strRef>
              <c:f>'2.1 '!$C$1</c:f>
              <c:strCache>
                <c:ptCount val="1"/>
                <c:pt idx="0">
                  <c:v>2012–13</c:v>
                </c:pt>
              </c:strCache>
            </c:strRef>
          </c:tx>
          <c:dLbls>
            <c:showVal val="1"/>
          </c:dLbls>
          <c:cat>
            <c:strRef>
              <c:f>'2.1 '!$A$2:$A$5</c:f>
              <c:strCache>
                <c:ptCount val="4"/>
                <c:pt idx="0">
                  <c:v>TTY–106</c:v>
                </c:pt>
                <c:pt idx="1">
                  <c:v>TTY–000</c:v>
                </c:pt>
                <c:pt idx="2">
                  <c:v>Internet relay–000</c:v>
                </c:pt>
                <c:pt idx="3">
                  <c:v>Speak and Listen–000</c:v>
                </c:pt>
              </c:strCache>
            </c:strRef>
          </c:cat>
          <c:val>
            <c:numRef>
              <c:f>'2.1 '!$C$2:$C$5</c:f>
              <c:numCache>
                <c:formatCode>General</c:formatCode>
                <c:ptCount val="4"/>
                <c:pt idx="0">
                  <c:v>199</c:v>
                </c:pt>
                <c:pt idx="1">
                  <c:v>87</c:v>
                </c:pt>
                <c:pt idx="2">
                  <c:v>187</c:v>
                </c:pt>
                <c:pt idx="3">
                  <c:v>2</c:v>
                </c:pt>
              </c:numCache>
            </c:numRef>
          </c:val>
        </c:ser>
        <c:axId val="260179840"/>
        <c:axId val="260181376"/>
      </c:barChart>
      <c:catAx>
        <c:axId val="260179840"/>
        <c:scaling>
          <c:orientation val="minMax"/>
        </c:scaling>
        <c:axPos val="b"/>
        <c:majorTickMark val="none"/>
        <c:tickLblPos val="nextTo"/>
        <c:crossAx val="260181376"/>
        <c:crosses val="autoZero"/>
        <c:auto val="1"/>
        <c:lblAlgn val="ctr"/>
        <c:lblOffset val="100"/>
      </c:catAx>
      <c:valAx>
        <c:axId val="260181376"/>
        <c:scaling>
          <c:orientation val="minMax"/>
        </c:scaling>
        <c:delete val="1"/>
        <c:axPos val="l"/>
        <c:title>
          <c:tx>
            <c:rich>
              <a:bodyPr rot="-5400000" vert="horz"/>
              <a:lstStyle/>
              <a:p>
                <a:pPr>
                  <a:defRPr b="0"/>
                </a:pPr>
                <a:r>
                  <a:rPr lang="en-AU" b="0"/>
                  <a:t>Number of calls</a:t>
                </a:r>
              </a:p>
            </c:rich>
          </c:tx>
          <c:layout>
            <c:manualLayout>
              <c:xMode val="edge"/>
              <c:yMode val="edge"/>
              <c:x val="2.2222222222222251E-2"/>
              <c:y val="0.27559276143113676"/>
            </c:manualLayout>
          </c:layout>
        </c:title>
        <c:numFmt formatCode="General" sourceLinked="1"/>
        <c:majorTickMark val="none"/>
        <c:tickLblPos val="none"/>
        <c:crossAx val="260179840"/>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53605940827247E-2"/>
          <c:y val="2.6067882552666812E-2"/>
          <c:w val="0.87162753391962744"/>
          <c:h val="0.81418264078588254"/>
        </c:manualLayout>
      </c:layout>
      <c:barChart>
        <c:barDir val="col"/>
        <c:grouping val="clustered"/>
        <c:ser>
          <c:idx val="0"/>
          <c:order val="0"/>
          <c:dLbls>
            <c:dLbl>
              <c:idx val="3"/>
              <c:layout>
                <c:manualLayout>
                  <c:x val="0"/>
                  <c:y val="1.3888888888889435E-2"/>
                </c:manualLayout>
              </c:layout>
              <c:showVal val="1"/>
            </c:dLbl>
            <c:showVal val="1"/>
          </c:dLbls>
          <c:cat>
            <c:strRef>
              <c:f>'2.2'!$D$2:$H$2</c:f>
              <c:strCache>
                <c:ptCount val="5"/>
                <c:pt idx="0">
                  <c:v>2008–09</c:v>
                </c:pt>
                <c:pt idx="1">
                  <c:v>2009–10</c:v>
                </c:pt>
                <c:pt idx="2">
                  <c:v>2010–11</c:v>
                </c:pt>
                <c:pt idx="3">
                  <c:v>2011–12</c:v>
                </c:pt>
                <c:pt idx="4">
                  <c:v>2012–13</c:v>
                </c:pt>
              </c:strCache>
            </c:strRef>
          </c:cat>
          <c:val>
            <c:numRef>
              <c:f>'2.2'!$D$3:$H$3</c:f>
              <c:numCache>
                <c:formatCode>General</c:formatCode>
                <c:ptCount val="5"/>
                <c:pt idx="0">
                  <c:v>16.600000000000001</c:v>
                </c:pt>
                <c:pt idx="1">
                  <c:v>15.7</c:v>
                </c:pt>
                <c:pt idx="2">
                  <c:v>17.5</c:v>
                </c:pt>
                <c:pt idx="3">
                  <c:v>16.8</c:v>
                </c:pt>
                <c:pt idx="4">
                  <c:v>18.399999999999999</c:v>
                </c:pt>
              </c:numCache>
            </c:numRef>
          </c:val>
        </c:ser>
        <c:axId val="260201856"/>
        <c:axId val="260228608"/>
      </c:barChart>
      <c:catAx>
        <c:axId val="260201856"/>
        <c:scaling>
          <c:orientation val="minMax"/>
        </c:scaling>
        <c:axPos val="b"/>
        <c:title>
          <c:tx>
            <c:rich>
              <a:bodyPr/>
              <a:lstStyle/>
              <a:p>
                <a:pPr>
                  <a:defRPr sz="900" b="0"/>
                </a:pPr>
                <a:r>
                  <a:rPr lang="en-AU" sz="900" b="0"/>
                  <a:t>Financial year</a:t>
                </a:r>
              </a:p>
            </c:rich>
          </c:tx>
        </c:title>
        <c:numFmt formatCode="General" sourceLinked="1"/>
        <c:tickLblPos val="nextTo"/>
        <c:crossAx val="260228608"/>
        <c:crosses val="autoZero"/>
        <c:auto val="1"/>
        <c:lblAlgn val="ctr"/>
        <c:lblOffset val="100"/>
      </c:catAx>
      <c:valAx>
        <c:axId val="260228608"/>
        <c:scaling>
          <c:orientation val="minMax"/>
        </c:scaling>
        <c:delete val="1"/>
        <c:axPos val="l"/>
        <c:title>
          <c:tx>
            <c:rich>
              <a:bodyPr rot="-5400000" vert="horz"/>
              <a:lstStyle/>
              <a:p>
                <a:pPr>
                  <a:defRPr sz="900" b="0"/>
                </a:pPr>
                <a:r>
                  <a:rPr lang="en-AU" sz="900" b="0"/>
                  <a:t>$ million</a:t>
                </a:r>
              </a:p>
            </c:rich>
          </c:tx>
          <c:layout>
            <c:manualLayout>
              <c:xMode val="edge"/>
              <c:yMode val="edge"/>
              <c:x val="2.2108140437247611E-2"/>
              <c:y val="0.36910774614711622"/>
            </c:manualLayout>
          </c:layout>
        </c:title>
        <c:numFmt formatCode="General" sourceLinked="1"/>
        <c:tickLblPos val="none"/>
        <c:crossAx val="260201856"/>
        <c:crosses val="autoZero"/>
        <c:crossBetween val="between"/>
      </c:valAx>
      <c:spPr>
        <a:noFill/>
      </c:spPr>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'2.3'!$A$5</c:f>
              <c:strCache>
                <c:ptCount val="1"/>
                <c:pt idx="0">
                  <c:v>Complaints</c:v>
                </c:pt>
              </c:strCache>
            </c:strRef>
          </c:tx>
          <c:dLbls>
            <c:showVal val="1"/>
          </c:dLbls>
          <c:cat>
            <c:strRef>
              <c:f>'2.3'!$E$4:$G$4</c:f>
              <c:strCache>
                <c:ptCount val="3"/>
                <c:pt idx="0">
                  <c:v>2010–11</c:v>
                </c:pt>
                <c:pt idx="1">
                  <c:v>2011–12</c:v>
                </c:pt>
                <c:pt idx="2">
                  <c:v>2012–13</c:v>
                </c:pt>
              </c:strCache>
            </c:strRef>
          </c:cat>
          <c:val>
            <c:numRef>
              <c:f>'2.3'!$E$5:$G$5</c:f>
              <c:numCache>
                <c:formatCode>General</c:formatCode>
                <c:ptCount val="3"/>
                <c:pt idx="0">
                  <c:v>366</c:v>
                </c:pt>
                <c:pt idx="1">
                  <c:v>450</c:v>
                </c:pt>
                <c:pt idx="2">
                  <c:v>444</c:v>
                </c:pt>
              </c:numCache>
            </c:numRef>
          </c:val>
        </c:ser>
        <c:ser>
          <c:idx val="1"/>
          <c:order val="1"/>
          <c:tx>
            <c:strRef>
              <c:f>'2.3'!$A$6</c:f>
              <c:strCache>
                <c:ptCount val="1"/>
                <c:pt idx="0">
                  <c:v>Complaints actions</c:v>
                </c:pt>
              </c:strCache>
            </c:strRef>
          </c:tx>
          <c:dLbls>
            <c:showVal val="1"/>
          </c:dLbls>
          <c:cat>
            <c:strRef>
              <c:f>'2.3'!$E$4:$G$4</c:f>
              <c:strCache>
                <c:ptCount val="3"/>
                <c:pt idx="0">
                  <c:v>2010–11</c:v>
                </c:pt>
                <c:pt idx="1">
                  <c:v>2011–12</c:v>
                </c:pt>
                <c:pt idx="2">
                  <c:v>2012–13</c:v>
                </c:pt>
              </c:strCache>
            </c:strRef>
          </c:cat>
          <c:val>
            <c:numRef>
              <c:f>'2.3'!$E$6:$G$6</c:f>
              <c:numCache>
                <c:formatCode>General</c:formatCode>
                <c:ptCount val="3"/>
                <c:pt idx="0">
                  <c:v>36</c:v>
                </c:pt>
                <c:pt idx="1">
                  <c:v>59</c:v>
                </c:pt>
                <c:pt idx="2">
                  <c:v>63</c:v>
                </c:pt>
              </c:numCache>
            </c:numRef>
          </c:val>
        </c:ser>
        <c:axId val="266819840"/>
        <c:axId val="266826112"/>
      </c:barChart>
      <c:catAx>
        <c:axId val="266819840"/>
        <c:scaling>
          <c:orientation val="minMax"/>
        </c:scaling>
        <c:axPos val="b"/>
        <c:title>
          <c:tx>
            <c:rich>
              <a:bodyPr/>
              <a:lstStyle/>
              <a:p>
                <a:pPr>
                  <a:defRPr sz="900" b="0"/>
                </a:pPr>
                <a:r>
                  <a:rPr lang="en-AU" sz="900" b="0"/>
                  <a:t>Financial year</a:t>
                </a:r>
              </a:p>
            </c:rich>
          </c:tx>
        </c:title>
        <c:numFmt formatCode="General" sourceLinked="1"/>
        <c:tickLblPos val="nextTo"/>
        <c:crossAx val="266826112"/>
        <c:crosses val="autoZero"/>
        <c:auto val="1"/>
        <c:lblAlgn val="ctr"/>
        <c:lblOffset val="100"/>
      </c:catAx>
      <c:valAx>
        <c:axId val="266826112"/>
        <c:scaling>
          <c:orientation val="minMax"/>
        </c:scaling>
        <c:delete val="1"/>
        <c:axPos val="l"/>
        <c:title>
          <c:tx>
            <c:rich>
              <a:bodyPr rot="-5400000" vert="horz"/>
              <a:lstStyle/>
              <a:p>
                <a:pPr>
                  <a:defRPr sz="900" b="0"/>
                </a:pPr>
                <a:r>
                  <a:rPr lang="en-AU" sz="900" b="0"/>
                  <a:t>Number of complaints</a:t>
                </a:r>
              </a:p>
            </c:rich>
          </c:tx>
        </c:title>
        <c:numFmt formatCode="General" sourceLinked="1"/>
        <c:tickLblPos val="none"/>
        <c:crossAx val="266819840"/>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'2.4'!$A$5</c:f>
              <c:strCache>
                <c:ptCount val="1"/>
                <c:pt idx="0">
                  <c:v>Complaints</c:v>
                </c:pt>
              </c:strCache>
            </c:strRef>
          </c:tx>
          <c:dLbls>
            <c:txPr>
              <a:bodyPr/>
              <a:lstStyle/>
              <a:p>
                <a:pPr>
                  <a:defRPr sz="900"/>
                </a:pPr>
                <a:endParaRPr lang="en-US"/>
              </a:p>
            </c:txPr>
            <c:showVal val="1"/>
          </c:dLbls>
          <c:cat>
            <c:strRef>
              <c:f>'2.4'!$E$4:$G$4</c:f>
              <c:strCache>
                <c:ptCount val="3"/>
                <c:pt idx="0">
                  <c:v>2010–11</c:v>
                </c:pt>
                <c:pt idx="1">
                  <c:v>2011–12</c:v>
                </c:pt>
                <c:pt idx="2">
                  <c:v>2012–13</c:v>
                </c:pt>
              </c:strCache>
            </c:strRef>
          </c:cat>
          <c:val>
            <c:numRef>
              <c:f>'2.4'!$E$5:$G$5</c:f>
              <c:numCache>
                <c:formatCode>General</c:formatCode>
                <c:ptCount val="3"/>
                <c:pt idx="0">
                  <c:v>465</c:v>
                </c:pt>
                <c:pt idx="1">
                  <c:v>444</c:v>
                </c:pt>
                <c:pt idx="2">
                  <c:v>518</c:v>
                </c:pt>
              </c:numCache>
            </c:numRef>
          </c:val>
        </c:ser>
        <c:ser>
          <c:idx val="1"/>
          <c:order val="1"/>
          <c:tx>
            <c:strRef>
              <c:f>'2.4'!$A$6</c:f>
              <c:strCache>
                <c:ptCount val="1"/>
                <c:pt idx="0">
                  <c:v>Complaints actions</c:v>
                </c:pt>
              </c:strCache>
            </c:strRef>
          </c:tx>
          <c:dLbls>
            <c:txPr>
              <a:bodyPr/>
              <a:lstStyle/>
              <a:p>
                <a:pPr>
                  <a:defRPr sz="900"/>
                </a:pPr>
                <a:endParaRPr lang="en-US"/>
              </a:p>
            </c:txPr>
            <c:showVal val="1"/>
          </c:dLbls>
          <c:cat>
            <c:strRef>
              <c:f>'2.4'!$E$4:$G$4</c:f>
              <c:strCache>
                <c:ptCount val="3"/>
                <c:pt idx="0">
                  <c:v>2010–11</c:v>
                </c:pt>
                <c:pt idx="1">
                  <c:v>2011–12</c:v>
                </c:pt>
                <c:pt idx="2">
                  <c:v>2012–13</c:v>
                </c:pt>
              </c:strCache>
            </c:strRef>
          </c:cat>
          <c:val>
            <c:numRef>
              <c:f>'2.4'!$E$6:$G$6</c:f>
              <c:numCache>
                <c:formatCode>General</c:formatCode>
                <c:ptCount val="3"/>
                <c:pt idx="0">
                  <c:v>200</c:v>
                </c:pt>
                <c:pt idx="1">
                  <c:v>181</c:v>
                </c:pt>
                <c:pt idx="2">
                  <c:v>211</c:v>
                </c:pt>
              </c:numCache>
            </c:numRef>
          </c:val>
        </c:ser>
        <c:axId val="267060736"/>
        <c:axId val="267062656"/>
      </c:barChart>
      <c:catAx>
        <c:axId val="267060736"/>
        <c:scaling>
          <c:orientation val="minMax"/>
        </c:scaling>
        <c:axPos val="b"/>
        <c:title>
          <c:tx>
            <c:rich>
              <a:bodyPr/>
              <a:lstStyle/>
              <a:p>
                <a:pPr>
                  <a:defRPr sz="900" b="0"/>
                </a:pPr>
                <a:r>
                  <a:rPr lang="en-AU" sz="900" b="0"/>
                  <a:t>Financial year</a:t>
                </a:r>
              </a:p>
            </c:rich>
          </c:tx>
        </c:title>
        <c:numFmt formatCode="General" sourceLinked="1"/>
        <c:tickLblPos val="nextTo"/>
        <c:crossAx val="267062656"/>
        <c:crosses val="autoZero"/>
        <c:auto val="1"/>
        <c:lblAlgn val="ctr"/>
        <c:lblOffset val="100"/>
      </c:catAx>
      <c:valAx>
        <c:axId val="267062656"/>
        <c:scaling>
          <c:orientation val="minMax"/>
        </c:scaling>
        <c:delete val="1"/>
        <c:axPos val="l"/>
        <c:title>
          <c:tx>
            <c:rich>
              <a:bodyPr rot="-5400000" vert="horz"/>
              <a:lstStyle/>
              <a:p>
                <a:pPr>
                  <a:defRPr sz="900" b="0"/>
                </a:pPr>
                <a:r>
                  <a:rPr lang="en-AU" sz="900" b="0"/>
                  <a:t>Number of complaints</a:t>
                </a:r>
              </a:p>
            </c:rich>
          </c:tx>
        </c:title>
        <c:numFmt formatCode="General" sourceLinked="1"/>
        <c:tickLblPos val="none"/>
        <c:crossAx val="267060736"/>
        <c:crosses val="autoZero"/>
        <c:crossBetween val="between"/>
      </c:valAx>
    </c:plotArea>
    <c:legend>
      <c:legendPos val="t"/>
      <c:txPr>
        <a:bodyPr/>
        <a:lstStyle/>
        <a:p>
          <a:pPr>
            <a:defRPr sz="900"/>
          </a:pPr>
          <a:endParaRPr lang="en-US"/>
        </a:p>
      </c:txPr>
    </c:legend>
    <c:plotVisOnly val="1"/>
  </c:chart>
  <c:spPr>
    <a:ln>
      <a:noFill/>
    </a:ln>
  </c:spPr>
  <c:txPr>
    <a:bodyPr/>
    <a:lstStyle/>
    <a:p>
      <a:pPr>
        <a:defRPr sz="800">
          <a:latin typeface="Arial" pitchFamily="34" charset="0"/>
          <a:cs typeface="Arial" pitchFamily="34" charset="0"/>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5.2955625555694233E-2"/>
          <c:y val="9.5678444818675143E-2"/>
          <c:w val="0.92621109169300575"/>
          <c:h val="0.7934065934065937"/>
        </c:manualLayout>
      </c:layout>
      <c:barChart>
        <c:barDir val="col"/>
        <c:grouping val="clustered"/>
        <c:ser>
          <c:idx val="0"/>
          <c:order val="0"/>
          <c:tx>
            <c:strRef>
              <c:f>'3.1'!$A$3</c:f>
              <c:strCache>
                <c:ptCount val="1"/>
                <c:pt idx="0">
                  <c:v>Telstra-operated</c:v>
                </c:pt>
              </c:strCache>
            </c:strRef>
          </c:tx>
          <c:dLbls>
            <c:showVal val="1"/>
          </c:dLbls>
          <c:cat>
            <c:strRef>
              <c:f>'3.1'!$D$2:$H$2</c:f>
              <c:strCache>
                <c:ptCount val="5"/>
                <c:pt idx="0">
                  <c:v>Jun-09</c:v>
                </c:pt>
                <c:pt idx="1">
                  <c:v>Jun-10</c:v>
                </c:pt>
                <c:pt idx="2">
                  <c:v>Jun-11</c:v>
                </c:pt>
                <c:pt idx="3">
                  <c:v>Jun-12</c:v>
                </c:pt>
                <c:pt idx="4">
                  <c:v>Jun-13</c:v>
                </c:pt>
              </c:strCache>
            </c:strRef>
          </c:cat>
          <c:val>
            <c:numRef>
              <c:f>'3.1'!$D$3:$H$3</c:f>
              <c:numCache>
                <c:formatCode>#,##0</c:formatCode>
                <c:ptCount val="5"/>
                <c:pt idx="0">
                  <c:v>20683</c:v>
                </c:pt>
                <c:pt idx="1">
                  <c:v>19017</c:v>
                </c:pt>
                <c:pt idx="2">
                  <c:v>18713</c:v>
                </c:pt>
                <c:pt idx="3">
                  <c:v>18246</c:v>
                </c:pt>
                <c:pt idx="4">
                  <c:v>18035</c:v>
                </c:pt>
              </c:numCache>
            </c:numRef>
          </c:val>
        </c:ser>
        <c:ser>
          <c:idx val="1"/>
          <c:order val="1"/>
          <c:tx>
            <c:strRef>
              <c:f>'3.1'!$A$4</c:f>
              <c:strCache>
                <c:ptCount val="1"/>
                <c:pt idx="0">
                  <c:v>Non-Telstra-operated*</c:v>
                </c:pt>
              </c:strCache>
            </c:strRef>
          </c:tx>
          <c:dLbls>
            <c:dLblPos val="outEnd"/>
            <c:showVal val="1"/>
          </c:dLbls>
          <c:cat>
            <c:strRef>
              <c:f>'3.1'!$D$2:$H$2</c:f>
              <c:strCache>
                <c:ptCount val="5"/>
                <c:pt idx="0">
                  <c:v>Jun-09</c:v>
                </c:pt>
                <c:pt idx="1">
                  <c:v>Jun-10</c:v>
                </c:pt>
                <c:pt idx="2">
                  <c:v>Jun-11</c:v>
                </c:pt>
                <c:pt idx="3">
                  <c:v>Jun-12</c:v>
                </c:pt>
                <c:pt idx="4">
                  <c:v>Jun-13</c:v>
                </c:pt>
              </c:strCache>
            </c:strRef>
          </c:cat>
          <c:val>
            <c:numRef>
              <c:f>'3.1'!$D$4:$H$4</c:f>
              <c:numCache>
                <c:formatCode>#,##0</c:formatCode>
                <c:ptCount val="5"/>
                <c:pt idx="0">
                  <c:v>18645</c:v>
                </c:pt>
                <c:pt idx="1">
                  <c:v>15995</c:v>
                </c:pt>
                <c:pt idx="2">
                  <c:v>14488</c:v>
                </c:pt>
                <c:pt idx="3">
                  <c:v>12786</c:v>
                </c:pt>
                <c:pt idx="4">
                  <c:v>11488</c:v>
                </c:pt>
              </c:numCache>
            </c:numRef>
          </c:val>
        </c:ser>
        <c:gapWidth val="100"/>
        <c:overlap val="-40"/>
        <c:axId val="267121408"/>
        <c:axId val="267122944"/>
      </c:barChart>
      <c:catAx>
        <c:axId val="267121408"/>
        <c:scaling>
          <c:orientation val="minMax"/>
        </c:scaling>
        <c:axPos val="b"/>
        <c:numFmt formatCode="General" sourceLinked="1"/>
        <c:tickLblPos val="nextTo"/>
        <c:spPr>
          <a:ln w="12700">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267122944"/>
        <c:crosses val="autoZero"/>
        <c:auto val="1"/>
        <c:lblAlgn val="ctr"/>
        <c:lblOffset val="100"/>
        <c:tickLblSkip val="1"/>
        <c:tickMarkSkip val="1"/>
      </c:catAx>
      <c:valAx>
        <c:axId val="267122944"/>
        <c:scaling>
          <c:orientation val="minMax"/>
        </c:scaling>
        <c:delete val="1"/>
        <c:axPos val="l"/>
        <c:title>
          <c:tx>
            <c:rich>
              <a:bodyPr/>
              <a:lstStyle/>
              <a:p>
                <a:pPr>
                  <a:defRPr sz="900" b="0" i="0" u="none" strike="noStrike" baseline="0">
                    <a:solidFill>
                      <a:srgbClr val="000000"/>
                    </a:solidFill>
                    <a:latin typeface="Arial"/>
                    <a:ea typeface="Arial"/>
                    <a:cs typeface="Arial"/>
                  </a:defRPr>
                </a:pPr>
                <a:r>
                  <a:rPr lang="en-AU" sz="900"/>
                  <a:t>Number of payphones</a:t>
                </a:r>
              </a:p>
            </c:rich>
          </c:tx>
          <c:layout>
            <c:manualLayout>
              <c:xMode val="edge"/>
              <c:yMode val="edge"/>
              <c:x val="1.3333333333333341E-2"/>
              <c:y val="0.31428580098009123"/>
            </c:manualLayout>
          </c:layout>
          <c:spPr>
            <a:noFill/>
            <a:ln w="25400">
              <a:noFill/>
            </a:ln>
          </c:spPr>
        </c:title>
        <c:numFmt formatCode="#,##0" sourceLinked="1"/>
        <c:tickLblPos val="none"/>
        <c:crossAx val="267121408"/>
        <c:crosses val="autoZero"/>
        <c:crossBetween val="between"/>
      </c:valAx>
      <c:spPr>
        <a:solidFill>
          <a:srgbClr val="FFFFFF"/>
        </a:solidFill>
        <a:ln w="25400">
          <a:noFill/>
        </a:ln>
      </c:spPr>
    </c:plotArea>
    <c:legend>
      <c:legendPos val="b"/>
      <c:layout>
        <c:manualLayout>
          <c:xMode val="edge"/>
          <c:yMode val="edge"/>
          <c:x val="0.36954500790701461"/>
          <c:y val="3.8524322910893999E-2"/>
          <c:w val="0.44451755287125327"/>
          <c:h val="0.10631716684116908"/>
        </c:manualLayout>
      </c:layout>
      <c:spPr>
        <a:solidFill>
          <a:srgbClr val="FFFFFF"/>
        </a:solidFill>
        <a:ln w="25400">
          <a:noFill/>
        </a:ln>
      </c:spPr>
      <c:txPr>
        <a:bodyPr/>
        <a:lstStyle/>
        <a:p>
          <a:pPr>
            <a:defRPr sz="90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00" b="0" i="0" u="none" strike="noStrike" baseline="0">
          <a:solidFill>
            <a:srgbClr val="000000"/>
          </a:solidFill>
          <a:latin typeface="Arial"/>
          <a:ea typeface="Arial"/>
          <a:cs typeface="Arial"/>
        </a:defRPr>
      </a:pPr>
      <a:endParaRPr lang="en-US"/>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8.3379699132939147E-2"/>
          <c:y val="2.6481859713868652E-2"/>
          <c:w val="0.89012556980682556"/>
          <c:h val="0.76351180555555564"/>
        </c:manualLayout>
      </c:layout>
      <c:lineChart>
        <c:grouping val="standard"/>
        <c:ser>
          <c:idx val="0"/>
          <c:order val="0"/>
          <c:tx>
            <c:v>NRF Level 1a</c:v>
          </c:tx>
          <c:spPr>
            <a:ln>
              <a:solidFill>
                <a:schemeClr val="accent2"/>
              </a:solidFill>
            </a:ln>
          </c:spPr>
          <c:marker>
            <c:symbol val="diamond"/>
            <c:size val="5"/>
            <c:spPr>
              <a:solidFill>
                <a:srgbClr val="BCBEC0"/>
              </a:solidFill>
              <a:ln>
                <a:solidFill>
                  <a:srgbClr val="BCBEC0"/>
                </a:solidFill>
              </a:ln>
            </c:spPr>
          </c:marker>
          <c:cat>
            <c:numRef>
              <c:f>'3.2'!$N$8:$BU$8</c:f>
              <c:numCache>
                <c:formatCode>mmm\-yy</c:formatCode>
                <c:ptCount val="60"/>
                <c:pt idx="0">
                  <c:v>39630</c:v>
                </c:pt>
                <c:pt idx="1">
                  <c:v>39661</c:v>
                </c:pt>
                <c:pt idx="2">
                  <c:v>39692</c:v>
                </c:pt>
                <c:pt idx="3">
                  <c:v>39722</c:v>
                </c:pt>
                <c:pt idx="4">
                  <c:v>39753</c:v>
                </c:pt>
                <c:pt idx="5">
                  <c:v>39783</c:v>
                </c:pt>
                <c:pt idx="6">
                  <c:v>39814</c:v>
                </c:pt>
                <c:pt idx="7">
                  <c:v>39845</c:v>
                </c:pt>
                <c:pt idx="8">
                  <c:v>39873</c:v>
                </c:pt>
                <c:pt idx="9">
                  <c:v>39904</c:v>
                </c:pt>
                <c:pt idx="10">
                  <c:v>39934</c:v>
                </c:pt>
                <c:pt idx="11">
                  <c:v>39965</c:v>
                </c:pt>
                <c:pt idx="12">
                  <c:v>39995</c:v>
                </c:pt>
                <c:pt idx="13">
                  <c:v>40026</c:v>
                </c:pt>
                <c:pt idx="14">
                  <c:v>40057</c:v>
                </c:pt>
                <c:pt idx="15">
                  <c:v>40087</c:v>
                </c:pt>
                <c:pt idx="16">
                  <c:v>40118</c:v>
                </c:pt>
                <c:pt idx="17">
                  <c:v>40148</c:v>
                </c:pt>
                <c:pt idx="18">
                  <c:v>40179</c:v>
                </c:pt>
                <c:pt idx="19">
                  <c:v>40210</c:v>
                </c:pt>
                <c:pt idx="20">
                  <c:v>40238</c:v>
                </c:pt>
                <c:pt idx="21">
                  <c:v>40269</c:v>
                </c:pt>
                <c:pt idx="22">
                  <c:v>40299</c:v>
                </c:pt>
                <c:pt idx="23">
                  <c:v>40330</c:v>
                </c:pt>
                <c:pt idx="24">
                  <c:v>40360</c:v>
                </c:pt>
                <c:pt idx="25">
                  <c:v>40391</c:v>
                </c:pt>
                <c:pt idx="26">
                  <c:v>40422</c:v>
                </c:pt>
                <c:pt idx="27">
                  <c:v>40452</c:v>
                </c:pt>
                <c:pt idx="28">
                  <c:v>40483</c:v>
                </c:pt>
                <c:pt idx="29">
                  <c:v>40513</c:v>
                </c:pt>
                <c:pt idx="30">
                  <c:v>40544</c:v>
                </c:pt>
                <c:pt idx="31">
                  <c:v>40575</c:v>
                </c:pt>
                <c:pt idx="32">
                  <c:v>40603</c:v>
                </c:pt>
                <c:pt idx="33">
                  <c:v>40634</c:v>
                </c:pt>
                <c:pt idx="34">
                  <c:v>40664</c:v>
                </c:pt>
                <c:pt idx="35">
                  <c:v>40695</c:v>
                </c:pt>
                <c:pt idx="36">
                  <c:v>40725</c:v>
                </c:pt>
                <c:pt idx="37">
                  <c:v>40756</c:v>
                </c:pt>
                <c:pt idx="38">
                  <c:v>40787</c:v>
                </c:pt>
                <c:pt idx="39">
                  <c:v>40817</c:v>
                </c:pt>
                <c:pt idx="40">
                  <c:v>40848</c:v>
                </c:pt>
                <c:pt idx="41">
                  <c:v>40878</c:v>
                </c:pt>
                <c:pt idx="42">
                  <c:v>40909</c:v>
                </c:pt>
                <c:pt idx="43">
                  <c:v>40940</c:v>
                </c:pt>
                <c:pt idx="44">
                  <c:v>40969</c:v>
                </c:pt>
                <c:pt idx="45">
                  <c:v>41000</c:v>
                </c:pt>
                <c:pt idx="46">
                  <c:v>41030</c:v>
                </c:pt>
                <c:pt idx="47">
                  <c:v>41061</c:v>
                </c:pt>
                <c:pt idx="48">
                  <c:v>41091</c:v>
                </c:pt>
                <c:pt idx="49">
                  <c:v>41122</c:v>
                </c:pt>
                <c:pt idx="50">
                  <c:v>41153</c:v>
                </c:pt>
                <c:pt idx="51">
                  <c:v>41183</c:v>
                </c:pt>
                <c:pt idx="52">
                  <c:v>41214</c:v>
                </c:pt>
                <c:pt idx="53">
                  <c:v>41244</c:v>
                </c:pt>
                <c:pt idx="54">
                  <c:v>41275</c:v>
                </c:pt>
                <c:pt idx="55">
                  <c:v>41306</c:v>
                </c:pt>
                <c:pt idx="56">
                  <c:v>41334</c:v>
                </c:pt>
                <c:pt idx="57">
                  <c:v>41365</c:v>
                </c:pt>
                <c:pt idx="58">
                  <c:v>41395</c:v>
                </c:pt>
                <c:pt idx="59">
                  <c:v>41426</c:v>
                </c:pt>
              </c:numCache>
            </c:numRef>
          </c:cat>
          <c:val>
            <c:numRef>
              <c:f>'3.2'!$N$9:$BU$9</c:f>
              <c:numCache>
                <c:formatCode>0.00</c:formatCode>
                <c:ptCount val="60"/>
                <c:pt idx="0">
                  <c:v>98.78</c:v>
                </c:pt>
                <c:pt idx="1">
                  <c:v>98.89</c:v>
                </c:pt>
                <c:pt idx="2">
                  <c:v>98.86999999999999</c:v>
                </c:pt>
                <c:pt idx="3">
                  <c:v>98.89</c:v>
                </c:pt>
                <c:pt idx="4">
                  <c:v>98.79</c:v>
                </c:pt>
                <c:pt idx="5">
                  <c:v>98.66</c:v>
                </c:pt>
                <c:pt idx="6">
                  <c:v>98.72999999999999</c:v>
                </c:pt>
                <c:pt idx="7">
                  <c:v>98.460000000000022</c:v>
                </c:pt>
                <c:pt idx="8">
                  <c:v>98.59</c:v>
                </c:pt>
                <c:pt idx="9">
                  <c:v>98.550000000000011</c:v>
                </c:pt>
                <c:pt idx="10">
                  <c:v>98.75</c:v>
                </c:pt>
                <c:pt idx="11">
                  <c:v>98.64</c:v>
                </c:pt>
                <c:pt idx="12">
                  <c:v>98.7</c:v>
                </c:pt>
                <c:pt idx="13">
                  <c:v>98.86999999999999</c:v>
                </c:pt>
                <c:pt idx="14">
                  <c:v>98.83</c:v>
                </c:pt>
                <c:pt idx="15">
                  <c:v>98.81</c:v>
                </c:pt>
                <c:pt idx="16">
                  <c:v>98.710000000000022</c:v>
                </c:pt>
                <c:pt idx="17">
                  <c:v>98.72</c:v>
                </c:pt>
                <c:pt idx="18">
                  <c:v>98.69</c:v>
                </c:pt>
                <c:pt idx="19">
                  <c:v>98.36999999999999</c:v>
                </c:pt>
                <c:pt idx="20">
                  <c:v>98.29</c:v>
                </c:pt>
                <c:pt idx="21">
                  <c:v>98.550000000000011</c:v>
                </c:pt>
                <c:pt idx="22">
                  <c:v>98.78</c:v>
                </c:pt>
                <c:pt idx="23">
                  <c:v>98.61999999999999</c:v>
                </c:pt>
                <c:pt idx="24">
                  <c:v>98.73</c:v>
                </c:pt>
                <c:pt idx="25">
                  <c:v>98.78</c:v>
                </c:pt>
                <c:pt idx="26">
                  <c:v>98.63</c:v>
                </c:pt>
                <c:pt idx="27">
                  <c:v>98.649999999999991</c:v>
                </c:pt>
                <c:pt idx="28">
                  <c:v>98.47</c:v>
                </c:pt>
                <c:pt idx="29">
                  <c:v>98.33</c:v>
                </c:pt>
                <c:pt idx="30">
                  <c:v>98.26</c:v>
                </c:pt>
                <c:pt idx="31">
                  <c:v>98.02</c:v>
                </c:pt>
                <c:pt idx="32">
                  <c:v>98.240000000000023</c:v>
                </c:pt>
                <c:pt idx="33">
                  <c:v>98.56</c:v>
                </c:pt>
                <c:pt idx="34">
                  <c:v>98.59</c:v>
                </c:pt>
                <c:pt idx="35">
                  <c:v>98.61</c:v>
                </c:pt>
                <c:pt idx="36">
                  <c:v>98.75</c:v>
                </c:pt>
                <c:pt idx="37">
                  <c:v>98.669999999999987</c:v>
                </c:pt>
                <c:pt idx="38">
                  <c:v>98.75</c:v>
                </c:pt>
                <c:pt idx="39">
                  <c:v>98.740000000000023</c:v>
                </c:pt>
                <c:pt idx="40">
                  <c:v>98.54</c:v>
                </c:pt>
                <c:pt idx="41">
                  <c:v>98.440000000000026</c:v>
                </c:pt>
                <c:pt idx="42">
                  <c:v>98.52</c:v>
                </c:pt>
                <c:pt idx="43">
                  <c:v>98.1</c:v>
                </c:pt>
                <c:pt idx="44">
                  <c:v>98.2</c:v>
                </c:pt>
                <c:pt idx="45">
                  <c:v>98.56</c:v>
                </c:pt>
                <c:pt idx="46">
                  <c:v>98.460000000000022</c:v>
                </c:pt>
                <c:pt idx="47">
                  <c:v>98.460000000000022</c:v>
                </c:pt>
                <c:pt idx="48">
                  <c:v>98.53</c:v>
                </c:pt>
                <c:pt idx="49">
                  <c:v>98.7</c:v>
                </c:pt>
                <c:pt idx="50">
                  <c:v>98.81</c:v>
                </c:pt>
                <c:pt idx="51">
                  <c:v>98.72</c:v>
                </c:pt>
                <c:pt idx="52">
                  <c:v>98.66</c:v>
                </c:pt>
                <c:pt idx="53">
                  <c:v>98.550000000000011</c:v>
                </c:pt>
                <c:pt idx="54">
                  <c:v>98.5</c:v>
                </c:pt>
                <c:pt idx="55">
                  <c:v>98.07</c:v>
                </c:pt>
                <c:pt idx="56">
                  <c:v>98.32</c:v>
                </c:pt>
                <c:pt idx="57">
                  <c:v>98.550000000000011</c:v>
                </c:pt>
                <c:pt idx="58">
                  <c:v>98.36</c:v>
                </c:pt>
                <c:pt idx="59">
                  <c:v>98.56</c:v>
                </c:pt>
              </c:numCache>
            </c:numRef>
          </c:val>
        </c:ser>
        <c:ser>
          <c:idx val="1"/>
          <c:order val="1"/>
          <c:tx>
            <c:v>NRF Level 1b</c:v>
          </c:tx>
          <c:spPr>
            <a:ln>
              <a:solidFill>
                <a:schemeClr val="accent1"/>
              </a:solidFill>
            </a:ln>
          </c:spPr>
          <c:marker>
            <c:symbol val="diamond"/>
            <c:size val="5"/>
            <c:spPr>
              <a:solidFill>
                <a:schemeClr val="accent1"/>
              </a:solidFill>
              <a:ln>
                <a:solidFill>
                  <a:schemeClr val="accent1"/>
                </a:solidFill>
              </a:ln>
            </c:spPr>
          </c:marker>
          <c:cat>
            <c:numRef>
              <c:f>'3.2'!$N$8:$BU$8</c:f>
              <c:numCache>
                <c:formatCode>mmm\-yy</c:formatCode>
                <c:ptCount val="60"/>
                <c:pt idx="0">
                  <c:v>39630</c:v>
                </c:pt>
                <c:pt idx="1">
                  <c:v>39661</c:v>
                </c:pt>
                <c:pt idx="2">
                  <c:v>39692</c:v>
                </c:pt>
                <c:pt idx="3">
                  <c:v>39722</c:v>
                </c:pt>
                <c:pt idx="4">
                  <c:v>39753</c:v>
                </c:pt>
                <c:pt idx="5">
                  <c:v>39783</c:v>
                </c:pt>
                <c:pt idx="6">
                  <c:v>39814</c:v>
                </c:pt>
                <c:pt idx="7">
                  <c:v>39845</c:v>
                </c:pt>
                <c:pt idx="8">
                  <c:v>39873</c:v>
                </c:pt>
                <c:pt idx="9">
                  <c:v>39904</c:v>
                </c:pt>
                <c:pt idx="10">
                  <c:v>39934</c:v>
                </c:pt>
                <c:pt idx="11">
                  <c:v>39965</c:v>
                </c:pt>
                <c:pt idx="12">
                  <c:v>39995</c:v>
                </c:pt>
                <c:pt idx="13">
                  <c:v>40026</c:v>
                </c:pt>
                <c:pt idx="14">
                  <c:v>40057</c:v>
                </c:pt>
                <c:pt idx="15">
                  <c:v>40087</c:v>
                </c:pt>
                <c:pt idx="16">
                  <c:v>40118</c:v>
                </c:pt>
                <c:pt idx="17">
                  <c:v>40148</c:v>
                </c:pt>
                <c:pt idx="18">
                  <c:v>40179</c:v>
                </c:pt>
                <c:pt idx="19">
                  <c:v>40210</c:v>
                </c:pt>
                <c:pt idx="20">
                  <c:v>40238</c:v>
                </c:pt>
                <c:pt idx="21">
                  <c:v>40269</c:v>
                </c:pt>
                <c:pt idx="22">
                  <c:v>40299</c:v>
                </c:pt>
                <c:pt idx="23">
                  <c:v>40330</c:v>
                </c:pt>
                <c:pt idx="24">
                  <c:v>40360</c:v>
                </c:pt>
                <c:pt idx="25">
                  <c:v>40391</c:v>
                </c:pt>
                <c:pt idx="26">
                  <c:v>40422</c:v>
                </c:pt>
                <c:pt idx="27">
                  <c:v>40452</c:v>
                </c:pt>
                <c:pt idx="28">
                  <c:v>40483</c:v>
                </c:pt>
                <c:pt idx="29">
                  <c:v>40513</c:v>
                </c:pt>
                <c:pt idx="30">
                  <c:v>40544</c:v>
                </c:pt>
                <c:pt idx="31">
                  <c:v>40575</c:v>
                </c:pt>
                <c:pt idx="32">
                  <c:v>40603</c:v>
                </c:pt>
                <c:pt idx="33">
                  <c:v>40634</c:v>
                </c:pt>
                <c:pt idx="34">
                  <c:v>40664</c:v>
                </c:pt>
                <c:pt idx="35">
                  <c:v>40695</c:v>
                </c:pt>
                <c:pt idx="36">
                  <c:v>40725</c:v>
                </c:pt>
                <c:pt idx="37">
                  <c:v>40756</c:v>
                </c:pt>
                <c:pt idx="38">
                  <c:v>40787</c:v>
                </c:pt>
                <c:pt idx="39">
                  <c:v>40817</c:v>
                </c:pt>
                <c:pt idx="40">
                  <c:v>40848</c:v>
                </c:pt>
                <c:pt idx="41">
                  <c:v>40878</c:v>
                </c:pt>
                <c:pt idx="42">
                  <c:v>40909</c:v>
                </c:pt>
                <c:pt idx="43">
                  <c:v>40940</c:v>
                </c:pt>
                <c:pt idx="44">
                  <c:v>40969</c:v>
                </c:pt>
                <c:pt idx="45">
                  <c:v>41000</c:v>
                </c:pt>
                <c:pt idx="46">
                  <c:v>41030</c:v>
                </c:pt>
                <c:pt idx="47">
                  <c:v>41061</c:v>
                </c:pt>
                <c:pt idx="48">
                  <c:v>41091</c:v>
                </c:pt>
                <c:pt idx="49">
                  <c:v>41122</c:v>
                </c:pt>
                <c:pt idx="50">
                  <c:v>41153</c:v>
                </c:pt>
                <c:pt idx="51">
                  <c:v>41183</c:v>
                </c:pt>
                <c:pt idx="52">
                  <c:v>41214</c:v>
                </c:pt>
                <c:pt idx="53">
                  <c:v>41244</c:v>
                </c:pt>
                <c:pt idx="54">
                  <c:v>41275</c:v>
                </c:pt>
                <c:pt idx="55">
                  <c:v>41306</c:v>
                </c:pt>
                <c:pt idx="56">
                  <c:v>41334</c:v>
                </c:pt>
                <c:pt idx="57">
                  <c:v>41365</c:v>
                </c:pt>
                <c:pt idx="58">
                  <c:v>41395</c:v>
                </c:pt>
                <c:pt idx="59">
                  <c:v>41426</c:v>
                </c:pt>
              </c:numCache>
            </c:numRef>
          </c:cat>
          <c:val>
            <c:numRef>
              <c:f>'3.2'!$N$17:$BU$17</c:f>
              <c:numCache>
                <c:formatCode>0.00</c:formatCode>
                <c:ptCount val="60"/>
                <c:pt idx="0">
                  <c:v>99.912540000000007</c:v>
                </c:pt>
                <c:pt idx="1">
                  <c:v>99.923189999999991</c:v>
                </c:pt>
                <c:pt idx="2">
                  <c:v>99.927140000000023</c:v>
                </c:pt>
                <c:pt idx="3">
                  <c:v>99.929879999999983</c:v>
                </c:pt>
                <c:pt idx="4">
                  <c:v>99.923930000000013</c:v>
                </c:pt>
                <c:pt idx="5">
                  <c:v>99.9019200000008</c:v>
                </c:pt>
                <c:pt idx="6">
                  <c:v>99.909350000000003</c:v>
                </c:pt>
                <c:pt idx="7">
                  <c:v>99.886220000000023</c:v>
                </c:pt>
                <c:pt idx="8">
                  <c:v>99.898659999999992</c:v>
                </c:pt>
                <c:pt idx="9">
                  <c:v>99.899510000000006</c:v>
                </c:pt>
                <c:pt idx="10">
                  <c:v>99.918901456696489</c:v>
                </c:pt>
                <c:pt idx="11">
                  <c:v>99.905666855622201</c:v>
                </c:pt>
                <c:pt idx="12">
                  <c:v>99.920337338151256</c:v>
                </c:pt>
                <c:pt idx="13">
                  <c:v>99.934107312974959</c:v>
                </c:pt>
                <c:pt idx="14">
                  <c:v>99.938946130045949</c:v>
                </c:pt>
                <c:pt idx="15">
                  <c:v>99.938477770062818</c:v>
                </c:pt>
                <c:pt idx="16">
                  <c:v>99.928909093912026</c:v>
                </c:pt>
                <c:pt idx="17">
                  <c:v>99.932347812995019</c:v>
                </c:pt>
                <c:pt idx="18">
                  <c:v>99.930281413091578</c:v>
                </c:pt>
                <c:pt idx="19">
                  <c:v>99.905615945415917</c:v>
                </c:pt>
                <c:pt idx="20">
                  <c:v>99.8952908436885</c:v>
                </c:pt>
                <c:pt idx="21">
                  <c:v>99.907903722380027</c:v>
                </c:pt>
                <c:pt idx="22">
                  <c:v>99.932548593255888</c:v>
                </c:pt>
                <c:pt idx="23">
                  <c:v>99.916763776141707</c:v>
                </c:pt>
                <c:pt idx="24">
                  <c:v>99.93</c:v>
                </c:pt>
                <c:pt idx="25">
                  <c:v>99.93</c:v>
                </c:pt>
                <c:pt idx="26">
                  <c:v>99.92</c:v>
                </c:pt>
                <c:pt idx="27">
                  <c:v>99.92</c:v>
                </c:pt>
                <c:pt idx="28">
                  <c:v>99.910000000000025</c:v>
                </c:pt>
                <c:pt idx="29">
                  <c:v>99.88</c:v>
                </c:pt>
                <c:pt idx="30">
                  <c:v>99.82</c:v>
                </c:pt>
                <c:pt idx="31">
                  <c:v>99.81</c:v>
                </c:pt>
                <c:pt idx="32">
                  <c:v>99.88</c:v>
                </c:pt>
                <c:pt idx="33">
                  <c:v>99.910000000000025</c:v>
                </c:pt>
                <c:pt idx="34">
                  <c:v>99.910000000000025</c:v>
                </c:pt>
                <c:pt idx="35">
                  <c:v>99.92</c:v>
                </c:pt>
                <c:pt idx="36">
                  <c:v>99.929999999999993</c:v>
                </c:pt>
                <c:pt idx="37">
                  <c:v>99.929999999999993</c:v>
                </c:pt>
                <c:pt idx="38">
                  <c:v>99.940000000000026</c:v>
                </c:pt>
                <c:pt idx="39">
                  <c:v>99.929999999999993</c:v>
                </c:pt>
                <c:pt idx="40">
                  <c:v>99.910000000000025</c:v>
                </c:pt>
                <c:pt idx="41">
                  <c:v>99.9</c:v>
                </c:pt>
                <c:pt idx="42">
                  <c:v>99.910000000000025</c:v>
                </c:pt>
                <c:pt idx="43">
                  <c:v>99.81</c:v>
                </c:pt>
                <c:pt idx="44">
                  <c:v>99.8</c:v>
                </c:pt>
                <c:pt idx="45">
                  <c:v>99.86999999999999</c:v>
                </c:pt>
                <c:pt idx="46">
                  <c:v>99.850000000000009</c:v>
                </c:pt>
                <c:pt idx="47">
                  <c:v>99.86999999999999</c:v>
                </c:pt>
                <c:pt idx="48">
                  <c:v>99.86</c:v>
                </c:pt>
                <c:pt idx="49">
                  <c:v>99.92</c:v>
                </c:pt>
                <c:pt idx="50">
                  <c:v>99.929999999999993</c:v>
                </c:pt>
                <c:pt idx="51">
                  <c:v>99.92</c:v>
                </c:pt>
                <c:pt idx="52">
                  <c:v>99.92</c:v>
                </c:pt>
                <c:pt idx="53">
                  <c:v>99.88</c:v>
                </c:pt>
                <c:pt idx="54">
                  <c:v>99.89</c:v>
                </c:pt>
                <c:pt idx="55">
                  <c:v>99.740000000000023</c:v>
                </c:pt>
                <c:pt idx="56">
                  <c:v>99.72999999999999</c:v>
                </c:pt>
                <c:pt idx="57">
                  <c:v>99.75</c:v>
                </c:pt>
                <c:pt idx="58">
                  <c:v>99.740000000000023</c:v>
                </c:pt>
                <c:pt idx="59">
                  <c:v>99.82</c:v>
                </c:pt>
              </c:numCache>
            </c:numRef>
          </c:val>
        </c:ser>
        <c:marker val="1"/>
        <c:axId val="267155712"/>
        <c:axId val="267518336"/>
      </c:lineChart>
      <c:dateAx>
        <c:axId val="267155712"/>
        <c:scaling>
          <c:orientation val="minMax"/>
          <c:min val="39600"/>
        </c:scaling>
        <c:axPos val="b"/>
        <c:numFmt formatCode="mmm\-yy" sourceLinked="1"/>
        <c:tickLblPos val="nextTo"/>
        <c:txPr>
          <a:bodyPr rot="-3000000"/>
          <a:lstStyle/>
          <a:p>
            <a:pPr>
              <a:defRPr sz="800"/>
            </a:pPr>
            <a:endParaRPr lang="en-US"/>
          </a:p>
        </c:txPr>
        <c:crossAx val="267518336"/>
        <c:crosses val="autoZero"/>
        <c:auto val="1"/>
        <c:lblOffset val="100"/>
      </c:dateAx>
      <c:valAx>
        <c:axId val="267518336"/>
        <c:scaling>
          <c:orientation val="minMax"/>
          <c:max val="100"/>
          <c:min val="97"/>
        </c:scaling>
        <c:axPos val="l"/>
        <c:title>
          <c:tx>
            <c:rich>
              <a:bodyPr rot="-5400000" vert="horz"/>
              <a:lstStyle/>
              <a:p>
                <a:pPr>
                  <a:defRPr/>
                </a:pPr>
                <a:r>
                  <a:rPr lang="en-AU" b="0"/>
                  <a:t>% in each category</a:t>
                </a:r>
              </a:p>
            </c:rich>
          </c:tx>
        </c:title>
        <c:numFmt formatCode="0.0" sourceLinked="0"/>
        <c:tickLblPos val="nextTo"/>
        <c:crossAx val="267155712"/>
        <c:crosses val="autoZero"/>
        <c:crossBetween val="between"/>
        <c:majorUnit val="0.5"/>
        <c:minorUnit val="0.1"/>
      </c:valAx>
    </c:plotArea>
    <c:legend>
      <c:legendPos val="r"/>
      <c:layout>
        <c:manualLayout>
          <c:xMode val="edge"/>
          <c:yMode val="edge"/>
          <c:x val="0.69867588204909814"/>
          <c:y val="0.59645453193833142"/>
          <c:w val="0.19167169728762568"/>
          <c:h val="0.14349328809168568"/>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lineChart>
        <c:grouping val="standard"/>
        <c:ser>
          <c:idx val="0"/>
          <c:order val="0"/>
          <c:marker>
            <c:symbol val="diamond"/>
            <c:size val="5"/>
          </c:marker>
          <c:cat>
            <c:numRef>
              <c:f>'3.3'!$N$5:$BU$5</c:f>
              <c:numCache>
                <c:formatCode>mmm\-yy</c:formatCode>
                <c:ptCount val="60"/>
                <c:pt idx="0">
                  <c:v>39630</c:v>
                </c:pt>
                <c:pt idx="1">
                  <c:v>39661</c:v>
                </c:pt>
                <c:pt idx="2">
                  <c:v>39692</c:v>
                </c:pt>
                <c:pt idx="3">
                  <c:v>39722</c:v>
                </c:pt>
                <c:pt idx="4">
                  <c:v>39753</c:v>
                </c:pt>
                <c:pt idx="5">
                  <c:v>39783</c:v>
                </c:pt>
                <c:pt idx="6">
                  <c:v>39814</c:v>
                </c:pt>
                <c:pt idx="7">
                  <c:v>39845</c:v>
                </c:pt>
                <c:pt idx="8">
                  <c:v>39873</c:v>
                </c:pt>
                <c:pt idx="9">
                  <c:v>39904</c:v>
                </c:pt>
                <c:pt idx="10">
                  <c:v>39934</c:v>
                </c:pt>
                <c:pt idx="11">
                  <c:v>39965</c:v>
                </c:pt>
                <c:pt idx="12">
                  <c:v>39995</c:v>
                </c:pt>
                <c:pt idx="13">
                  <c:v>40026</c:v>
                </c:pt>
                <c:pt idx="14">
                  <c:v>40057</c:v>
                </c:pt>
                <c:pt idx="15">
                  <c:v>40087</c:v>
                </c:pt>
                <c:pt idx="16">
                  <c:v>40118</c:v>
                </c:pt>
                <c:pt idx="17">
                  <c:v>40148</c:v>
                </c:pt>
                <c:pt idx="18">
                  <c:v>40179</c:v>
                </c:pt>
                <c:pt idx="19">
                  <c:v>40210</c:v>
                </c:pt>
                <c:pt idx="20">
                  <c:v>40238</c:v>
                </c:pt>
                <c:pt idx="21">
                  <c:v>40269</c:v>
                </c:pt>
                <c:pt idx="22">
                  <c:v>40299</c:v>
                </c:pt>
                <c:pt idx="23">
                  <c:v>40330</c:v>
                </c:pt>
                <c:pt idx="24">
                  <c:v>40360</c:v>
                </c:pt>
                <c:pt idx="25">
                  <c:v>40391</c:v>
                </c:pt>
                <c:pt idx="26">
                  <c:v>40422</c:v>
                </c:pt>
                <c:pt idx="27">
                  <c:v>40452</c:v>
                </c:pt>
                <c:pt idx="28">
                  <c:v>40483</c:v>
                </c:pt>
                <c:pt idx="29">
                  <c:v>40513</c:v>
                </c:pt>
                <c:pt idx="30">
                  <c:v>40544</c:v>
                </c:pt>
                <c:pt idx="31">
                  <c:v>40575</c:v>
                </c:pt>
                <c:pt idx="32">
                  <c:v>40603</c:v>
                </c:pt>
                <c:pt idx="33">
                  <c:v>40634</c:v>
                </c:pt>
                <c:pt idx="34">
                  <c:v>40664</c:v>
                </c:pt>
                <c:pt idx="35">
                  <c:v>40695</c:v>
                </c:pt>
                <c:pt idx="36">
                  <c:v>40725</c:v>
                </c:pt>
                <c:pt idx="37">
                  <c:v>40756</c:v>
                </c:pt>
                <c:pt idx="38">
                  <c:v>40787</c:v>
                </c:pt>
                <c:pt idx="39">
                  <c:v>40817</c:v>
                </c:pt>
                <c:pt idx="40">
                  <c:v>40848</c:v>
                </c:pt>
                <c:pt idx="41">
                  <c:v>40878</c:v>
                </c:pt>
                <c:pt idx="42">
                  <c:v>40909</c:v>
                </c:pt>
                <c:pt idx="43">
                  <c:v>40940</c:v>
                </c:pt>
                <c:pt idx="44">
                  <c:v>40969</c:v>
                </c:pt>
                <c:pt idx="45">
                  <c:v>41000</c:v>
                </c:pt>
                <c:pt idx="46">
                  <c:v>41030</c:v>
                </c:pt>
                <c:pt idx="47">
                  <c:v>41061</c:v>
                </c:pt>
                <c:pt idx="48">
                  <c:v>41091</c:v>
                </c:pt>
                <c:pt idx="49">
                  <c:v>41122</c:v>
                </c:pt>
                <c:pt idx="50">
                  <c:v>41153</c:v>
                </c:pt>
                <c:pt idx="51">
                  <c:v>41183</c:v>
                </c:pt>
                <c:pt idx="52">
                  <c:v>41214</c:v>
                </c:pt>
                <c:pt idx="53">
                  <c:v>41244</c:v>
                </c:pt>
                <c:pt idx="54">
                  <c:v>41275</c:v>
                </c:pt>
                <c:pt idx="55">
                  <c:v>41306</c:v>
                </c:pt>
                <c:pt idx="56">
                  <c:v>41334</c:v>
                </c:pt>
                <c:pt idx="57">
                  <c:v>41365</c:v>
                </c:pt>
                <c:pt idx="58">
                  <c:v>41395</c:v>
                </c:pt>
                <c:pt idx="59">
                  <c:v>41426</c:v>
                </c:pt>
              </c:numCache>
            </c:numRef>
          </c:cat>
          <c:val>
            <c:numRef>
              <c:f>'3.3'!$N$6:$BU$6</c:f>
              <c:numCache>
                <c:formatCode>General</c:formatCode>
                <c:ptCount val="60"/>
                <c:pt idx="0">
                  <c:v>53.4</c:v>
                </c:pt>
                <c:pt idx="1">
                  <c:v>51.4</c:v>
                </c:pt>
                <c:pt idx="2">
                  <c:v>47.8</c:v>
                </c:pt>
                <c:pt idx="3">
                  <c:v>46.8</c:v>
                </c:pt>
                <c:pt idx="4">
                  <c:v>46.9</c:v>
                </c:pt>
                <c:pt idx="5">
                  <c:v>54.4</c:v>
                </c:pt>
                <c:pt idx="6">
                  <c:v>52.9</c:v>
                </c:pt>
                <c:pt idx="7">
                  <c:v>54.8</c:v>
                </c:pt>
                <c:pt idx="8">
                  <c:v>53.5</c:v>
                </c:pt>
                <c:pt idx="9">
                  <c:v>51.7</c:v>
                </c:pt>
                <c:pt idx="10">
                  <c:v>48.2</c:v>
                </c:pt>
                <c:pt idx="11">
                  <c:v>51.7</c:v>
                </c:pt>
                <c:pt idx="12">
                  <c:v>45.6</c:v>
                </c:pt>
                <c:pt idx="13">
                  <c:v>43.5</c:v>
                </c:pt>
                <c:pt idx="14">
                  <c:v>38.9</c:v>
                </c:pt>
                <c:pt idx="15">
                  <c:v>38.300000000000004</c:v>
                </c:pt>
                <c:pt idx="16">
                  <c:v>41.1</c:v>
                </c:pt>
                <c:pt idx="17">
                  <c:v>39.4</c:v>
                </c:pt>
                <c:pt idx="18">
                  <c:v>39.6</c:v>
                </c:pt>
                <c:pt idx="19">
                  <c:v>43.1</c:v>
                </c:pt>
                <c:pt idx="20">
                  <c:v>45.7</c:v>
                </c:pt>
                <c:pt idx="21">
                  <c:v>47.3</c:v>
                </c:pt>
                <c:pt idx="22">
                  <c:v>41.3</c:v>
                </c:pt>
                <c:pt idx="23">
                  <c:v>44.7</c:v>
                </c:pt>
                <c:pt idx="24">
                  <c:v>41.5</c:v>
                </c:pt>
                <c:pt idx="25">
                  <c:v>39.300000000000004</c:v>
                </c:pt>
                <c:pt idx="26">
                  <c:v>42.7</c:v>
                </c:pt>
                <c:pt idx="27">
                  <c:v>45.4</c:v>
                </c:pt>
                <c:pt idx="28">
                  <c:v>43.7</c:v>
                </c:pt>
                <c:pt idx="29" formatCode="0.0">
                  <c:v>54.1</c:v>
                </c:pt>
                <c:pt idx="30" formatCode="0.0">
                  <c:v>75.5</c:v>
                </c:pt>
                <c:pt idx="31" formatCode="0.0">
                  <c:v>72</c:v>
                </c:pt>
                <c:pt idx="32" formatCode="0.0">
                  <c:v>52.8</c:v>
                </c:pt>
                <c:pt idx="33" formatCode="0.0">
                  <c:v>47.3</c:v>
                </c:pt>
                <c:pt idx="34" formatCode="0.0">
                  <c:v>45.1</c:v>
                </c:pt>
                <c:pt idx="35" formatCode="0.0">
                  <c:v>41.3</c:v>
                </c:pt>
                <c:pt idx="36" formatCode="0.0">
                  <c:v>39.4</c:v>
                </c:pt>
                <c:pt idx="37" formatCode="0.0">
                  <c:v>39.950000000000003</c:v>
                </c:pt>
                <c:pt idx="38" formatCode="0.0">
                  <c:v>37.14</c:v>
                </c:pt>
                <c:pt idx="39" formatCode="0.0">
                  <c:v>41.35</c:v>
                </c:pt>
                <c:pt idx="40" formatCode="0.0">
                  <c:v>43.55</c:v>
                </c:pt>
                <c:pt idx="41" formatCode="0.0">
                  <c:v>46.24</c:v>
                </c:pt>
                <c:pt idx="42" formatCode="0.0">
                  <c:v>47.230000000000011</c:v>
                </c:pt>
                <c:pt idx="43" formatCode="0.0">
                  <c:v>75.86999999999999</c:v>
                </c:pt>
                <c:pt idx="44" formatCode="0.0">
                  <c:v>81.69</c:v>
                </c:pt>
                <c:pt idx="45" formatCode="0.0">
                  <c:v>69.86999999999999</c:v>
                </c:pt>
                <c:pt idx="46" formatCode="0.0">
                  <c:v>72.98</c:v>
                </c:pt>
                <c:pt idx="47" formatCode="0.0">
                  <c:v>63.31</c:v>
                </c:pt>
                <c:pt idx="48" formatCode="0.0">
                  <c:v>68.873819179678918</c:v>
                </c:pt>
                <c:pt idx="49" formatCode="0.0">
                  <c:v>47.07194363862412</c:v>
                </c:pt>
                <c:pt idx="50" formatCode="0.0">
                  <c:v>44.118791851584675</c:v>
                </c:pt>
                <c:pt idx="51" formatCode="0.0">
                  <c:v>45.858190123073889</c:v>
                </c:pt>
                <c:pt idx="52" formatCode="0.0">
                  <c:v>46.610013729870587</c:v>
                </c:pt>
                <c:pt idx="53" formatCode="0.0">
                  <c:v>61.664741694864105</c:v>
                </c:pt>
                <c:pt idx="54" formatCode="0.0">
                  <c:v>53.676163377472982</c:v>
                </c:pt>
                <c:pt idx="55" formatCode="0.0">
                  <c:v>100.09668490710106</c:v>
                </c:pt>
                <c:pt idx="56" formatCode="0.0">
                  <c:v>118.3924302568572</c:v>
                </c:pt>
                <c:pt idx="57" formatCode="0.0">
                  <c:v>128.04217203957731</c:v>
                </c:pt>
                <c:pt idx="58" formatCode="0.0">
                  <c:v>118.81220625142595</c:v>
                </c:pt>
                <c:pt idx="59" formatCode="0.0">
                  <c:v>95.209899410523988</c:v>
                </c:pt>
              </c:numCache>
            </c:numRef>
          </c:val>
        </c:ser>
        <c:marker val="1"/>
        <c:axId val="267550720"/>
        <c:axId val="267552256"/>
      </c:lineChart>
      <c:dateAx>
        <c:axId val="267550720"/>
        <c:scaling>
          <c:orientation val="minMax"/>
          <c:max val="41426"/>
          <c:min val="39600"/>
        </c:scaling>
        <c:axPos val="b"/>
        <c:numFmt formatCode="mmm\-yy" sourceLinked="1"/>
        <c:tickLblPos val="nextTo"/>
        <c:txPr>
          <a:bodyPr rot="-2700000"/>
          <a:lstStyle/>
          <a:p>
            <a:pPr>
              <a:defRPr sz="850"/>
            </a:pPr>
            <a:endParaRPr lang="en-US"/>
          </a:p>
        </c:txPr>
        <c:crossAx val="267552256"/>
        <c:crosses val="autoZero"/>
        <c:auto val="1"/>
        <c:lblOffset val="100"/>
        <c:majorUnit val="3"/>
        <c:majorTimeUnit val="months"/>
      </c:dateAx>
      <c:valAx>
        <c:axId val="267552256"/>
        <c:scaling>
          <c:orientation val="minMax"/>
        </c:scaling>
        <c:axPos val="l"/>
        <c:title>
          <c:tx>
            <c:rich>
              <a:bodyPr rot="-5400000" vert="horz"/>
              <a:lstStyle/>
              <a:p>
                <a:pPr>
                  <a:defRPr b="0"/>
                </a:pPr>
                <a:r>
                  <a:rPr lang="en-AU" b="0"/>
                  <a:t>Hours</a:t>
                </a:r>
              </a:p>
            </c:rich>
          </c:tx>
        </c:title>
        <c:numFmt formatCode="General" sourceLinked="1"/>
        <c:tickLblPos val="nextTo"/>
        <c:crossAx val="267550720"/>
        <c:crosses val="autoZero"/>
        <c:crossBetween val="between"/>
      </c:valAx>
      <c:spPr>
        <a:noFill/>
        <a:ln w="25400">
          <a:noFill/>
        </a:ln>
      </c:spPr>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percentStacked"/>
        <c:ser>
          <c:idx val="0"/>
          <c:order val="0"/>
          <c:tx>
            <c:strRef>
              <c:f>'1.3'!$L$14</c:f>
              <c:strCache>
                <c:ptCount val="1"/>
                <c:pt idx="0">
                  <c:v>1</c:v>
                </c:pt>
              </c:strCache>
            </c:strRef>
          </c:tx>
          <c:dLbls>
            <c:dLbl>
              <c:idx val="1"/>
              <c:delete val="1"/>
            </c:dLbl>
            <c:dLbl>
              <c:idx val="2"/>
              <c:delete val="1"/>
            </c:dLbl>
            <c:dLbl>
              <c:idx val="3"/>
              <c:delete val="1"/>
            </c:dLbl>
            <c:numFmt formatCode="#,##0" sourceLinked="0"/>
            <c:txPr>
              <a:bodyPr/>
              <a:lstStyle/>
              <a:p>
                <a:pPr>
                  <a:defRPr>
                    <a:solidFill>
                      <a:schemeClr val="bg1"/>
                    </a:solidFill>
                  </a:defRPr>
                </a:pPr>
                <a:endParaRPr lang="en-US"/>
              </a:p>
            </c:txPr>
            <c:showVal val="1"/>
          </c:dLbls>
          <c:cat>
            <c:strRef>
              <c:f>'1.3'!$M$13:$S$13</c:f>
              <c:strCache>
                <c:ptCount val="7"/>
                <c:pt idx="0">
                  <c:v>Total</c:v>
                </c:pt>
                <c:pt idx="1">
                  <c:v>18–24</c:v>
                </c:pt>
                <c:pt idx="2">
                  <c:v>25–34</c:v>
                </c:pt>
                <c:pt idx="3">
                  <c:v>35–44</c:v>
                </c:pt>
                <c:pt idx="4">
                  <c:v>45–54</c:v>
                </c:pt>
                <c:pt idx="5">
                  <c:v>55–64</c:v>
                </c:pt>
                <c:pt idx="6">
                  <c:v>65+</c:v>
                </c:pt>
              </c:strCache>
            </c:strRef>
          </c:cat>
          <c:val>
            <c:numRef>
              <c:f>'1.3'!$M$14:$S$14</c:f>
              <c:numCache>
                <c:formatCode>0</c:formatCode>
                <c:ptCount val="7"/>
                <c:pt idx="0">
                  <c:v>4.2</c:v>
                </c:pt>
                <c:pt idx="1">
                  <c:v>0.60000000000000064</c:v>
                </c:pt>
                <c:pt idx="2">
                  <c:v>0.4</c:v>
                </c:pt>
                <c:pt idx="3">
                  <c:v>1.2</c:v>
                </c:pt>
                <c:pt idx="4">
                  <c:v>3.4000000000000004</c:v>
                </c:pt>
                <c:pt idx="5">
                  <c:v>3.9</c:v>
                </c:pt>
                <c:pt idx="6">
                  <c:v>14.3</c:v>
                </c:pt>
              </c:numCache>
            </c:numRef>
          </c:val>
        </c:ser>
        <c:ser>
          <c:idx val="1"/>
          <c:order val="1"/>
          <c:tx>
            <c:strRef>
              <c:f>'1.3'!$L$15</c:f>
              <c:strCache>
                <c:ptCount val="1"/>
                <c:pt idx="0">
                  <c:v>2</c:v>
                </c:pt>
              </c:strCache>
            </c:strRef>
          </c:tx>
          <c:dLbls>
            <c:dLbl>
              <c:idx val="1"/>
              <c:delete val="1"/>
            </c:dLbl>
            <c:dLbl>
              <c:idx val="2"/>
              <c:delete val="1"/>
            </c:dLbl>
            <c:dLbl>
              <c:idx val="3"/>
              <c:delete val="1"/>
            </c:dLbl>
            <c:showVal val="1"/>
          </c:dLbls>
          <c:cat>
            <c:strRef>
              <c:f>'1.3'!$M$13:$S$13</c:f>
              <c:strCache>
                <c:ptCount val="7"/>
                <c:pt idx="0">
                  <c:v>Total</c:v>
                </c:pt>
                <c:pt idx="1">
                  <c:v>18–24</c:v>
                </c:pt>
                <c:pt idx="2">
                  <c:v>25–34</c:v>
                </c:pt>
                <c:pt idx="3">
                  <c:v>35–44</c:v>
                </c:pt>
                <c:pt idx="4">
                  <c:v>45–54</c:v>
                </c:pt>
                <c:pt idx="5">
                  <c:v>55–64</c:v>
                </c:pt>
                <c:pt idx="6">
                  <c:v>65+</c:v>
                </c:pt>
              </c:strCache>
            </c:strRef>
          </c:cat>
          <c:val>
            <c:numRef>
              <c:f>'1.3'!$M$15:$S$15</c:f>
              <c:numCache>
                <c:formatCode>0</c:formatCode>
                <c:ptCount val="7"/>
                <c:pt idx="0">
                  <c:v>6.8000000000000007</c:v>
                </c:pt>
                <c:pt idx="1">
                  <c:v>0.90000000000000013</c:v>
                </c:pt>
                <c:pt idx="2">
                  <c:v>1.7000000000000002</c:v>
                </c:pt>
                <c:pt idx="3">
                  <c:v>1.1000000000000001</c:v>
                </c:pt>
                <c:pt idx="4">
                  <c:v>5.3</c:v>
                </c:pt>
                <c:pt idx="5">
                  <c:v>11.1</c:v>
                </c:pt>
                <c:pt idx="6">
                  <c:v>18.5</c:v>
                </c:pt>
              </c:numCache>
            </c:numRef>
          </c:val>
        </c:ser>
        <c:ser>
          <c:idx val="2"/>
          <c:order val="2"/>
          <c:tx>
            <c:strRef>
              <c:f>'1.3'!$L$16</c:f>
              <c:strCache>
                <c:ptCount val="1"/>
                <c:pt idx="0">
                  <c:v>3</c:v>
                </c:pt>
              </c:strCache>
            </c:strRef>
          </c:tx>
          <c:dLbls>
            <c:numFmt formatCode="#,##0" sourceLinked="0"/>
            <c:showVal val="1"/>
          </c:dLbls>
          <c:cat>
            <c:strRef>
              <c:f>'1.3'!$M$13:$S$13</c:f>
              <c:strCache>
                <c:ptCount val="7"/>
                <c:pt idx="0">
                  <c:v>Total</c:v>
                </c:pt>
                <c:pt idx="1">
                  <c:v>18–24</c:v>
                </c:pt>
                <c:pt idx="2">
                  <c:v>25–34</c:v>
                </c:pt>
                <c:pt idx="3">
                  <c:v>35–44</c:v>
                </c:pt>
                <c:pt idx="4">
                  <c:v>45–54</c:v>
                </c:pt>
                <c:pt idx="5">
                  <c:v>55–64</c:v>
                </c:pt>
                <c:pt idx="6">
                  <c:v>65+</c:v>
                </c:pt>
              </c:strCache>
            </c:strRef>
          </c:cat>
          <c:val>
            <c:numRef>
              <c:f>'1.3'!$M$16:$S$16</c:f>
              <c:numCache>
                <c:formatCode>0</c:formatCode>
                <c:ptCount val="7"/>
                <c:pt idx="0">
                  <c:v>8.8000000000000007</c:v>
                </c:pt>
                <c:pt idx="1">
                  <c:v>4.8</c:v>
                </c:pt>
                <c:pt idx="2">
                  <c:v>5.0999999999999996</c:v>
                </c:pt>
                <c:pt idx="3">
                  <c:v>3.6000000000000005</c:v>
                </c:pt>
                <c:pt idx="4">
                  <c:v>9.2000000000000011</c:v>
                </c:pt>
                <c:pt idx="5">
                  <c:v>13.700000000000001</c:v>
                </c:pt>
                <c:pt idx="6">
                  <c:v>15.1</c:v>
                </c:pt>
              </c:numCache>
            </c:numRef>
          </c:val>
        </c:ser>
        <c:ser>
          <c:idx val="3"/>
          <c:order val="3"/>
          <c:tx>
            <c:strRef>
              <c:f>'1.3'!$L$17</c:f>
              <c:strCache>
                <c:ptCount val="1"/>
                <c:pt idx="0">
                  <c:v>4</c:v>
                </c:pt>
              </c:strCache>
            </c:strRef>
          </c:tx>
          <c:dLbls>
            <c:numFmt formatCode="#,##0" sourceLinked="0"/>
            <c:txPr>
              <a:bodyPr/>
              <a:lstStyle/>
              <a:p>
                <a:pPr>
                  <a:defRPr>
                    <a:solidFill>
                      <a:schemeClr val="bg1"/>
                    </a:solidFill>
                  </a:defRPr>
                </a:pPr>
                <a:endParaRPr lang="en-US"/>
              </a:p>
            </c:txPr>
            <c:showVal val="1"/>
          </c:dLbls>
          <c:cat>
            <c:strRef>
              <c:f>'1.3'!$M$13:$S$13</c:f>
              <c:strCache>
                <c:ptCount val="7"/>
                <c:pt idx="0">
                  <c:v>Total</c:v>
                </c:pt>
                <c:pt idx="1">
                  <c:v>18–24</c:v>
                </c:pt>
                <c:pt idx="2">
                  <c:v>25–34</c:v>
                </c:pt>
                <c:pt idx="3">
                  <c:v>35–44</c:v>
                </c:pt>
                <c:pt idx="4">
                  <c:v>45–54</c:v>
                </c:pt>
                <c:pt idx="5">
                  <c:v>55–64</c:v>
                </c:pt>
                <c:pt idx="6">
                  <c:v>65+</c:v>
                </c:pt>
              </c:strCache>
            </c:strRef>
          </c:cat>
          <c:val>
            <c:numRef>
              <c:f>'1.3'!$M$17:$S$17</c:f>
              <c:numCache>
                <c:formatCode>0</c:formatCode>
                <c:ptCount val="7"/>
                <c:pt idx="0">
                  <c:v>18.3</c:v>
                </c:pt>
                <c:pt idx="1">
                  <c:v>7.9</c:v>
                </c:pt>
                <c:pt idx="2">
                  <c:v>16.600000000000001</c:v>
                </c:pt>
                <c:pt idx="3">
                  <c:v>17.3</c:v>
                </c:pt>
                <c:pt idx="4">
                  <c:v>18.2</c:v>
                </c:pt>
                <c:pt idx="5">
                  <c:v>24.5</c:v>
                </c:pt>
                <c:pt idx="6">
                  <c:v>21.6</c:v>
                </c:pt>
              </c:numCache>
            </c:numRef>
          </c:val>
        </c:ser>
        <c:ser>
          <c:idx val="4"/>
          <c:order val="4"/>
          <c:tx>
            <c:strRef>
              <c:f>'1.3'!$L$18</c:f>
              <c:strCache>
                <c:ptCount val="1"/>
                <c:pt idx="0">
                  <c:v>5</c:v>
                </c:pt>
              </c:strCache>
            </c:strRef>
          </c:tx>
          <c:dLbls>
            <c:numFmt formatCode="#,##0" sourceLinked="0"/>
            <c:showVal val="1"/>
          </c:dLbls>
          <c:cat>
            <c:strRef>
              <c:f>'1.3'!$M$13:$S$13</c:f>
              <c:strCache>
                <c:ptCount val="7"/>
                <c:pt idx="0">
                  <c:v>Total</c:v>
                </c:pt>
                <c:pt idx="1">
                  <c:v>18–24</c:v>
                </c:pt>
                <c:pt idx="2">
                  <c:v>25–34</c:v>
                </c:pt>
                <c:pt idx="3">
                  <c:v>35–44</c:v>
                </c:pt>
                <c:pt idx="4">
                  <c:v>45–54</c:v>
                </c:pt>
                <c:pt idx="5">
                  <c:v>55–64</c:v>
                </c:pt>
                <c:pt idx="6">
                  <c:v>65+</c:v>
                </c:pt>
              </c:strCache>
            </c:strRef>
          </c:cat>
          <c:val>
            <c:numRef>
              <c:f>'1.3'!$M$18:$S$18</c:f>
              <c:numCache>
                <c:formatCode>0</c:formatCode>
                <c:ptCount val="7"/>
                <c:pt idx="0">
                  <c:v>22.2</c:v>
                </c:pt>
                <c:pt idx="1">
                  <c:v>23.1</c:v>
                </c:pt>
                <c:pt idx="2">
                  <c:v>22.8</c:v>
                </c:pt>
                <c:pt idx="3">
                  <c:v>26.1</c:v>
                </c:pt>
                <c:pt idx="4">
                  <c:v>22.7</c:v>
                </c:pt>
                <c:pt idx="5">
                  <c:v>21.6</c:v>
                </c:pt>
                <c:pt idx="6">
                  <c:v>17.8</c:v>
                </c:pt>
              </c:numCache>
            </c:numRef>
          </c:val>
        </c:ser>
        <c:ser>
          <c:idx val="5"/>
          <c:order val="5"/>
          <c:tx>
            <c:strRef>
              <c:f>'1.3'!$L$19</c:f>
              <c:strCache>
                <c:ptCount val="1"/>
                <c:pt idx="0">
                  <c:v>6 or more</c:v>
                </c:pt>
              </c:strCache>
            </c:strRef>
          </c:tx>
          <c:dLbls>
            <c:numFmt formatCode="#,##0" sourceLinked="0"/>
            <c:txPr>
              <a:bodyPr/>
              <a:lstStyle/>
              <a:p>
                <a:pPr>
                  <a:defRPr>
                    <a:solidFill>
                      <a:schemeClr val="bg1"/>
                    </a:solidFill>
                  </a:defRPr>
                </a:pPr>
                <a:endParaRPr lang="en-US"/>
              </a:p>
            </c:txPr>
            <c:showVal val="1"/>
          </c:dLbls>
          <c:cat>
            <c:strRef>
              <c:f>'1.3'!$M$13:$S$13</c:f>
              <c:strCache>
                <c:ptCount val="7"/>
                <c:pt idx="0">
                  <c:v>Total</c:v>
                </c:pt>
                <c:pt idx="1">
                  <c:v>18–24</c:v>
                </c:pt>
                <c:pt idx="2">
                  <c:v>25–34</c:v>
                </c:pt>
                <c:pt idx="3">
                  <c:v>35–44</c:v>
                </c:pt>
                <c:pt idx="4">
                  <c:v>45–54</c:v>
                </c:pt>
                <c:pt idx="5">
                  <c:v>55–64</c:v>
                </c:pt>
                <c:pt idx="6">
                  <c:v>65+</c:v>
                </c:pt>
              </c:strCache>
            </c:strRef>
          </c:cat>
          <c:val>
            <c:numRef>
              <c:f>'1.3'!$M$19:$S$19</c:f>
              <c:numCache>
                <c:formatCode>0</c:formatCode>
                <c:ptCount val="7"/>
                <c:pt idx="0">
                  <c:v>39.700000000000003</c:v>
                </c:pt>
                <c:pt idx="1">
                  <c:v>62.8</c:v>
                </c:pt>
                <c:pt idx="2">
                  <c:v>53.300000000000004</c:v>
                </c:pt>
                <c:pt idx="3">
                  <c:v>50.7</c:v>
                </c:pt>
                <c:pt idx="4">
                  <c:v>41.2</c:v>
                </c:pt>
                <c:pt idx="5">
                  <c:v>25.2</c:v>
                </c:pt>
                <c:pt idx="6">
                  <c:v>12.6</c:v>
                </c:pt>
              </c:numCache>
            </c:numRef>
          </c:val>
        </c:ser>
        <c:dLbls>
          <c:showVal val="1"/>
        </c:dLbls>
        <c:overlap val="100"/>
        <c:axId val="250642432"/>
        <c:axId val="250643968"/>
      </c:barChart>
      <c:catAx>
        <c:axId val="250642432"/>
        <c:scaling>
          <c:orientation val="minMax"/>
        </c:scaling>
        <c:axPos val="b"/>
        <c:tickLblPos val="nextTo"/>
        <c:crossAx val="250643968"/>
        <c:crosses val="autoZero"/>
        <c:auto val="1"/>
        <c:lblAlgn val="ctr"/>
        <c:lblOffset val="100"/>
      </c:catAx>
      <c:valAx>
        <c:axId val="250643968"/>
        <c:scaling>
          <c:orientation val="minMax"/>
        </c:scaling>
        <c:delete val="1"/>
        <c:axPos val="l"/>
        <c:title>
          <c:tx>
            <c:rich>
              <a:bodyPr rot="-5400000" vert="horz"/>
              <a:lstStyle/>
              <a:p>
                <a:pPr>
                  <a:defRPr b="0"/>
                </a:pPr>
                <a:r>
                  <a:rPr lang="en-US" b="0"/>
                  <a:t>% of people with a home fixed-line telephone or mobile phone</a:t>
                </a:r>
              </a:p>
            </c:rich>
          </c:tx>
        </c:title>
        <c:numFmt formatCode="0%" sourceLinked="1"/>
        <c:tickLblPos val="none"/>
        <c:crossAx val="250642432"/>
        <c:crosses val="autoZero"/>
        <c:crossBetween val="between"/>
      </c:valAx>
    </c:plotArea>
    <c:legend>
      <c:legendPos val="r"/>
      <c:layout>
        <c:manualLayout>
          <c:xMode val="edge"/>
          <c:yMode val="edge"/>
          <c:x val="0.86399127075409043"/>
          <c:y val="0.33566797495780992"/>
          <c:w val="0.11460691009129477"/>
          <c:h val="0.34300068947046708"/>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8.6171202828540239E-2"/>
          <c:y val="2.7645344856382852E-2"/>
          <c:w val="0.88988651031548183"/>
          <c:h val="0.82152138778302131"/>
        </c:manualLayout>
      </c:layout>
      <c:lineChart>
        <c:grouping val="standard"/>
        <c:ser>
          <c:idx val="0"/>
          <c:order val="0"/>
          <c:tx>
            <c:v>NRF Level 3a</c:v>
          </c:tx>
          <c:marker>
            <c:symbol val="diamond"/>
            <c:size val="5"/>
          </c:marker>
          <c:cat>
            <c:numRef>
              <c:f>'3.4'!$N$5:$BU$5</c:f>
              <c:numCache>
                <c:formatCode>mmm\-yy</c:formatCode>
                <c:ptCount val="60"/>
                <c:pt idx="0">
                  <c:v>39630</c:v>
                </c:pt>
                <c:pt idx="1">
                  <c:v>39661</c:v>
                </c:pt>
                <c:pt idx="2">
                  <c:v>39692</c:v>
                </c:pt>
                <c:pt idx="3">
                  <c:v>39722</c:v>
                </c:pt>
                <c:pt idx="4">
                  <c:v>39753</c:v>
                </c:pt>
                <c:pt idx="5">
                  <c:v>39783</c:v>
                </c:pt>
                <c:pt idx="6">
                  <c:v>39814</c:v>
                </c:pt>
                <c:pt idx="7">
                  <c:v>39845</c:v>
                </c:pt>
                <c:pt idx="8">
                  <c:v>39873</c:v>
                </c:pt>
                <c:pt idx="9">
                  <c:v>39904</c:v>
                </c:pt>
                <c:pt idx="10">
                  <c:v>39934</c:v>
                </c:pt>
                <c:pt idx="11">
                  <c:v>39965</c:v>
                </c:pt>
                <c:pt idx="12">
                  <c:v>39995</c:v>
                </c:pt>
                <c:pt idx="13">
                  <c:v>40026</c:v>
                </c:pt>
                <c:pt idx="14">
                  <c:v>40057</c:v>
                </c:pt>
                <c:pt idx="15">
                  <c:v>40087</c:v>
                </c:pt>
                <c:pt idx="16">
                  <c:v>40118</c:v>
                </c:pt>
                <c:pt idx="17">
                  <c:v>40148</c:v>
                </c:pt>
                <c:pt idx="18">
                  <c:v>40179</c:v>
                </c:pt>
                <c:pt idx="19">
                  <c:v>40210</c:v>
                </c:pt>
                <c:pt idx="20">
                  <c:v>40238</c:v>
                </c:pt>
                <c:pt idx="21">
                  <c:v>40269</c:v>
                </c:pt>
                <c:pt idx="22">
                  <c:v>40299</c:v>
                </c:pt>
                <c:pt idx="23">
                  <c:v>40330</c:v>
                </c:pt>
                <c:pt idx="24">
                  <c:v>40360</c:v>
                </c:pt>
                <c:pt idx="25">
                  <c:v>40391</c:v>
                </c:pt>
                <c:pt idx="26">
                  <c:v>40422</c:v>
                </c:pt>
                <c:pt idx="27">
                  <c:v>40452</c:v>
                </c:pt>
                <c:pt idx="28">
                  <c:v>40483</c:v>
                </c:pt>
                <c:pt idx="29">
                  <c:v>40513</c:v>
                </c:pt>
                <c:pt idx="30">
                  <c:v>40544</c:v>
                </c:pt>
                <c:pt idx="31">
                  <c:v>40575</c:v>
                </c:pt>
                <c:pt idx="32">
                  <c:v>40603</c:v>
                </c:pt>
                <c:pt idx="33">
                  <c:v>40634</c:v>
                </c:pt>
                <c:pt idx="34">
                  <c:v>40664</c:v>
                </c:pt>
                <c:pt idx="35">
                  <c:v>40695</c:v>
                </c:pt>
                <c:pt idx="36">
                  <c:v>40725</c:v>
                </c:pt>
                <c:pt idx="37">
                  <c:v>40756</c:v>
                </c:pt>
                <c:pt idx="38">
                  <c:v>40787</c:v>
                </c:pt>
                <c:pt idx="39">
                  <c:v>40817</c:v>
                </c:pt>
                <c:pt idx="40">
                  <c:v>40848</c:v>
                </c:pt>
                <c:pt idx="41">
                  <c:v>40878</c:v>
                </c:pt>
                <c:pt idx="42">
                  <c:v>40909</c:v>
                </c:pt>
                <c:pt idx="43">
                  <c:v>40940</c:v>
                </c:pt>
                <c:pt idx="44">
                  <c:v>40969</c:v>
                </c:pt>
                <c:pt idx="45">
                  <c:v>41000</c:v>
                </c:pt>
                <c:pt idx="46">
                  <c:v>41030</c:v>
                </c:pt>
                <c:pt idx="47">
                  <c:v>41061</c:v>
                </c:pt>
                <c:pt idx="48">
                  <c:v>41091</c:v>
                </c:pt>
                <c:pt idx="49">
                  <c:v>41122</c:v>
                </c:pt>
                <c:pt idx="50">
                  <c:v>41153</c:v>
                </c:pt>
                <c:pt idx="51">
                  <c:v>41183</c:v>
                </c:pt>
                <c:pt idx="52">
                  <c:v>41214</c:v>
                </c:pt>
                <c:pt idx="53">
                  <c:v>41244</c:v>
                </c:pt>
                <c:pt idx="54">
                  <c:v>41275</c:v>
                </c:pt>
                <c:pt idx="55">
                  <c:v>41306</c:v>
                </c:pt>
                <c:pt idx="56">
                  <c:v>41334</c:v>
                </c:pt>
                <c:pt idx="57">
                  <c:v>41365</c:v>
                </c:pt>
                <c:pt idx="58">
                  <c:v>41395</c:v>
                </c:pt>
                <c:pt idx="59">
                  <c:v>41426</c:v>
                </c:pt>
              </c:numCache>
            </c:numRef>
          </c:cat>
          <c:val>
            <c:numRef>
              <c:f>'3.4'!$N$6:$BU$6</c:f>
              <c:numCache>
                <c:formatCode>0</c:formatCode>
                <c:ptCount val="60"/>
                <c:pt idx="0">
                  <c:v>30</c:v>
                </c:pt>
                <c:pt idx="1">
                  <c:v>34</c:v>
                </c:pt>
                <c:pt idx="2">
                  <c:v>49</c:v>
                </c:pt>
                <c:pt idx="3">
                  <c:v>26</c:v>
                </c:pt>
                <c:pt idx="4">
                  <c:v>40</c:v>
                </c:pt>
                <c:pt idx="5">
                  <c:v>35</c:v>
                </c:pt>
                <c:pt idx="6">
                  <c:v>51</c:v>
                </c:pt>
                <c:pt idx="7">
                  <c:v>55</c:v>
                </c:pt>
                <c:pt idx="8">
                  <c:v>79</c:v>
                </c:pt>
                <c:pt idx="9">
                  <c:v>63</c:v>
                </c:pt>
                <c:pt idx="10">
                  <c:v>74</c:v>
                </c:pt>
                <c:pt idx="11">
                  <c:v>58</c:v>
                </c:pt>
                <c:pt idx="12">
                  <c:v>45</c:v>
                </c:pt>
                <c:pt idx="13">
                  <c:v>54</c:v>
                </c:pt>
                <c:pt idx="14">
                  <c:v>50</c:v>
                </c:pt>
                <c:pt idx="15">
                  <c:v>25</c:v>
                </c:pt>
                <c:pt idx="16">
                  <c:v>49</c:v>
                </c:pt>
                <c:pt idx="17">
                  <c:v>22</c:v>
                </c:pt>
                <c:pt idx="18">
                  <c:v>59</c:v>
                </c:pt>
                <c:pt idx="19">
                  <c:v>44</c:v>
                </c:pt>
                <c:pt idx="20">
                  <c:v>76</c:v>
                </c:pt>
                <c:pt idx="21">
                  <c:v>79</c:v>
                </c:pt>
                <c:pt idx="22">
                  <c:v>54</c:v>
                </c:pt>
                <c:pt idx="23">
                  <c:v>51</c:v>
                </c:pt>
                <c:pt idx="24">
                  <c:v>45</c:v>
                </c:pt>
                <c:pt idx="25">
                  <c:v>34</c:v>
                </c:pt>
                <c:pt idx="26">
                  <c:v>44</c:v>
                </c:pt>
                <c:pt idx="27">
                  <c:v>29</c:v>
                </c:pt>
                <c:pt idx="28">
                  <c:v>36</c:v>
                </c:pt>
                <c:pt idx="29">
                  <c:v>57</c:v>
                </c:pt>
                <c:pt idx="30">
                  <c:v>57</c:v>
                </c:pt>
                <c:pt idx="31">
                  <c:v>65</c:v>
                </c:pt>
                <c:pt idx="32">
                  <c:v>101</c:v>
                </c:pt>
                <c:pt idx="33">
                  <c:v>68</c:v>
                </c:pt>
                <c:pt idx="34">
                  <c:v>48</c:v>
                </c:pt>
                <c:pt idx="35">
                  <c:v>30</c:v>
                </c:pt>
                <c:pt idx="36">
                  <c:v>26</c:v>
                </c:pt>
                <c:pt idx="37">
                  <c:v>36</c:v>
                </c:pt>
                <c:pt idx="38">
                  <c:v>31</c:v>
                </c:pt>
                <c:pt idx="39">
                  <c:v>23</c:v>
                </c:pt>
                <c:pt idx="40">
                  <c:v>30</c:v>
                </c:pt>
                <c:pt idx="41">
                  <c:v>44</c:v>
                </c:pt>
                <c:pt idx="42">
                  <c:v>46</c:v>
                </c:pt>
                <c:pt idx="43">
                  <c:v>45</c:v>
                </c:pt>
                <c:pt idx="44">
                  <c:v>58</c:v>
                </c:pt>
                <c:pt idx="45">
                  <c:v>41</c:v>
                </c:pt>
                <c:pt idx="46">
                  <c:v>33</c:v>
                </c:pt>
                <c:pt idx="47">
                  <c:v>33</c:v>
                </c:pt>
                <c:pt idx="48">
                  <c:v>38</c:v>
                </c:pt>
                <c:pt idx="49">
                  <c:v>26</c:v>
                </c:pt>
                <c:pt idx="50">
                  <c:v>31</c:v>
                </c:pt>
                <c:pt idx="51">
                  <c:v>28</c:v>
                </c:pt>
                <c:pt idx="52">
                  <c:v>25</c:v>
                </c:pt>
                <c:pt idx="53">
                  <c:v>32</c:v>
                </c:pt>
                <c:pt idx="54">
                  <c:v>56</c:v>
                </c:pt>
                <c:pt idx="55">
                  <c:v>47</c:v>
                </c:pt>
                <c:pt idx="56">
                  <c:v>36</c:v>
                </c:pt>
                <c:pt idx="57">
                  <c:v>35</c:v>
                </c:pt>
                <c:pt idx="58">
                  <c:v>23</c:v>
                </c:pt>
                <c:pt idx="59">
                  <c:v>37</c:v>
                </c:pt>
              </c:numCache>
            </c:numRef>
          </c:val>
        </c:ser>
        <c:ser>
          <c:idx val="1"/>
          <c:order val="1"/>
          <c:tx>
            <c:v>NRF Level 3b</c:v>
          </c:tx>
          <c:marker>
            <c:symbol val="diamond"/>
            <c:size val="5"/>
          </c:marker>
          <c:cat>
            <c:numRef>
              <c:f>'3.4'!$N$5:$BU$5</c:f>
              <c:numCache>
                <c:formatCode>mmm\-yy</c:formatCode>
                <c:ptCount val="60"/>
                <c:pt idx="0">
                  <c:v>39630</c:v>
                </c:pt>
                <c:pt idx="1">
                  <c:v>39661</c:v>
                </c:pt>
                <c:pt idx="2">
                  <c:v>39692</c:v>
                </c:pt>
                <c:pt idx="3">
                  <c:v>39722</c:v>
                </c:pt>
                <c:pt idx="4">
                  <c:v>39753</c:v>
                </c:pt>
                <c:pt idx="5">
                  <c:v>39783</c:v>
                </c:pt>
                <c:pt idx="6">
                  <c:v>39814</c:v>
                </c:pt>
                <c:pt idx="7">
                  <c:v>39845</c:v>
                </c:pt>
                <c:pt idx="8">
                  <c:v>39873</c:v>
                </c:pt>
                <c:pt idx="9">
                  <c:v>39904</c:v>
                </c:pt>
                <c:pt idx="10">
                  <c:v>39934</c:v>
                </c:pt>
                <c:pt idx="11">
                  <c:v>39965</c:v>
                </c:pt>
                <c:pt idx="12">
                  <c:v>39995</c:v>
                </c:pt>
                <c:pt idx="13">
                  <c:v>40026</c:v>
                </c:pt>
                <c:pt idx="14">
                  <c:v>40057</c:v>
                </c:pt>
                <c:pt idx="15">
                  <c:v>40087</c:v>
                </c:pt>
                <c:pt idx="16">
                  <c:v>40118</c:v>
                </c:pt>
                <c:pt idx="17">
                  <c:v>40148</c:v>
                </c:pt>
                <c:pt idx="18">
                  <c:v>40179</c:v>
                </c:pt>
                <c:pt idx="19">
                  <c:v>40210</c:v>
                </c:pt>
                <c:pt idx="20">
                  <c:v>40238</c:v>
                </c:pt>
                <c:pt idx="21">
                  <c:v>40269</c:v>
                </c:pt>
                <c:pt idx="22">
                  <c:v>40299</c:v>
                </c:pt>
                <c:pt idx="23">
                  <c:v>40330</c:v>
                </c:pt>
                <c:pt idx="24">
                  <c:v>40360</c:v>
                </c:pt>
                <c:pt idx="25">
                  <c:v>40391</c:v>
                </c:pt>
                <c:pt idx="26">
                  <c:v>40422</c:v>
                </c:pt>
                <c:pt idx="27">
                  <c:v>40452</c:v>
                </c:pt>
                <c:pt idx="28">
                  <c:v>40483</c:v>
                </c:pt>
                <c:pt idx="29">
                  <c:v>40513</c:v>
                </c:pt>
                <c:pt idx="30">
                  <c:v>40544</c:v>
                </c:pt>
                <c:pt idx="31">
                  <c:v>40575</c:v>
                </c:pt>
                <c:pt idx="32">
                  <c:v>40603</c:v>
                </c:pt>
                <c:pt idx="33">
                  <c:v>40634</c:v>
                </c:pt>
                <c:pt idx="34">
                  <c:v>40664</c:v>
                </c:pt>
                <c:pt idx="35">
                  <c:v>40695</c:v>
                </c:pt>
                <c:pt idx="36">
                  <c:v>40725</c:v>
                </c:pt>
                <c:pt idx="37">
                  <c:v>40756</c:v>
                </c:pt>
                <c:pt idx="38">
                  <c:v>40787</c:v>
                </c:pt>
                <c:pt idx="39">
                  <c:v>40817</c:v>
                </c:pt>
                <c:pt idx="40">
                  <c:v>40848</c:v>
                </c:pt>
                <c:pt idx="41">
                  <c:v>40878</c:v>
                </c:pt>
                <c:pt idx="42">
                  <c:v>40909</c:v>
                </c:pt>
                <c:pt idx="43">
                  <c:v>40940</c:v>
                </c:pt>
                <c:pt idx="44">
                  <c:v>40969</c:v>
                </c:pt>
                <c:pt idx="45">
                  <c:v>41000</c:v>
                </c:pt>
                <c:pt idx="46">
                  <c:v>41030</c:v>
                </c:pt>
                <c:pt idx="47">
                  <c:v>41061</c:v>
                </c:pt>
                <c:pt idx="48">
                  <c:v>41091</c:v>
                </c:pt>
                <c:pt idx="49">
                  <c:v>41122</c:v>
                </c:pt>
                <c:pt idx="50">
                  <c:v>41153</c:v>
                </c:pt>
                <c:pt idx="51">
                  <c:v>41183</c:v>
                </c:pt>
                <c:pt idx="52">
                  <c:v>41214</c:v>
                </c:pt>
                <c:pt idx="53">
                  <c:v>41244</c:v>
                </c:pt>
                <c:pt idx="54">
                  <c:v>41275</c:v>
                </c:pt>
                <c:pt idx="55">
                  <c:v>41306</c:v>
                </c:pt>
                <c:pt idx="56">
                  <c:v>41334</c:v>
                </c:pt>
                <c:pt idx="57">
                  <c:v>41365</c:v>
                </c:pt>
                <c:pt idx="58">
                  <c:v>41395</c:v>
                </c:pt>
                <c:pt idx="59">
                  <c:v>41426</c:v>
                </c:pt>
              </c:numCache>
            </c:numRef>
          </c:cat>
          <c:val>
            <c:numRef>
              <c:f>'3.4'!$N$10:$BU$10</c:f>
              <c:numCache>
                <c:formatCode>General</c:formatCode>
                <c:ptCount val="60"/>
                <c:pt idx="0">
                  <c:v>110</c:v>
                </c:pt>
                <c:pt idx="1">
                  <c:v>81</c:v>
                </c:pt>
                <c:pt idx="2">
                  <c:v>110</c:v>
                </c:pt>
                <c:pt idx="3">
                  <c:v>132</c:v>
                </c:pt>
                <c:pt idx="4">
                  <c:v>137</c:v>
                </c:pt>
                <c:pt idx="5">
                  <c:v>127</c:v>
                </c:pt>
                <c:pt idx="6">
                  <c:v>148</c:v>
                </c:pt>
                <c:pt idx="7">
                  <c:v>157</c:v>
                </c:pt>
                <c:pt idx="8">
                  <c:v>162</c:v>
                </c:pt>
                <c:pt idx="9">
                  <c:v>162</c:v>
                </c:pt>
                <c:pt idx="10">
                  <c:v>194</c:v>
                </c:pt>
                <c:pt idx="11">
                  <c:v>205</c:v>
                </c:pt>
                <c:pt idx="12">
                  <c:v>156</c:v>
                </c:pt>
                <c:pt idx="13">
                  <c:v>140</c:v>
                </c:pt>
                <c:pt idx="14">
                  <c:v>152</c:v>
                </c:pt>
                <c:pt idx="15">
                  <c:v>153</c:v>
                </c:pt>
                <c:pt idx="16">
                  <c:v>142</c:v>
                </c:pt>
                <c:pt idx="17">
                  <c:v>158</c:v>
                </c:pt>
                <c:pt idx="18">
                  <c:v>187</c:v>
                </c:pt>
                <c:pt idx="19">
                  <c:v>183</c:v>
                </c:pt>
                <c:pt idx="20">
                  <c:v>245</c:v>
                </c:pt>
                <c:pt idx="21">
                  <c:v>223</c:v>
                </c:pt>
                <c:pt idx="22">
                  <c:v>198</c:v>
                </c:pt>
                <c:pt idx="23">
                  <c:v>172</c:v>
                </c:pt>
                <c:pt idx="24">
                  <c:v>150</c:v>
                </c:pt>
                <c:pt idx="25">
                  <c:v>182</c:v>
                </c:pt>
                <c:pt idx="26">
                  <c:v>137</c:v>
                </c:pt>
                <c:pt idx="27">
                  <c:v>167</c:v>
                </c:pt>
                <c:pt idx="28">
                  <c:v>212</c:v>
                </c:pt>
                <c:pt idx="29">
                  <c:v>249</c:v>
                </c:pt>
                <c:pt idx="30">
                  <c:v>246</c:v>
                </c:pt>
                <c:pt idx="31">
                  <c:v>192</c:v>
                </c:pt>
                <c:pt idx="32">
                  <c:v>281</c:v>
                </c:pt>
                <c:pt idx="33">
                  <c:v>180</c:v>
                </c:pt>
                <c:pt idx="34">
                  <c:v>229</c:v>
                </c:pt>
                <c:pt idx="35">
                  <c:v>177</c:v>
                </c:pt>
                <c:pt idx="36">
                  <c:v>163</c:v>
                </c:pt>
                <c:pt idx="37">
                  <c:v>173</c:v>
                </c:pt>
                <c:pt idx="38">
                  <c:v>169</c:v>
                </c:pt>
                <c:pt idx="39">
                  <c:v>163</c:v>
                </c:pt>
                <c:pt idx="40">
                  <c:v>187</c:v>
                </c:pt>
                <c:pt idx="41">
                  <c:v>176</c:v>
                </c:pt>
                <c:pt idx="42">
                  <c:v>236</c:v>
                </c:pt>
                <c:pt idx="43">
                  <c:v>240</c:v>
                </c:pt>
                <c:pt idx="44">
                  <c:v>272</c:v>
                </c:pt>
                <c:pt idx="45">
                  <c:v>188</c:v>
                </c:pt>
                <c:pt idx="46">
                  <c:v>217</c:v>
                </c:pt>
                <c:pt idx="47">
                  <c:v>181</c:v>
                </c:pt>
                <c:pt idx="48">
                  <c:v>157</c:v>
                </c:pt>
                <c:pt idx="49">
                  <c:v>128</c:v>
                </c:pt>
                <c:pt idx="50">
                  <c:v>160</c:v>
                </c:pt>
                <c:pt idx="51">
                  <c:v>166</c:v>
                </c:pt>
                <c:pt idx="52">
                  <c:v>154</c:v>
                </c:pt>
                <c:pt idx="53">
                  <c:v>187</c:v>
                </c:pt>
                <c:pt idx="54">
                  <c:v>218</c:v>
                </c:pt>
                <c:pt idx="55">
                  <c:v>221</c:v>
                </c:pt>
                <c:pt idx="56">
                  <c:v>177</c:v>
                </c:pt>
                <c:pt idx="57">
                  <c:v>206</c:v>
                </c:pt>
                <c:pt idx="58">
                  <c:v>180</c:v>
                </c:pt>
                <c:pt idx="59">
                  <c:v>183</c:v>
                </c:pt>
              </c:numCache>
            </c:numRef>
          </c:val>
        </c:ser>
        <c:marker val="1"/>
        <c:axId val="267576832"/>
        <c:axId val="267578368"/>
      </c:lineChart>
      <c:dateAx>
        <c:axId val="267576832"/>
        <c:scaling>
          <c:orientation val="minMax"/>
          <c:max val="41426"/>
          <c:min val="39600"/>
        </c:scaling>
        <c:axPos val="b"/>
        <c:numFmt formatCode="mmm\-yy" sourceLinked="1"/>
        <c:tickLblPos val="nextTo"/>
        <c:txPr>
          <a:bodyPr rot="-2700000"/>
          <a:lstStyle/>
          <a:p>
            <a:pPr>
              <a:defRPr sz="850"/>
            </a:pPr>
            <a:endParaRPr lang="en-US"/>
          </a:p>
        </c:txPr>
        <c:crossAx val="267578368"/>
        <c:crosses val="autoZero"/>
        <c:auto val="1"/>
        <c:lblOffset val="100"/>
        <c:majorUnit val="3"/>
        <c:majorTimeUnit val="months"/>
      </c:dateAx>
      <c:valAx>
        <c:axId val="267578368"/>
        <c:scaling>
          <c:orientation val="minMax"/>
        </c:scaling>
        <c:axPos val="l"/>
        <c:title>
          <c:tx>
            <c:rich>
              <a:bodyPr rot="-5400000" vert="horz"/>
              <a:lstStyle/>
              <a:p>
                <a:pPr>
                  <a:defRPr/>
                </a:pPr>
                <a:r>
                  <a:rPr lang="en-AU" b="0"/>
                  <a:t>Number</a:t>
                </a:r>
                <a:r>
                  <a:rPr lang="en-AU" b="0" baseline="0"/>
                  <a:t> of services</a:t>
                </a:r>
                <a:endParaRPr lang="en-AU" b="0"/>
              </a:p>
            </c:rich>
          </c:tx>
          <c:layout>
            <c:manualLayout>
              <c:xMode val="edge"/>
              <c:yMode val="edge"/>
              <c:x val="8.7627599001791727E-3"/>
              <c:y val="0.34912509856817509"/>
            </c:manualLayout>
          </c:layout>
        </c:title>
        <c:numFmt formatCode="0" sourceLinked="1"/>
        <c:tickLblPos val="nextTo"/>
        <c:crossAx val="267576832"/>
        <c:crosses val="autoZero"/>
        <c:crossBetween val="between"/>
      </c:valAx>
      <c:spPr>
        <a:noFill/>
        <a:ln w="25400">
          <a:noFill/>
        </a:ln>
      </c:spPr>
    </c:plotArea>
    <c:legend>
      <c:legendPos val="r"/>
      <c:layout>
        <c:manualLayout>
          <c:xMode val="edge"/>
          <c:yMode val="edge"/>
          <c:x val="0.16812652242144938"/>
          <c:y val="6.5340969807404808E-2"/>
          <c:w val="0.36018240762456316"/>
          <c:h val="6.5089846381329225E-2"/>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AU"/>
  <c:style val="7"/>
  <c:clrMapOvr bg1="lt1" tx1="dk1" bg2="lt2" tx2="dk2" accent1="accent1" accent2="accent2" accent3="accent3" accent4="accent4" accent5="accent5" accent6="accent6" hlink="hlink" folHlink="folHlink"/>
  <c:chart>
    <c:plotArea>
      <c:layout>
        <c:manualLayout>
          <c:layoutTarget val="inner"/>
          <c:xMode val="edge"/>
          <c:yMode val="edge"/>
          <c:x val="6.539259147603578E-2"/>
          <c:y val="3.6803073377036442E-2"/>
          <c:w val="0.91412324020539304"/>
          <c:h val="0.87509516428951928"/>
        </c:manualLayout>
      </c:layout>
      <c:barChart>
        <c:barDir val="col"/>
        <c:grouping val="clustered"/>
        <c:ser>
          <c:idx val="0"/>
          <c:order val="0"/>
          <c:spPr>
            <a:solidFill>
              <a:schemeClr val="accent1"/>
            </a:solidFill>
          </c:spPr>
          <c:dLbls>
            <c:showVal val="1"/>
          </c:dLbls>
          <c:cat>
            <c:strRef>
              <c:f>'3.5'!$A$5:$A$8</c:f>
              <c:strCache>
                <c:ptCount val="4"/>
                <c:pt idx="0">
                  <c:v>Very important</c:v>
                </c:pt>
                <c:pt idx="1">
                  <c:v>Somewhat important</c:v>
                </c:pt>
                <c:pt idx="2">
                  <c:v>Not very important</c:v>
                </c:pt>
                <c:pt idx="3">
                  <c:v>Not at all important</c:v>
                </c:pt>
              </c:strCache>
            </c:strRef>
          </c:cat>
          <c:val>
            <c:numRef>
              <c:f>'3.5'!$B$5:$B$8</c:f>
              <c:numCache>
                <c:formatCode>_-* #,##0_-;\-* #,##0_-;_-* "-"??_-;_-@_-</c:formatCode>
                <c:ptCount val="4"/>
                <c:pt idx="0">
                  <c:v>53</c:v>
                </c:pt>
                <c:pt idx="1">
                  <c:v>23</c:v>
                </c:pt>
                <c:pt idx="2">
                  <c:v>13</c:v>
                </c:pt>
                <c:pt idx="3">
                  <c:v>9</c:v>
                </c:pt>
              </c:numCache>
            </c:numRef>
          </c:val>
        </c:ser>
        <c:axId val="267607040"/>
        <c:axId val="267617024"/>
      </c:barChart>
      <c:catAx>
        <c:axId val="267607040"/>
        <c:scaling>
          <c:orientation val="minMax"/>
        </c:scaling>
        <c:axPos val="b"/>
        <c:numFmt formatCode="General" sourceLinked="1"/>
        <c:tickLblPos val="nextTo"/>
        <c:crossAx val="267617024"/>
        <c:crosses val="autoZero"/>
        <c:auto val="1"/>
        <c:lblAlgn val="ctr"/>
        <c:lblOffset val="100"/>
      </c:catAx>
      <c:valAx>
        <c:axId val="267617024"/>
        <c:scaling>
          <c:orientation val="minMax"/>
        </c:scaling>
        <c:delete val="1"/>
        <c:axPos val="l"/>
        <c:title>
          <c:tx>
            <c:rich>
              <a:bodyPr rot="-5400000" vert="horz"/>
              <a:lstStyle/>
              <a:p>
                <a:pPr>
                  <a:defRPr b="0"/>
                </a:pPr>
                <a:r>
                  <a:rPr lang="en-AU" b="0"/>
                  <a:t>%</a:t>
                </a:r>
                <a:r>
                  <a:rPr lang="en-AU" b="0" baseline="0"/>
                  <a:t> of Australians aged 18 years and over</a:t>
                </a:r>
                <a:endParaRPr lang="en-AU" b="0"/>
              </a:p>
            </c:rich>
          </c:tx>
          <c:layout>
            <c:manualLayout>
              <c:xMode val="edge"/>
              <c:yMode val="edge"/>
              <c:x val="4.4383132069445032E-2"/>
              <c:y val="8.3860046424255069E-2"/>
            </c:manualLayout>
          </c:layout>
        </c:title>
        <c:numFmt formatCode="_-* #,##0_-;\-* #,##0_-;_-* &quot;-&quot;??_-;_-@_-" sourceLinked="1"/>
        <c:tickLblPos val="none"/>
        <c:crossAx val="267607040"/>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AU"/>
  <c:style val="3"/>
  <c:clrMapOvr bg1="lt1" tx1="dk1" bg2="lt2" tx2="dk2" accent1="accent1" accent2="accent2" accent3="accent3" accent4="accent4" accent5="accent5" accent6="accent6" hlink="hlink" folHlink="folHlink"/>
  <c:chart>
    <c:plotArea>
      <c:layout/>
      <c:pieChart>
        <c:varyColors val="1"/>
        <c:ser>
          <c:idx val="0"/>
          <c:order val="0"/>
          <c:dPt>
            <c:idx val="0"/>
            <c:spPr>
              <a:solidFill>
                <a:schemeClr val="accent3"/>
              </a:solidFill>
            </c:spPr>
          </c:dPt>
          <c:dLbls>
            <c:dLbl>
              <c:idx val="0"/>
              <c:tx>
                <c:rich>
                  <a:bodyPr/>
                  <a:lstStyle/>
                  <a:p>
                    <a:r>
                      <a:rPr lang="en-US"/>
                      <a:t> 14 million</a:t>
                    </a:r>
                  </a:p>
                </c:rich>
              </c:tx>
              <c:showVal val="1"/>
            </c:dLbl>
            <c:dLbl>
              <c:idx val="1"/>
              <c:layout>
                <c:manualLayout>
                  <c:x val="-0.18697024196351655"/>
                  <c:y val="-0.22966584914590593"/>
                </c:manualLayout>
              </c:layout>
              <c:tx>
                <c:rich>
                  <a:bodyPr/>
                  <a:lstStyle/>
                  <a:p>
                    <a:pPr>
                      <a:defRPr>
                        <a:solidFill>
                          <a:schemeClr val="bg1"/>
                        </a:solidFill>
                      </a:defRPr>
                    </a:pPr>
                    <a:r>
                      <a:rPr lang="en-US"/>
                      <a:t> 1,007</a:t>
                    </a:r>
                    <a:r>
                      <a:rPr lang="en-US" baseline="0"/>
                      <a:t> </a:t>
                    </a:r>
                    <a:r>
                      <a:rPr lang="en-US"/>
                      <a:t>million </a:t>
                    </a:r>
                  </a:p>
                </c:rich>
              </c:tx>
              <c:spPr/>
              <c:showVal val="1"/>
            </c:dLbl>
            <c:dLbl>
              <c:idx val="2"/>
              <c:tx>
                <c:rich>
                  <a:bodyPr/>
                  <a:lstStyle/>
                  <a:p>
                    <a:r>
                      <a:rPr lang="en-US"/>
                      <a:t> 230 million</a:t>
                    </a:r>
                  </a:p>
                </c:rich>
              </c:tx>
              <c:showVal val="1"/>
            </c:dLbl>
            <c:showVal val="1"/>
            <c:showLeaderLines val="1"/>
          </c:dLbls>
          <c:cat>
            <c:strRef>
              <c:f>'3.6'!$A$1:$A$3</c:f>
              <c:strCache>
                <c:ptCount val="3"/>
                <c:pt idx="0">
                  <c:v>Real time access—for small quantities of numbers  (1%)</c:v>
                </c:pt>
                <c:pt idx="1">
                  <c:v>Manual file upload—for large quantities of numbers (81%)</c:v>
                </c:pt>
                <c:pt idx="2">
                  <c:v>Automated washing service—for large quantities of numbers (18%)</c:v>
                </c:pt>
              </c:strCache>
            </c:strRef>
          </c:cat>
          <c:val>
            <c:numRef>
              <c:f>'3.6'!$B$1:$B$3</c:f>
              <c:numCache>
                <c:formatCode>_-* #,##0_-;\-* #,##0_-;_-* "-"??_-;_-@_-</c:formatCode>
                <c:ptCount val="3"/>
                <c:pt idx="0">
                  <c:v>14405660</c:v>
                </c:pt>
                <c:pt idx="1">
                  <c:v>1007064723</c:v>
                </c:pt>
                <c:pt idx="2">
                  <c:v>229901729</c:v>
                </c:pt>
              </c:numCache>
            </c:numRef>
          </c:val>
        </c:ser>
        <c:firstSliceAng val="0"/>
      </c:pieChart>
    </c:plotArea>
    <c:legend>
      <c:legendPos val="r"/>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clustered"/>
        <c:ser>
          <c:idx val="0"/>
          <c:order val="0"/>
          <c:dLbls>
            <c:showVal val="1"/>
          </c:dLbls>
          <c:cat>
            <c:strRef>
              <c:f>'3.7'!$A$5:$A$9</c:f>
              <c:strCache>
                <c:ptCount val="5"/>
                <c:pt idx="0">
                  <c:v>2008–09</c:v>
                </c:pt>
                <c:pt idx="1">
                  <c:v>2009–10</c:v>
                </c:pt>
                <c:pt idx="2">
                  <c:v>2010–11</c:v>
                </c:pt>
                <c:pt idx="3">
                  <c:v>2011–12</c:v>
                </c:pt>
                <c:pt idx="4">
                  <c:v>2012–13</c:v>
                </c:pt>
              </c:strCache>
            </c:strRef>
          </c:cat>
          <c:val>
            <c:numRef>
              <c:f>'3.7'!$B$5:$B$9</c:f>
              <c:numCache>
                <c:formatCode>#,##0</c:formatCode>
                <c:ptCount val="5"/>
                <c:pt idx="0">
                  <c:v>10644</c:v>
                </c:pt>
                <c:pt idx="1">
                  <c:v>11323</c:v>
                </c:pt>
                <c:pt idx="2">
                  <c:v>19709</c:v>
                </c:pt>
                <c:pt idx="3">
                  <c:v>21976</c:v>
                </c:pt>
                <c:pt idx="4">
                  <c:v>19677</c:v>
                </c:pt>
              </c:numCache>
            </c:numRef>
          </c:val>
        </c:ser>
        <c:axId val="267889664"/>
        <c:axId val="267891456"/>
      </c:barChart>
      <c:catAx>
        <c:axId val="267889664"/>
        <c:scaling>
          <c:orientation val="minMax"/>
        </c:scaling>
        <c:axPos val="b"/>
        <c:numFmt formatCode="General" sourceLinked="1"/>
        <c:tickLblPos val="nextTo"/>
        <c:crossAx val="267891456"/>
        <c:crosses val="autoZero"/>
        <c:auto val="1"/>
        <c:lblAlgn val="ctr"/>
        <c:lblOffset val="100"/>
      </c:catAx>
      <c:valAx>
        <c:axId val="267891456"/>
        <c:scaling>
          <c:orientation val="minMax"/>
        </c:scaling>
        <c:delete val="1"/>
        <c:axPos val="l"/>
        <c:numFmt formatCode="#,##0" sourceLinked="0"/>
        <c:tickLblPos val="none"/>
        <c:crossAx val="267889664"/>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bar"/>
        <c:grouping val="clustered"/>
        <c:ser>
          <c:idx val="0"/>
          <c:order val="0"/>
          <c:dLbls>
            <c:numFmt formatCode="#,##0" sourceLinked="0"/>
            <c:showVal val="1"/>
          </c:dLbls>
          <c:cat>
            <c:strRef>
              <c:f>'3.8'!$C$7:$C$9</c:f>
              <c:strCache>
                <c:ptCount val="3"/>
                <c:pt idx="0">
                  <c:v>Fax Marketing Standard</c:v>
                </c:pt>
                <c:pt idx="1">
                  <c:v>Telemarketing and Research Standard</c:v>
                </c:pt>
                <c:pt idx="2">
                  <c:v>Do Not Call Register Act</c:v>
                </c:pt>
              </c:strCache>
            </c:strRef>
          </c:cat>
          <c:val>
            <c:numRef>
              <c:f>'3.8'!$D$7:$D$9</c:f>
              <c:numCache>
                <c:formatCode>General</c:formatCode>
                <c:ptCount val="3"/>
                <c:pt idx="0">
                  <c:v>0.8</c:v>
                </c:pt>
                <c:pt idx="1">
                  <c:v>42.2</c:v>
                </c:pt>
                <c:pt idx="2">
                  <c:v>77.5</c:v>
                </c:pt>
              </c:numCache>
            </c:numRef>
          </c:val>
        </c:ser>
        <c:axId val="267661312"/>
        <c:axId val="267662848"/>
      </c:barChart>
      <c:catAx>
        <c:axId val="267661312"/>
        <c:scaling>
          <c:orientation val="minMax"/>
        </c:scaling>
        <c:axPos val="l"/>
        <c:numFmt formatCode="General" sourceLinked="1"/>
        <c:tickLblPos val="nextTo"/>
        <c:crossAx val="267662848"/>
        <c:crosses val="autoZero"/>
        <c:auto val="1"/>
        <c:lblAlgn val="ctr"/>
        <c:lblOffset val="100"/>
      </c:catAx>
      <c:valAx>
        <c:axId val="267662848"/>
        <c:scaling>
          <c:orientation val="minMax"/>
        </c:scaling>
        <c:delete val="1"/>
        <c:axPos val="b"/>
        <c:title>
          <c:tx>
            <c:rich>
              <a:bodyPr/>
              <a:lstStyle/>
              <a:p>
                <a:pPr>
                  <a:defRPr b="0"/>
                </a:pPr>
                <a:r>
                  <a:rPr lang="en-US" b="0"/>
                  <a:t>% of total complaints</a:t>
                </a:r>
              </a:p>
            </c:rich>
          </c:tx>
        </c:title>
        <c:numFmt formatCode="General" sourceLinked="1"/>
        <c:tickLblPos val="none"/>
        <c:crossAx val="267661312"/>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0.14929042801186682"/>
          <c:y val="0.15638846971643475"/>
          <c:w val="0.80892558741738174"/>
          <c:h val="0.71359930115479664"/>
        </c:manualLayout>
      </c:layout>
      <c:lineChart>
        <c:grouping val="standard"/>
        <c:ser>
          <c:idx val="0"/>
          <c:order val="0"/>
          <c:tx>
            <c:strRef>
              <c:f>'3.9'!$B$5</c:f>
              <c:strCache>
                <c:ptCount val="1"/>
                <c:pt idx="0">
                  <c:v>Mobile phone</c:v>
                </c:pt>
              </c:strCache>
            </c:strRef>
          </c:tx>
          <c:cat>
            <c:strRef>
              <c:f>'3.9'!$C$4:$H$4</c:f>
              <c:strCache>
                <c:ptCount val="6"/>
                <c:pt idx="0">
                  <c:v>2007–08</c:v>
                </c:pt>
                <c:pt idx="1">
                  <c:v>2008–09</c:v>
                </c:pt>
                <c:pt idx="2">
                  <c:v>2009–10</c:v>
                </c:pt>
                <c:pt idx="3">
                  <c:v>2010–11</c:v>
                </c:pt>
                <c:pt idx="4">
                  <c:v>2011–12</c:v>
                </c:pt>
                <c:pt idx="5">
                  <c:v>2012–13</c:v>
                </c:pt>
              </c:strCache>
            </c:strRef>
          </c:cat>
          <c:val>
            <c:numRef>
              <c:f>'3.9'!$C$5:$H$5</c:f>
              <c:numCache>
                <c:formatCode>_-* #,##0_-;\-* #,##0_-;_-* "-"??_-;_-@_-</c:formatCode>
                <c:ptCount val="6"/>
                <c:pt idx="0">
                  <c:v>37350</c:v>
                </c:pt>
                <c:pt idx="1">
                  <c:v>65125</c:v>
                </c:pt>
                <c:pt idx="2">
                  <c:v>74227</c:v>
                </c:pt>
                <c:pt idx="3">
                  <c:v>112375</c:v>
                </c:pt>
                <c:pt idx="4">
                  <c:v>122834</c:v>
                </c:pt>
                <c:pt idx="5">
                  <c:v>91331</c:v>
                </c:pt>
              </c:numCache>
            </c:numRef>
          </c:val>
        </c:ser>
        <c:ser>
          <c:idx val="1"/>
          <c:order val="1"/>
          <c:tx>
            <c:strRef>
              <c:f>'3.9'!$B$6</c:f>
              <c:strCache>
                <c:ptCount val="1"/>
                <c:pt idx="0">
                  <c:v>Fixed-line</c:v>
                </c:pt>
              </c:strCache>
            </c:strRef>
          </c:tx>
          <c:cat>
            <c:strRef>
              <c:f>'3.9'!$C$4:$H$4</c:f>
              <c:strCache>
                <c:ptCount val="6"/>
                <c:pt idx="0">
                  <c:v>2007–08</c:v>
                </c:pt>
                <c:pt idx="1">
                  <c:v>2008–09</c:v>
                </c:pt>
                <c:pt idx="2">
                  <c:v>2009–10</c:v>
                </c:pt>
                <c:pt idx="3">
                  <c:v>2010–11</c:v>
                </c:pt>
                <c:pt idx="4">
                  <c:v>2011–12</c:v>
                </c:pt>
                <c:pt idx="5">
                  <c:v>2012–13</c:v>
                </c:pt>
              </c:strCache>
            </c:strRef>
          </c:cat>
          <c:val>
            <c:numRef>
              <c:f>'3.9'!$C$6:$H$6</c:f>
              <c:numCache>
                <c:formatCode>_-* #,##0_-;\-* #,##0_-;_-* "-"??_-;_-@_-</c:formatCode>
                <c:ptCount val="6"/>
                <c:pt idx="0">
                  <c:v>42363</c:v>
                </c:pt>
                <c:pt idx="1">
                  <c:v>55667</c:v>
                </c:pt>
                <c:pt idx="2">
                  <c:v>46859</c:v>
                </c:pt>
                <c:pt idx="3">
                  <c:v>46040</c:v>
                </c:pt>
                <c:pt idx="4">
                  <c:v>37425</c:v>
                </c:pt>
                <c:pt idx="5">
                  <c:v>33940</c:v>
                </c:pt>
              </c:numCache>
            </c:numRef>
          </c:val>
        </c:ser>
        <c:ser>
          <c:idx val="2"/>
          <c:order val="2"/>
          <c:tx>
            <c:strRef>
              <c:f>'3.9'!$B$7</c:f>
              <c:strCache>
                <c:ptCount val="1"/>
                <c:pt idx="0">
                  <c:v>Internet</c:v>
                </c:pt>
              </c:strCache>
            </c:strRef>
          </c:tx>
          <c:cat>
            <c:strRef>
              <c:f>'3.9'!$C$4:$H$4</c:f>
              <c:strCache>
                <c:ptCount val="6"/>
                <c:pt idx="0">
                  <c:v>2007–08</c:v>
                </c:pt>
                <c:pt idx="1">
                  <c:v>2008–09</c:v>
                </c:pt>
                <c:pt idx="2">
                  <c:v>2009–10</c:v>
                </c:pt>
                <c:pt idx="3">
                  <c:v>2010–11</c:v>
                </c:pt>
                <c:pt idx="4">
                  <c:v>2011–12</c:v>
                </c:pt>
                <c:pt idx="5">
                  <c:v>2012–13</c:v>
                </c:pt>
              </c:strCache>
            </c:strRef>
          </c:cat>
          <c:val>
            <c:numRef>
              <c:f>'3.9'!$C$7:$H$7</c:f>
              <c:numCache>
                <c:formatCode>_-* #,##0_-;\-* #,##0_-;_-* "-"??_-;_-@_-</c:formatCode>
                <c:ptCount val="6"/>
                <c:pt idx="0">
                  <c:v>27232</c:v>
                </c:pt>
                <c:pt idx="1">
                  <c:v>41560</c:v>
                </c:pt>
                <c:pt idx="2">
                  <c:v>42685</c:v>
                </c:pt>
                <c:pt idx="3">
                  <c:v>37092</c:v>
                </c:pt>
                <c:pt idx="4">
                  <c:v>30856</c:v>
                </c:pt>
                <c:pt idx="5">
                  <c:v>31431</c:v>
                </c:pt>
              </c:numCache>
            </c:numRef>
          </c:val>
        </c:ser>
        <c:ser>
          <c:idx val="3"/>
          <c:order val="3"/>
          <c:tx>
            <c:strRef>
              <c:f>'3.9'!$B$8</c:f>
              <c:strCache>
                <c:ptCount val="1"/>
                <c:pt idx="0">
                  <c:v>Mobile premium services</c:v>
                </c:pt>
              </c:strCache>
            </c:strRef>
          </c:tx>
          <c:cat>
            <c:strRef>
              <c:f>'3.9'!$C$4:$H$4</c:f>
              <c:strCache>
                <c:ptCount val="6"/>
                <c:pt idx="0">
                  <c:v>2007–08</c:v>
                </c:pt>
                <c:pt idx="1">
                  <c:v>2008–09</c:v>
                </c:pt>
                <c:pt idx="2">
                  <c:v>2009–10</c:v>
                </c:pt>
                <c:pt idx="3">
                  <c:v>2010–11</c:v>
                </c:pt>
                <c:pt idx="4">
                  <c:v>2011–12</c:v>
                </c:pt>
                <c:pt idx="5">
                  <c:v>2012–13</c:v>
                </c:pt>
              </c:strCache>
            </c:strRef>
          </c:cat>
          <c:val>
            <c:numRef>
              <c:f>'3.9'!$C$8:$H$8</c:f>
              <c:numCache>
                <c:formatCode>_-* #,##0_-;\-* #,##0_-;_-* "-"??_-;_-@_-</c:formatCode>
                <c:ptCount val="6"/>
                <c:pt idx="0">
                  <c:v>12304</c:v>
                </c:pt>
                <c:pt idx="1">
                  <c:v>13594</c:v>
                </c:pt>
                <c:pt idx="2">
                  <c:v>4001</c:v>
                </c:pt>
                <c:pt idx="3">
                  <c:v>2174</c:v>
                </c:pt>
                <c:pt idx="4">
                  <c:v>2587</c:v>
                </c:pt>
                <c:pt idx="5">
                  <c:v>1950</c:v>
                </c:pt>
              </c:numCache>
            </c:numRef>
          </c:val>
        </c:ser>
        <c:marker val="1"/>
        <c:axId val="267713536"/>
        <c:axId val="268043008"/>
      </c:lineChart>
      <c:catAx>
        <c:axId val="267713536"/>
        <c:scaling>
          <c:orientation val="minMax"/>
        </c:scaling>
        <c:axPos val="b"/>
        <c:numFmt formatCode="General" sourceLinked="1"/>
        <c:tickLblPos val="nextTo"/>
        <c:crossAx val="268043008"/>
        <c:crosses val="autoZero"/>
        <c:auto val="1"/>
        <c:lblAlgn val="ctr"/>
        <c:lblOffset val="100"/>
      </c:catAx>
      <c:valAx>
        <c:axId val="268043008"/>
        <c:scaling>
          <c:orientation val="minMax"/>
        </c:scaling>
        <c:axPos val="l"/>
        <c:title>
          <c:tx>
            <c:rich>
              <a:bodyPr rot="-5400000" vert="horz"/>
              <a:lstStyle/>
              <a:p>
                <a:pPr>
                  <a:defRPr b="0"/>
                </a:pPr>
                <a:r>
                  <a:rPr lang="en-AU" b="0"/>
                  <a:t>Number of complaints</a:t>
                </a:r>
              </a:p>
            </c:rich>
          </c:tx>
          <c:layout>
            <c:manualLayout>
              <c:xMode val="edge"/>
              <c:yMode val="edge"/>
              <c:x val="1.6886033765663576E-2"/>
              <c:y val="0.32704133781697131"/>
            </c:manualLayout>
          </c:layout>
        </c:title>
        <c:numFmt formatCode="_-* #,##0_-;\-* #,##0_-;_-* &quot;-&quot;??_-;_-@_-" sourceLinked="1"/>
        <c:tickLblPos val="nextTo"/>
        <c:crossAx val="267713536"/>
        <c:crosses val="autoZero"/>
        <c:crossBetween val="between"/>
      </c:valAx>
    </c:plotArea>
    <c:legend>
      <c:legendPos val="t"/>
      <c:layout>
        <c:manualLayout>
          <c:xMode val="edge"/>
          <c:yMode val="edge"/>
          <c:x val="0.23528974741027694"/>
          <c:y val="2.5233133289556599E-2"/>
          <c:w val="0.69209880194480211"/>
          <c:h val="6.7076092467181214E-2"/>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percentStacked"/>
        <c:ser>
          <c:idx val="0"/>
          <c:order val="0"/>
          <c:tx>
            <c:strRef>
              <c:f>'3.10'!$B$6</c:f>
              <c:strCache>
                <c:ptCount val="1"/>
                <c:pt idx="0">
                  <c:v>Very satisfied</c:v>
                </c:pt>
              </c:strCache>
            </c:strRef>
          </c:tx>
          <c:dLbls>
            <c:txPr>
              <a:bodyPr/>
              <a:lstStyle/>
              <a:p>
                <a:pPr>
                  <a:defRPr>
                    <a:solidFill>
                      <a:schemeClr val="bg1"/>
                    </a:solidFill>
                  </a:defRPr>
                </a:pPr>
                <a:endParaRPr lang="en-US"/>
              </a:p>
            </c:txPr>
            <c:showVal val="1"/>
          </c:dLbls>
          <c:cat>
            <c:multiLvlStrRef>
              <c:f>'3.10'!$C$4:$J$5</c:f>
              <c:multiLvlStrCache>
                <c:ptCount val="8"/>
                <c:lvl>
                  <c:pt idx="0">
                    <c:v>2012</c:v>
                  </c:pt>
                  <c:pt idx="1">
                    <c:v>2013</c:v>
                  </c:pt>
                  <c:pt idx="2">
                    <c:v>2012</c:v>
                  </c:pt>
                  <c:pt idx="3">
                    <c:v>2013</c:v>
                  </c:pt>
                  <c:pt idx="4">
                    <c:v>2012</c:v>
                  </c:pt>
                  <c:pt idx="5">
                    <c:v>2013</c:v>
                  </c:pt>
                  <c:pt idx="6">
                    <c:v>2012</c:v>
                  </c:pt>
                  <c:pt idx="7">
                    <c:v>2013</c:v>
                  </c:pt>
                </c:lvl>
                <c:lvl>
                  <c:pt idx="0">
                    <c:v>Fixed-line</c:v>
                  </c:pt>
                  <c:pt idx="2">
                    <c:v>Mobile telephone</c:v>
                  </c:pt>
                  <c:pt idx="4">
                    <c:v>Internet*</c:v>
                  </c:pt>
                  <c:pt idx="6">
                    <c:v>VoIP</c:v>
                  </c:pt>
                </c:lvl>
              </c:multiLvlStrCache>
            </c:multiLvlStrRef>
          </c:cat>
          <c:val>
            <c:numRef>
              <c:f>'3.10'!$C$6:$J$6</c:f>
              <c:numCache>
                <c:formatCode>0</c:formatCode>
                <c:ptCount val="8"/>
                <c:pt idx="0">
                  <c:v>45</c:v>
                </c:pt>
                <c:pt idx="1">
                  <c:v>28.902316213494462</c:v>
                </c:pt>
                <c:pt idx="2">
                  <c:v>31</c:v>
                </c:pt>
                <c:pt idx="3">
                  <c:v>24.020100502512562</c:v>
                </c:pt>
                <c:pt idx="4">
                  <c:v>32.897384305835004</c:v>
                </c:pt>
                <c:pt idx="5">
                  <c:v>30.653266331658291</c:v>
                </c:pt>
                <c:pt idx="6">
                  <c:v>25.2</c:v>
                </c:pt>
                <c:pt idx="7">
                  <c:v>16.7</c:v>
                </c:pt>
              </c:numCache>
            </c:numRef>
          </c:val>
        </c:ser>
        <c:ser>
          <c:idx val="1"/>
          <c:order val="1"/>
          <c:tx>
            <c:strRef>
              <c:f>'3.10'!$B$7</c:f>
              <c:strCache>
                <c:ptCount val="1"/>
                <c:pt idx="0">
                  <c:v>Satisfied</c:v>
                </c:pt>
              </c:strCache>
            </c:strRef>
          </c:tx>
          <c:spPr>
            <a:solidFill>
              <a:schemeClr val="bg2">
                <a:lumMod val="75000"/>
              </a:schemeClr>
            </a:solidFill>
          </c:spPr>
          <c:dLbls>
            <c:showVal val="1"/>
          </c:dLbls>
          <c:cat>
            <c:multiLvlStrRef>
              <c:f>'3.10'!$C$4:$J$5</c:f>
              <c:multiLvlStrCache>
                <c:ptCount val="8"/>
                <c:lvl>
                  <c:pt idx="0">
                    <c:v>2012</c:v>
                  </c:pt>
                  <c:pt idx="1">
                    <c:v>2013</c:v>
                  </c:pt>
                  <c:pt idx="2">
                    <c:v>2012</c:v>
                  </c:pt>
                  <c:pt idx="3">
                    <c:v>2013</c:v>
                  </c:pt>
                  <c:pt idx="4">
                    <c:v>2012</c:v>
                  </c:pt>
                  <c:pt idx="5">
                    <c:v>2013</c:v>
                  </c:pt>
                  <c:pt idx="6">
                    <c:v>2012</c:v>
                  </c:pt>
                  <c:pt idx="7">
                    <c:v>2013</c:v>
                  </c:pt>
                </c:lvl>
                <c:lvl>
                  <c:pt idx="0">
                    <c:v>Fixed-line</c:v>
                  </c:pt>
                  <c:pt idx="2">
                    <c:v>Mobile telephone</c:v>
                  </c:pt>
                  <c:pt idx="4">
                    <c:v>Internet*</c:v>
                  </c:pt>
                  <c:pt idx="6">
                    <c:v>VoIP</c:v>
                  </c:pt>
                </c:lvl>
              </c:multiLvlStrCache>
            </c:multiLvlStrRef>
          </c:cat>
          <c:val>
            <c:numRef>
              <c:f>'3.10'!$C$7:$J$7</c:f>
              <c:numCache>
                <c:formatCode>0</c:formatCode>
                <c:ptCount val="8"/>
                <c:pt idx="0">
                  <c:v>33</c:v>
                </c:pt>
                <c:pt idx="1">
                  <c:v>42.195367573011076</c:v>
                </c:pt>
                <c:pt idx="2">
                  <c:v>42</c:v>
                </c:pt>
                <c:pt idx="3">
                  <c:v>45.226130653266324</c:v>
                </c:pt>
                <c:pt idx="4">
                  <c:v>43.058350100603604</c:v>
                </c:pt>
                <c:pt idx="5">
                  <c:v>45.326633165829143</c:v>
                </c:pt>
                <c:pt idx="6">
                  <c:v>39.1</c:v>
                </c:pt>
                <c:pt idx="7">
                  <c:v>37.800000000000004</c:v>
                </c:pt>
              </c:numCache>
            </c:numRef>
          </c:val>
        </c:ser>
        <c:ser>
          <c:idx val="2"/>
          <c:order val="2"/>
          <c:tx>
            <c:strRef>
              <c:f>'3.10'!$B$8</c:f>
              <c:strCache>
                <c:ptCount val="1"/>
                <c:pt idx="0">
                  <c:v>Neither satisfied nor dissatisfied</c:v>
                </c:pt>
              </c:strCache>
            </c:strRef>
          </c:tx>
          <c:spPr>
            <a:solidFill>
              <a:schemeClr val="accent6"/>
            </a:solidFill>
          </c:spPr>
          <c:dLbls>
            <c:txPr>
              <a:bodyPr/>
              <a:lstStyle/>
              <a:p>
                <a:pPr>
                  <a:defRPr>
                    <a:solidFill>
                      <a:schemeClr val="bg1"/>
                    </a:solidFill>
                  </a:defRPr>
                </a:pPr>
                <a:endParaRPr lang="en-US"/>
              </a:p>
            </c:txPr>
            <c:showVal val="1"/>
          </c:dLbls>
          <c:cat>
            <c:multiLvlStrRef>
              <c:f>'3.10'!$C$4:$J$5</c:f>
              <c:multiLvlStrCache>
                <c:ptCount val="8"/>
                <c:lvl>
                  <c:pt idx="0">
                    <c:v>2012</c:v>
                  </c:pt>
                  <c:pt idx="1">
                    <c:v>2013</c:v>
                  </c:pt>
                  <c:pt idx="2">
                    <c:v>2012</c:v>
                  </c:pt>
                  <c:pt idx="3">
                    <c:v>2013</c:v>
                  </c:pt>
                  <c:pt idx="4">
                    <c:v>2012</c:v>
                  </c:pt>
                  <c:pt idx="5">
                    <c:v>2013</c:v>
                  </c:pt>
                  <c:pt idx="6">
                    <c:v>2012</c:v>
                  </c:pt>
                  <c:pt idx="7">
                    <c:v>2013</c:v>
                  </c:pt>
                </c:lvl>
                <c:lvl>
                  <c:pt idx="0">
                    <c:v>Fixed-line</c:v>
                  </c:pt>
                  <c:pt idx="2">
                    <c:v>Mobile telephone</c:v>
                  </c:pt>
                  <c:pt idx="4">
                    <c:v>Internet*</c:v>
                  </c:pt>
                  <c:pt idx="6">
                    <c:v>VoIP</c:v>
                  </c:pt>
                </c:lvl>
              </c:multiLvlStrCache>
            </c:multiLvlStrRef>
          </c:cat>
          <c:val>
            <c:numRef>
              <c:f>'3.10'!$C$8:$J$8</c:f>
              <c:numCache>
                <c:formatCode>0</c:formatCode>
                <c:ptCount val="8"/>
                <c:pt idx="0">
                  <c:v>15.000000000000002</c:v>
                </c:pt>
                <c:pt idx="1">
                  <c:v>20.140986908358531</c:v>
                </c:pt>
                <c:pt idx="2">
                  <c:v>19</c:v>
                </c:pt>
                <c:pt idx="3">
                  <c:v>21.708542713567489</c:v>
                </c:pt>
                <c:pt idx="4">
                  <c:v>16.398390342052313</c:v>
                </c:pt>
                <c:pt idx="5">
                  <c:v>16.482412060301094</c:v>
                </c:pt>
                <c:pt idx="6">
                  <c:v>28.799999999999986</c:v>
                </c:pt>
                <c:pt idx="7">
                  <c:v>33</c:v>
                </c:pt>
              </c:numCache>
            </c:numRef>
          </c:val>
        </c:ser>
        <c:ser>
          <c:idx val="3"/>
          <c:order val="3"/>
          <c:tx>
            <c:strRef>
              <c:f>'3.10'!$B$9</c:f>
              <c:strCache>
                <c:ptCount val="1"/>
                <c:pt idx="0">
                  <c:v>Dissatisfied</c:v>
                </c:pt>
              </c:strCache>
            </c:strRef>
          </c:tx>
          <c:spPr>
            <a:solidFill>
              <a:schemeClr val="accent2"/>
            </a:solidFill>
          </c:spPr>
          <c:dLbls>
            <c:showVal val="1"/>
          </c:dLbls>
          <c:cat>
            <c:multiLvlStrRef>
              <c:f>'3.10'!$C$4:$J$5</c:f>
              <c:multiLvlStrCache>
                <c:ptCount val="8"/>
                <c:lvl>
                  <c:pt idx="0">
                    <c:v>2012</c:v>
                  </c:pt>
                  <c:pt idx="1">
                    <c:v>2013</c:v>
                  </c:pt>
                  <c:pt idx="2">
                    <c:v>2012</c:v>
                  </c:pt>
                  <c:pt idx="3">
                    <c:v>2013</c:v>
                  </c:pt>
                  <c:pt idx="4">
                    <c:v>2012</c:v>
                  </c:pt>
                  <c:pt idx="5">
                    <c:v>2013</c:v>
                  </c:pt>
                  <c:pt idx="6">
                    <c:v>2012</c:v>
                  </c:pt>
                  <c:pt idx="7">
                    <c:v>2013</c:v>
                  </c:pt>
                </c:lvl>
                <c:lvl>
                  <c:pt idx="0">
                    <c:v>Fixed-line</c:v>
                  </c:pt>
                  <c:pt idx="2">
                    <c:v>Mobile telephone</c:v>
                  </c:pt>
                  <c:pt idx="4">
                    <c:v>Internet*</c:v>
                  </c:pt>
                  <c:pt idx="6">
                    <c:v>VoIP</c:v>
                  </c:pt>
                </c:lvl>
              </c:multiLvlStrCache>
            </c:multiLvlStrRef>
          </c:cat>
          <c:val>
            <c:numRef>
              <c:f>'3.10'!$C$9:$J$9</c:f>
              <c:numCache>
                <c:formatCode>0</c:formatCode>
                <c:ptCount val="8"/>
                <c:pt idx="0">
                  <c:v>5</c:v>
                </c:pt>
                <c:pt idx="1">
                  <c:v>6.2437059415911413</c:v>
                </c:pt>
                <c:pt idx="2">
                  <c:v>5</c:v>
                </c:pt>
                <c:pt idx="3">
                  <c:v>6.4321608040201124</c:v>
                </c:pt>
                <c:pt idx="4">
                  <c:v>5.3319919517102612</c:v>
                </c:pt>
                <c:pt idx="5">
                  <c:v>5.6281407035175866</c:v>
                </c:pt>
                <c:pt idx="6">
                  <c:v>5.2</c:v>
                </c:pt>
                <c:pt idx="7">
                  <c:v>10.5</c:v>
                </c:pt>
              </c:numCache>
            </c:numRef>
          </c:val>
        </c:ser>
        <c:ser>
          <c:idx val="4"/>
          <c:order val="4"/>
          <c:tx>
            <c:strRef>
              <c:f>'3.10'!$B$10</c:f>
              <c:strCache>
                <c:ptCount val="1"/>
                <c:pt idx="0">
                  <c:v>Very dissatisfied</c:v>
                </c:pt>
              </c:strCache>
            </c:strRef>
          </c:tx>
          <c:spPr>
            <a:solidFill>
              <a:schemeClr val="accent4"/>
            </a:solidFill>
          </c:spPr>
          <c:dLbls>
            <c:dLbl>
              <c:idx val="0"/>
              <c:layout>
                <c:manualLayout>
                  <c:x val="0"/>
                  <c:y val="-3.2840705511446633E-2"/>
                </c:manualLayout>
              </c:layout>
              <c:showVal val="1"/>
            </c:dLbl>
            <c:dLbl>
              <c:idx val="1"/>
              <c:layout>
                <c:manualLayout>
                  <c:x val="0"/>
                  <c:y val="-2.6272564409157002E-2"/>
                </c:manualLayout>
              </c:layout>
              <c:showVal val="1"/>
            </c:dLbl>
            <c:dLbl>
              <c:idx val="2"/>
              <c:layout>
                <c:manualLayout>
                  <c:x val="1.9295706705258254E-3"/>
                  <c:y val="-3.2840705511446633E-2"/>
                </c:manualLayout>
              </c:layout>
              <c:showVal val="1"/>
            </c:dLbl>
            <c:dLbl>
              <c:idx val="3"/>
              <c:layout>
                <c:manualLayout>
                  <c:x val="3.8591413410516535E-3"/>
                  <c:y val="-2.6272822997389401E-2"/>
                </c:manualLayout>
              </c:layout>
              <c:showVal val="1"/>
            </c:dLbl>
            <c:dLbl>
              <c:idx val="4"/>
              <c:layout>
                <c:manualLayout>
                  <c:x val="0"/>
                  <c:y val="-2.9556634960301528E-2"/>
                </c:manualLayout>
              </c:layout>
              <c:showVal val="1"/>
            </c:dLbl>
            <c:dLbl>
              <c:idx val="5"/>
              <c:layout>
                <c:manualLayout>
                  <c:x val="0"/>
                  <c:y val="-2.9556634960301528E-2"/>
                </c:manualLayout>
              </c:layout>
              <c:showVal val="1"/>
            </c:dLbl>
            <c:dLbl>
              <c:idx val="6"/>
              <c:layout>
                <c:manualLayout>
                  <c:x val="0"/>
                  <c:y val="-2.6272564409157002E-2"/>
                </c:manualLayout>
              </c:layout>
              <c:showVal val="1"/>
            </c:dLbl>
            <c:dLbl>
              <c:idx val="7"/>
              <c:layout>
                <c:manualLayout>
                  <c:x val="0"/>
                  <c:y val="-2.2988493858012306E-2"/>
                </c:manualLayout>
              </c:layout>
              <c:showVal val="1"/>
            </c:dLbl>
            <c:showVal val="1"/>
          </c:dLbls>
          <c:cat>
            <c:multiLvlStrRef>
              <c:f>'3.10'!$C$4:$J$5</c:f>
              <c:multiLvlStrCache>
                <c:ptCount val="8"/>
                <c:lvl>
                  <c:pt idx="0">
                    <c:v>2012</c:v>
                  </c:pt>
                  <c:pt idx="1">
                    <c:v>2013</c:v>
                  </c:pt>
                  <c:pt idx="2">
                    <c:v>2012</c:v>
                  </c:pt>
                  <c:pt idx="3">
                    <c:v>2013</c:v>
                  </c:pt>
                  <c:pt idx="4">
                    <c:v>2012</c:v>
                  </c:pt>
                  <c:pt idx="5">
                    <c:v>2013</c:v>
                  </c:pt>
                  <c:pt idx="6">
                    <c:v>2012</c:v>
                  </c:pt>
                  <c:pt idx="7">
                    <c:v>2013</c:v>
                  </c:pt>
                </c:lvl>
                <c:lvl>
                  <c:pt idx="0">
                    <c:v>Fixed-line</c:v>
                  </c:pt>
                  <c:pt idx="2">
                    <c:v>Mobile telephone</c:v>
                  </c:pt>
                  <c:pt idx="4">
                    <c:v>Internet*</c:v>
                  </c:pt>
                  <c:pt idx="6">
                    <c:v>VoIP</c:v>
                  </c:pt>
                </c:lvl>
              </c:multiLvlStrCache>
            </c:multiLvlStrRef>
          </c:cat>
          <c:val>
            <c:numRef>
              <c:f>'3.10'!$C$10:$J$10</c:f>
              <c:numCache>
                <c:formatCode>0</c:formatCode>
                <c:ptCount val="8"/>
                <c:pt idx="0">
                  <c:v>2</c:v>
                </c:pt>
                <c:pt idx="1">
                  <c:v>2.5176233635448138</c:v>
                </c:pt>
                <c:pt idx="2">
                  <c:v>3</c:v>
                </c:pt>
                <c:pt idx="3">
                  <c:v>2.6130653266331567</c:v>
                </c:pt>
                <c:pt idx="4">
                  <c:v>2.3138832997987664</c:v>
                </c:pt>
                <c:pt idx="5">
                  <c:v>1.6080402010050261</c:v>
                </c:pt>
                <c:pt idx="6">
                  <c:v>1.7000000000000002</c:v>
                </c:pt>
                <c:pt idx="7">
                  <c:v>2.1</c:v>
                </c:pt>
              </c:numCache>
            </c:numRef>
          </c:val>
        </c:ser>
        <c:overlap val="100"/>
        <c:axId val="274544128"/>
        <c:axId val="274545664"/>
      </c:barChart>
      <c:catAx>
        <c:axId val="274544128"/>
        <c:scaling>
          <c:orientation val="minMax"/>
        </c:scaling>
        <c:axPos val="b"/>
        <c:tickLblPos val="nextTo"/>
        <c:crossAx val="274545664"/>
        <c:crosses val="autoZero"/>
        <c:auto val="1"/>
        <c:lblAlgn val="ctr"/>
        <c:lblOffset val="100"/>
      </c:catAx>
      <c:valAx>
        <c:axId val="274545664"/>
        <c:scaling>
          <c:orientation val="minMax"/>
        </c:scaling>
        <c:delete val="1"/>
        <c:axPos val="l"/>
        <c:title>
          <c:tx>
            <c:rich>
              <a:bodyPr rot="-5400000" vert="horz"/>
              <a:lstStyle/>
              <a:p>
                <a:pPr>
                  <a:defRPr b="0"/>
                </a:pPr>
                <a:r>
                  <a:rPr lang="en-US" b="0"/>
                  <a:t>Per cent of service users aged 18 years and over</a:t>
                </a:r>
              </a:p>
            </c:rich>
          </c:tx>
        </c:title>
        <c:numFmt formatCode="0%" sourceLinked="1"/>
        <c:tickLblPos val="none"/>
        <c:crossAx val="274544128"/>
        <c:crosses val="autoZero"/>
        <c:crossBetween val="between"/>
        <c:majorUnit val="0.2"/>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'3.11'!$B$9</c:f>
              <c:strCache>
                <c:ptCount val="1"/>
                <c:pt idx="0">
                  <c:v>Complaints to the TIO</c:v>
                </c:pt>
              </c:strCache>
            </c:strRef>
          </c:tx>
          <c:dLbls>
            <c:showVal val="1"/>
          </c:dLbls>
          <c:cat>
            <c:strRef>
              <c:f>'3.11'!$A$11:$A$16</c:f>
              <c:strCache>
                <c:ptCount val="6"/>
                <c:pt idx="0">
                  <c:v>2007–08</c:v>
                </c:pt>
                <c:pt idx="1">
                  <c:v>2008–09</c:v>
                </c:pt>
                <c:pt idx="2">
                  <c:v>2009–10</c:v>
                </c:pt>
                <c:pt idx="3">
                  <c:v>2010–11</c:v>
                </c:pt>
                <c:pt idx="4">
                  <c:v>2011–12</c:v>
                </c:pt>
                <c:pt idx="5">
                  <c:v>2012–13</c:v>
                </c:pt>
              </c:strCache>
            </c:strRef>
          </c:cat>
          <c:val>
            <c:numRef>
              <c:f>'3.11'!$B$11:$B$16</c:f>
              <c:numCache>
                <c:formatCode>#,##0</c:formatCode>
                <c:ptCount val="6"/>
                <c:pt idx="0">
                  <c:v>820</c:v>
                </c:pt>
                <c:pt idx="1">
                  <c:v>1111</c:v>
                </c:pt>
                <c:pt idx="2">
                  <c:v>1023</c:v>
                </c:pt>
                <c:pt idx="3">
                  <c:v>480</c:v>
                </c:pt>
                <c:pt idx="4">
                  <c:v>411</c:v>
                </c:pt>
                <c:pt idx="5">
                  <c:v>327</c:v>
                </c:pt>
              </c:numCache>
            </c:numRef>
          </c:val>
        </c:ser>
        <c:ser>
          <c:idx val="1"/>
          <c:order val="1"/>
          <c:tx>
            <c:strRef>
              <c:f>'3.11'!$C$9</c:f>
              <c:strCache>
                <c:ptCount val="1"/>
                <c:pt idx="0">
                  <c:v>Complaints and enquiries to the ACMA</c:v>
                </c:pt>
              </c:strCache>
            </c:strRef>
          </c:tx>
          <c:dLbls>
            <c:showVal val="1"/>
          </c:dLbls>
          <c:cat>
            <c:strRef>
              <c:f>'3.11'!$A$11:$A$16</c:f>
              <c:strCache>
                <c:ptCount val="6"/>
                <c:pt idx="0">
                  <c:v>2007–08</c:v>
                </c:pt>
                <c:pt idx="1">
                  <c:v>2008–09</c:v>
                </c:pt>
                <c:pt idx="2">
                  <c:v>2009–10</c:v>
                </c:pt>
                <c:pt idx="3">
                  <c:v>2010–11</c:v>
                </c:pt>
                <c:pt idx="4">
                  <c:v>2011–12</c:v>
                </c:pt>
                <c:pt idx="5">
                  <c:v>2012–13</c:v>
                </c:pt>
              </c:strCache>
            </c:strRef>
          </c:cat>
          <c:val>
            <c:numRef>
              <c:f>'3.11'!$C$11:$C$16</c:f>
              <c:numCache>
                <c:formatCode>#,##0</c:formatCode>
                <c:ptCount val="6"/>
                <c:pt idx="0">
                  <c:v>18</c:v>
                </c:pt>
                <c:pt idx="1">
                  <c:v>46</c:v>
                </c:pt>
                <c:pt idx="2">
                  <c:v>138</c:v>
                </c:pt>
                <c:pt idx="3">
                  <c:v>32</c:v>
                </c:pt>
                <c:pt idx="4">
                  <c:v>109</c:v>
                </c:pt>
                <c:pt idx="5">
                  <c:v>76</c:v>
                </c:pt>
              </c:numCache>
            </c:numRef>
          </c:val>
        </c:ser>
        <c:axId val="274588032"/>
        <c:axId val="274589568"/>
      </c:barChart>
      <c:catAx>
        <c:axId val="274588032"/>
        <c:scaling>
          <c:orientation val="minMax"/>
        </c:scaling>
        <c:axPos val="b"/>
        <c:tickLblPos val="nextTo"/>
        <c:crossAx val="274589568"/>
        <c:crosses val="autoZero"/>
        <c:auto val="1"/>
        <c:lblAlgn val="ctr"/>
        <c:lblOffset val="100"/>
      </c:catAx>
      <c:valAx>
        <c:axId val="274589568"/>
        <c:scaling>
          <c:orientation val="minMax"/>
        </c:scaling>
        <c:delete val="1"/>
        <c:axPos val="l"/>
        <c:numFmt formatCode="#,##0" sourceLinked="1"/>
        <c:tickLblPos val="none"/>
        <c:crossAx val="274588032"/>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93263646922743"/>
          <c:y val="3.7008398950131235E-2"/>
          <c:w val="0.77651567944250965"/>
          <c:h val="0.64825013123360065"/>
        </c:manualLayout>
      </c:layout>
      <c:lineChart>
        <c:grouping val="standard"/>
        <c:ser>
          <c:idx val="0"/>
          <c:order val="0"/>
          <c:tx>
            <c:strRef>
              <c:f>'4.1'!$A$4</c:f>
              <c:strCache>
                <c:ptCount val="1"/>
                <c:pt idx="0">
                  <c:v>Australian</c:v>
                </c:pt>
              </c:strCache>
            </c:strRef>
          </c:tx>
          <c:cat>
            <c:numRef>
              <c:f>'4.1'!$F$3:$K$3</c:f>
              <c:numCache>
                <c:formatCode>General</c:formatCode>
                <c:ptCount val="6"/>
                <c:pt idx="0">
                  <c:v>2007</c:v>
                </c:pt>
                <c:pt idx="1">
                  <c:v>2008</c:v>
                </c:pt>
                <c:pt idx="2">
                  <c:v>2009</c:v>
                </c:pt>
                <c:pt idx="3">
                  <c:v>2010</c:v>
                </c:pt>
                <c:pt idx="4">
                  <c:v>2011</c:v>
                </c:pt>
                <c:pt idx="5">
                  <c:v>2012</c:v>
                </c:pt>
              </c:numCache>
            </c:numRef>
          </c:cat>
          <c:val>
            <c:numRef>
              <c:f>'4.1'!$F$4:$K$4</c:f>
              <c:numCache>
                <c:formatCode>#,##0</c:formatCode>
                <c:ptCount val="6"/>
                <c:pt idx="0">
                  <c:v>58116</c:v>
                </c:pt>
                <c:pt idx="1">
                  <c:v>84924</c:v>
                </c:pt>
                <c:pt idx="2">
                  <c:v>79003</c:v>
                </c:pt>
                <c:pt idx="3" formatCode="_-* #,##0_-;\-* #,##0_-;_-* &quot;-&quot;??_-;_-@_-">
                  <c:v>80284</c:v>
                </c:pt>
                <c:pt idx="4">
                  <c:v>75644</c:v>
                </c:pt>
                <c:pt idx="5" formatCode="_-* #,##0_-;\-* #,##0_-;_-* &quot;-&quot;??_-;_-@_-">
                  <c:v>73942</c:v>
                </c:pt>
              </c:numCache>
            </c:numRef>
          </c:val>
        </c:ser>
        <c:ser>
          <c:idx val="1"/>
          <c:order val="1"/>
          <c:tx>
            <c:strRef>
              <c:f>'4.1'!$A$5</c:f>
              <c:strCache>
                <c:ptCount val="1"/>
                <c:pt idx="0">
                  <c:v>Foreign</c:v>
                </c:pt>
              </c:strCache>
            </c:strRef>
          </c:tx>
          <c:cat>
            <c:numRef>
              <c:f>'4.1'!$F$3:$K$3</c:f>
              <c:numCache>
                <c:formatCode>General</c:formatCode>
                <c:ptCount val="6"/>
                <c:pt idx="0">
                  <c:v>2007</c:v>
                </c:pt>
                <c:pt idx="1">
                  <c:v>2008</c:v>
                </c:pt>
                <c:pt idx="2">
                  <c:v>2009</c:v>
                </c:pt>
                <c:pt idx="3">
                  <c:v>2010</c:v>
                </c:pt>
                <c:pt idx="4">
                  <c:v>2011</c:v>
                </c:pt>
                <c:pt idx="5">
                  <c:v>2012</c:v>
                </c:pt>
              </c:numCache>
            </c:numRef>
          </c:cat>
          <c:val>
            <c:numRef>
              <c:f>'4.1'!$F$5:$K$5</c:f>
              <c:numCache>
                <c:formatCode>#,##0</c:formatCode>
                <c:ptCount val="6"/>
                <c:pt idx="0">
                  <c:v>3016</c:v>
                </c:pt>
                <c:pt idx="1">
                  <c:v>3052</c:v>
                </c:pt>
                <c:pt idx="2">
                  <c:v>2679</c:v>
                </c:pt>
                <c:pt idx="3" formatCode="_-* #,##0_-;\-* #,##0_-;_-* &quot;-&quot;??_-;_-@_-">
                  <c:v>3065</c:v>
                </c:pt>
                <c:pt idx="4">
                  <c:v>3635</c:v>
                </c:pt>
                <c:pt idx="5" formatCode="_-* #,##0_-;\-* #,##0_-;_-* &quot;-&quot;??_-;_-@_-">
                  <c:v>3578</c:v>
                </c:pt>
              </c:numCache>
            </c:numRef>
          </c:val>
        </c:ser>
        <c:ser>
          <c:idx val="2"/>
          <c:order val="2"/>
          <c:tx>
            <c:strRef>
              <c:f>'4.1'!$A$6</c:f>
              <c:strCache>
                <c:ptCount val="1"/>
                <c:pt idx="0">
                  <c:v>Exempt</c:v>
                </c:pt>
              </c:strCache>
            </c:strRef>
          </c:tx>
          <c:cat>
            <c:numRef>
              <c:f>'4.1'!$F$3:$K$3</c:f>
              <c:numCache>
                <c:formatCode>General</c:formatCode>
                <c:ptCount val="6"/>
                <c:pt idx="0">
                  <c:v>2007</c:v>
                </c:pt>
                <c:pt idx="1">
                  <c:v>2008</c:v>
                </c:pt>
                <c:pt idx="2">
                  <c:v>2009</c:v>
                </c:pt>
                <c:pt idx="3">
                  <c:v>2010</c:v>
                </c:pt>
                <c:pt idx="4">
                  <c:v>2011</c:v>
                </c:pt>
                <c:pt idx="5">
                  <c:v>2012</c:v>
                </c:pt>
              </c:numCache>
            </c:numRef>
          </c:cat>
          <c:val>
            <c:numRef>
              <c:f>'4.1'!$F$6:$K$6</c:f>
              <c:numCache>
                <c:formatCode>#,##0</c:formatCode>
                <c:ptCount val="6"/>
                <c:pt idx="0">
                  <c:v>5661</c:v>
                </c:pt>
                <c:pt idx="1">
                  <c:v>5036</c:v>
                </c:pt>
                <c:pt idx="2">
                  <c:v>5554</c:v>
                </c:pt>
                <c:pt idx="3" formatCode="_-* #,##0_-;\-* #,##0_-;_-* &quot;-&quot;??_-;_-@_-">
                  <c:v>4900</c:v>
                </c:pt>
                <c:pt idx="4">
                  <c:v>5093</c:v>
                </c:pt>
                <c:pt idx="5" formatCode="_-* #,##0_-;\-* #,##0_-;_-* &quot;-&quot;??_-;_-@_-">
                  <c:v>5615</c:v>
                </c:pt>
              </c:numCache>
            </c:numRef>
          </c:val>
        </c:ser>
        <c:marker val="1"/>
        <c:axId val="260663936"/>
        <c:axId val="260669824"/>
      </c:lineChart>
      <c:catAx>
        <c:axId val="260663936"/>
        <c:scaling>
          <c:orientation val="minMax"/>
        </c:scaling>
        <c:axPos val="b"/>
        <c:numFmt formatCode="General" sourceLinked="1"/>
        <c:majorTickMark val="none"/>
        <c:tickLblPos val="nextTo"/>
        <c:spPr>
          <a:ln>
            <a:noFill/>
          </a:ln>
        </c:spPr>
        <c:crossAx val="260669824"/>
        <c:crosses val="autoZero"/>
        <c:auto val="1"/>
        <c:lblAlgn val="ctr"/>
        <c:lblOffset val="100"/>
      </c:catAx>
      <c:valAx>
        <c:axId val="260669824"/>
        <c:scaling>
          <c:orientation val="minMax"/>
        </c:scaling>
        <c:axPos val="l"/>
        <c:title>
          <c:tx>
            <c:rich>
              <a:bodyPr/>
              <a:lstStyle/>
              <a:p>
                <a:pPr>
                  <a:defRPr b="0"/>
                </a:pPr>
                <a:r>
                  <a:rPr lang="en-AU" b="0"/>
                  <a:t>Number of advertisements</a:t>
                </a:r>
              </a:p>
            </c:rich>
          </c:tx>
          <c:layout>
            <c:manualLayout>
              <c:xMode val="edge"/>
              <c:yMode val="edge"/>
              <c:x val="7.3429341069208467E-2"/>
              <c:y val="0.10376332588056129"/>
            </c:manualLayout>
          </c:layout>
        </c:title>
        <c:numFmt formatCode="#,##0" sourceLinked="1"/>
        <c:majorTickMark val="none"/>
        <c:tickLblPos val="nextTo"/>
        <c:crossAx val="260663936"/>
        <c:crosses val="autoZero"/>
        <c:crossBetween val="between"/>
      </c:valAx>
      <c:dTable>
        <c:showHorzBorder val="1"/>
        <c:showVertBorder val="1"/>
        <c:showOutline val="1"/>
        <c:showKeys val="1"/>
      </c:dTable>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56527620089856"/>
          <c:y val="4.0131037543059613E-2"/>
          <c:w val="0.76568757359381023"/>
          <c:h val="0.71866397553864902"/>
        </c:manualLayout>
      </c:layout>
      <c:lineChart>
        <c:grouping val="standard"/>
        <c:ser>
          <c:idx val="0"/>
          <c:order val="0"/>
          <c:tx>
            <c:strRef>
              <c:f>'4.2'!$A$4</c:f>
              <c:strCache>
                <c:ptCount val="1"/>
                <c:pt idx="0">
                  <c:v>Seven Network</c:v>
                </c:pt>
              </c:strCache>
            </c:strRef>
          </c:tx>
          <c:cat>
            <c:numRef>
              <c:f>'4.2'!$D$3:$I$3</c:f>
              <c:numCache>
                <c:formatCode>General</c:formatCode>
                <c:ptCount val="6"/>
                <c:pt idx="0">
                  <c:v>2007</c:v>
                </c:pt>
                <c:pt idx="1">
                  <c:v>2008</c:v>
                </c:pt>
                <c:pt idx="2">
                  <c:v>2009</c:v>
                </c:pt>
                <c:pt idx="3">
                  <c:v>2010</c:v>
                </c:pt>
                <c:pt idx="4">
                  <c:v>2011</c:v>
                </c:pt>
                <c:pt idx="5">
                  <c:v>2012</c:v>
                </c:pt>
              </c:numCache>
            </c:numRef>
          </c:cat>
          <c:val>
            <c:numRef>
              <c:f>'4.2'!$D$4:$I$4</c:f>
              <c:numCache>
                <c:formatCode>0%</c:formatCode>
                <c:ptCount val="6"/>
                <c:pt idx="0">
                  <c:v>0.86280000000000578</c:v>
                </c:pt>
                <c:pt idx="1">
                  <c:v>0.8686000000000067</c:v>
                </c:pt>
                <c:pt idx="2">
                  <c:v>0.8700000000000051</c:v>
                </c:pt>
                <c:pt idx="3">
                  <c:v>0.87280000000000579</c:v>
                </c:pt>
                <c:pt idx="4">
                  <c:v>0.86480000000000579</c:v>
                </c:pt>
                <c:pt idx="5">
                  <c:v>0.88519999999999999</c:v>
                </c:pt>
              </c:numCache>
            </c:numRef>
          </c:val>
        </c:ser>
        <c:ser>
          <c:idx val="1"/>
          <c:order val="1"/>
          <c:tx>
            <c:strRef>
              <c:f>'4.2'!$A$5</c:f>
              <c:strCache>
                <c:ptCount val="1"/>
                <c:pt idx="0">
                  <c:v>Nine Network</c:v>
                </c:pt>
              </c:strCache>
            </c:strRef>
          </c:tx>
          <c:cat>
            <c:numRef>
              <c:f>'4.2'!$D$3:$I$3</c:f>
              <c:numCache>
                <c:formatCode>General</c:formatCode>
                <c:ptCount val="6"/>
                <c:pt idx="0">
                  <c:v>2007</c:v>
                </c:pt>
                <c:pt idx="1">
                  <c:v>2008</c:v>
                </c:pt>
                <c:pt idx="2">
                  <c:v>2009</c:v>
                </c:pt>
                <c:pt idx="3">
                  <c:v>2010</c:v>
                </c:pt>
                <c:pt idx="4">
                  <c:v>2011</c:v>
                </c:pt>
                <c:pt idx="5">
                  <c:v>2012</c:v>
                </c:pt>
              </c:numCache>
            </c:numRef>
          </c:cat>
          <c:val>
            <c:numRef>
              <c:f>'4.2'!$D$5:$I$5</c:f>
              <c:numCache>
                <c:formatCode>0%</c:formatCode>
                <c:ptCount val="6"/>
                <c:pt idx="0">
                  <c:v>0.92500000000000004</c:v>
                </c:pt>
                <c:pt idx="1">
                  <c:v>0.92</c:v>
                </c:pt>
                <c:pt idx="2">
                  <c:v>0.91420000000000001</c:v>
                </c:pt>
                <c:pt idx="3">
                  <c:v>0.9083</c:v>
                </c:pt>
                <c:pt idx="4">
                  <c:v>0.90169999999999995</c:v>
                </c:pt>
                <c:pt idx="5">
                  <c:v>0.89670000000000005</c:v>
                </c:pt>
              </c:numCache>
            </c:numRef>
          </c:val>
        </c:ser>
        <c:ser>
          <c:idx val="2"/>
          <c:order val="2"/>
          <c:tx>
            <c:strRef>
              <c:f>'4.2'!$A$6</c:f>
              <c:strCache>
                <c:ptCount val="1"/>
                <c:pt idx="0">
                  <c:v>Network Ten </c:v>
                </c:pt>
              </c:strCache>
            </c:strRef>
          </c:tx>
          <c:cat>
            <c:numRef>
              <c:f>'4.2'!$D$3:$I$3</c:f>
              <c:numCache>
                <c:formatCode>General</c:formatCode>
                <c:ptCount val="6"/>
                <c:pt idx="0">
                  <c:v>2007</c:v>
                </c:pt>
                <c:pt idx="1">
                  <c:v>2008</c:v>
                </c:pt>
                <c:pt idx="2">
                  <c:v>2009</c:v>
                </c:pt>
                <c:pt idx="3">
                  <c:v>2010</c:v>
                </c:pt>
                <c:pt idx="4">
                  <c:v>2011</c:v>
                </c:pt>
                <c:pt idx="5">
                  <c:v>2012</c:v>
                </c:pt>
              </c:numCache>
            </c:numRef>
          </c:cat>
          <c:val>
            <c:numRef>
              <c:f>'4.2'!$D$6:$I$6</c:f>
              <c:numCache>
                <c:formatCode>0%</c:formatCode>
                <c:ptCount val="6"/>
                <c:pt idx="0">
                  <c:v>0.85560000000000658</c:v>
                </c:pt>
                <c:pt idx="1">
                  <c:v>0.84870000000000578</c:v>
                </c:pt>
                <c:pt idx="2">
                  <c:v>0.87230000000000063</c:v>
                </c:pt>
                <c:pt idx="3">
                  <c:v>0.85160000000000613</c:v>
                </c:pt>
                <c:pt idx="4">
                  <c:v>0.84730000000000005</c:v>
                </c:pt>
                <c:pt idx="5">
                  <c:v>0.83330000000000004</c:v>
                </c:pt>
              </c:numCache>
            </c:numRef>
          </c:val>
        </c:ser>
        <c:marker val="1"/>
        <c:axId val="265632768"/>
        <c:axId val="265634560"/>
      </c:lineChart>
      <c:catAx>
        <c:axId val="265632768"/>
        <c:scaling>
          <c:orientation val="minMax"/>
        </c:scaling>
        <c:axPos val="b"/>
        <c:numFmt formatCode="General" sourceLinked="1"/>
        <c:majorTickMark val="none"/>
        <c:tickLblPos val="nextTo"/>
        <c:crossAx val="265634560"/>
        <c:crosses val="autoZero"/>
        <c:auto val="1"/>
        <c:lblAlgn val="ctr"/>
        <c:lblOffset val="100"/>
      </c:catAx>
      <c:valAx>
        <c:axId val="265634560"/>
        <c:scaling>
          <c:orientation val="minMax"/>
        </c:scaling>
        <c:axPos val="l"/>
        <c:title>
          <c:tx>
            <c:rich>
              <a:bodyPr/>
              <a:lstStyle/>
              <a:p>
                <a:pPr>
                  <a:defRPr b="0"/>
                </a:pPr>
                <a:r>
                  <a:rPr lang="en-AU" b="0"/>
                  <a:t>% of total advertising time</a:t>
                </a:r>
              </a:p>
            </c:rich>
          </c:tx>
          <c:layout>
            <c:manualLayout>
              <c:xMode val="edge"/>
              <c:yMode val="edge"/>
              <c:x val="6.071240221188913E-2"/>
              <c:y val="0.27103121418282328"/>
            </c:manualLayout>
          </c:layout>
        </c:title>
        <c:numFmt formatCode="0%" sourceLinked="1"/>
        <c:majorTickMark val="none"/>
        <c:tickLblPos val="nextTo"/>
        <c:crossAx val="265632768"/>
        <c:crosses val="autoZero"/>
        <c:crossBetween val="between"/>
      </c:valAx>
      <c:dTable>
        <c:showHorzBorder val="1"/>
        <c:showVertBorder val="1"/>
        <c:showOutline val="1"/>
        <c:showKeys val="1"/>
      </c:dTable>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3.4960230731614812E-2"/>
          <c:y val="0.17989360426105169"/>
          <c:w val="0.95078538259641165"/>
          <c:h val="0.70787028738925761"/>
        </c:manualLayout>
      </c:layout>
      <c:lineChart>
        <c:grouping val="standard"/>
        <c:ser>
          <c:idx val="0"/>
          <c:order val="0"/>
          <c:tx>
            <c:strRef>
              <c:f>'1.4'!$A$2</c:f>
              <c:strCache>
                <c:ptCount val="1"/>
                <c:pt idx="0">
                  <c:v>Total use VoIP</c:v>
                </c:pt>
              </c:strCache>
            </c:strRef>
          </c:tx>
          <c:dLbls>
            <c:dLbl>
              <c:idx val="0"/>
              <c:layout>
                <c:manualLayout>
                  <c:x val="-3.4449472096530945E-2"/>
                  <c:y val="-3.0699405518772788E-2"/>
                </c:manualLayout>
              </c:layout>
              <c:dLblPos val="r"/>
              <c:showVal val="1"/>
            </c:dLbl>
            <c:dLbl>
              <c:idx val="1"/>
              <c:layout>
                <c:manualLayout>
                  <c:x val="-4.0482654600302023E-2"/>
                  <c:y val="-3.4153636012773651E-2"/>
                </c:manualLayout>
              </c:layout>
              <c:dLblPos val="r"/>
              <c:showVal val="1"/>
            </c:dLbl>
            <c:dLbl>
              <c:idx val="2"/>
              <c:layout>
                <c:manualLayout>
                  <c:x val="-4.0482654600302023E-2"/>
                  <c:y val="-3.4153636012773651E-2"/>
                </c:manualLayout>
              </c:layout>
              <c:dLblPos val="r"/>
              <c:showVal val="1"/>
            </c:dLbl>
            <c:dLbl>
              <c:idx val="3"/>
              <c:layout>
                <c:manualLayout>
                  <c:x val="-4.0482654600302023E-2"/>
                  <c:y val="-3.4153636012773651E-2"/>
                </c:manualLayout>
              </c:layout>
              <c:dLblPos val="r"/>
              <c:showVal val="1"/>
            </c:dLbl>
            <c:dLbl>
              <c:idx val="4"/>
              <c:layout>
                <c:manualLayout>
                  <c:x val="-4.0482654600302023E-2"/>
                  <c:y val="-3.4153636012773651E-2"/>
                </c:manualLayout>
              </c:layout>
              <c:dLblPos val="r"/>
              <c:showVal val="1"/>
            </c:dLbl>
            <c:txPr>
              <a:bodyPr/>
              <a:lstStyle/>
              <a:p>
                <a:pPr>
                  <a:defRPr sz="850"/>
                </a:pPr>
                <a:endParaRPr lang="en-US"/>
              </a:p>
            </c:txPr>
            <c:dLblPos val="t"/>
            <c:showVal val="1"/>
          </c:dLbls>
          <c:cat>
            <c:strRef>
              <c:f>'1.4'!$C$1:$G$1</c:f>
              <c:strCache>
                <c:ptCount val="5"/>
                <c:pt idx="0">
                  <c:v>Jun-09</c:v>
                </c:pt>
                <c:pt idx="1">
                  <c:v>Jun-10</c:v>
                </c:pt>
                <c:pt idx="2">
                  <c:v>Jun-11</c:v>
                </c:pt>
                <c:pt idx="3">
                  <c:v>Jun-12</c:v>
                </c:pt>
                <c:pt idx="4">
                  <c:v>Jun-13</c:v>
                </c:pt>
              </c:strCache>
            </c:strRef>
          </c:cat>
          <c:val>
            <c:numRef>
              <c:f>'1.4'!$C$2:$G$2</c:f>
              <c:numCache>
                <c:formatCode>#,##0</c:formatCode>
                <c:ptCount val="5"/>
                <c:pt idx="0">
                  <c:v>2107</c:v>
                </c:pt>
                <c:pt idx="1">
                  <c:v>2759</c:v>
                </c:pt>
                <c:pt idx="2">
                  <c:v>3602</c:v>
                </c:pt>
                <c:pt idx="3">
                  <c:v>4342</c:v>
                </c:pt>
                <c:pt idx="4">
                  <c:v>4593</c:v>
                </c:pt>
              </c:numCache>
            </c:numRef>
          </c:val>
        </c:ser>
        <c:ser>
          <c:idx val="1"/>
          <c:order val="1"/>
          <c:tx>
            <c:strRef>
              <c:f>'1.4'!$A$3</c:f>
              <c:strCache>
                <c:ptCount val="1"/>
                <c:pt idx="0">
                  <c:v>Computer/laptop</c:v>
                </c:pt>
              </c:strCache>
            </c:strRef>
          </c:tx>
          <c:dLbls>
            <c:dLbl>
              <c:idx val="0"/>
              <c:layout>
                <c:manualLayout>
                  <c:x val="-4.0482654600302023E-2"/>
                  <c:y val="-3.4153636012773651E-2"/>
                </c:manualLayout>
              </c:layout>
              <c:dLblPos val="r"/>
              <c:showVal val="1"/>
            </c:dLbl>
            <c:dLbl>
              <c:idx val="1"/>
              <c:layout>
                <c:manualLayout>
                  <c:x val="-4.0482654600302023E-2"/>
                  <c:y val="-2.7245175024771893E-2"/>
                </c:manualLayout>
              </c:layout>
              <c:dLblPos val="r"/>
              <c:showVal val="1"/>
            </c:dLbl>
            <c:dLbl>
              <c:idx val="2"/>
              <c:layout>
                <c:manualLayout>
                  <c:x val="-4.0482654600302023E-2"/>
                  <c:y val="-2.7245175024771945E-2"/>
                </c:manualLayout>
              </c:layout>
              <c:dLblPos val="r"/>
              <c:showVal val="1"/>
            </c:dLbl>
            <c:dLbl>
              <c:idx val="3"/>
              <c:layout>
                <c:manualLayout>
                  <c:x val="-4.0482654600302023E-2"/>
                  <c:y val="-3.4153636012773651E-2"/>
                </c:manualLayout>
              </c:layout>
              <c:dLblPos val="r"/>
              <c:showVal val="1"/>
            </c:dLbl>
            <c:dLbl>
              <c:idx val="4"/>
              <c:layout>
                <c:manualLayout>
                  <c:x val="-4.0482654600302023E-2"/>
                  <c:y val="-3.4153636012773651E-2"/>
                </c:manualLayout>
              </c:layout>
              <c:dLblPos val="r"/>
              <c:showVal val="1"/>
            </c:dLbl>
            <c:txPr>
              <a:bodyPr/>
              <a:lstStyle/>
              <a:p>
                <a:pPr>
                  <a:defRPr sz="850"/>
                </a:pPr>
                <a:endParaRPr lang="en-US"/>
              </a:p>
            </c:txPr>
            <c:dLblPos val="t"/>
            <c:showVal val="1"/>
          </c:dLbls>
          <c:cat>
            <c:strRef>
              <c:f>'1.4'!$C$1:$G$1</c:f>
              <c:strCache>
                <c:ptCount val="5"/>
                <c:pt idx="0">
                  <c:v>Jun-09</c:v>
                </c:pt>
                <c:pt idx="1">
                  <c:v>Jun-10</c:v>
                </c:pt>
                <c:pt idx="2">
                  <c:v>Jun-11</c:v>
                </c:pt>
                <c:pt idx="3">
                  <c:v>Jun-12</c:v>
                </c:pt>
                <c:pt idx="4">
                  <c:v>Jun-13</c:v>
                </c:pt>
              </c:strCache>
            </c:strRef>
          </c:cat>
          <c:val>
            <c:numRef>
              <c:f>'1.4'!$C$3:$G$3</c:f>
              <c:numCache>
                <c:formatCode>#,##0</c:formatCode>
                <c:ptCount val="5"/>
                <c:pt idx="0">
                  <c:v>1624</c:v>
                </c:pt>
                <c:pt idx="1">
                  <c:v>2244</c:v>
                </c:pt>
                <c:pt idx="2">
                  <c:v>2970</c:v>
                </c:pt>
                <c:pt idx="3">
                  <c:v>3610</c:v>
                </c:pt>
                <c:pt idx="4">
                  <c:v>3678</c:v>
                </c:pt>
              </c:numCache>
            </c:numRef>
          </c:val>
        </c:ser>
        <c:ser>
          <c:idx val="2"/>
          <c:order val="2"/>
          <c:tx>
            <c:strRef>
              <c:f>'1.4'!$A$4</c:f>
              <c:strCache>
                <c:ptCount val="1"/>
                <c:pt idx="0">
                  <c:v>Internet phone or 
voice box/adaptor</c:v>
                </c:pt>
              </c:strCache>
            </c:strRef>
          </c:tx>
          <c:dLbls>
            <c:dLbl>
              <c:idx val="0"/>
              <c:layout>
                <c:manualLayout>
                  <c:x val="-3.3358432005954008E-2"/>
                  <c:y val="-3.4153636012773651E-2"/>
                </c:manualLayout>
              </c:layout>
              <c:dLblPos val="r"/>
              <c:showVal val="1"/>
            </c:dLbl>
            <c:dLbl>
              <c:idx val="1"/>
              <c:layout>
                <c:manualLayout>
                  <c:x val="-3.3358432005954008E-2"/>
                  <c:y val="-3.0699405518772788E-2"/>
                </c:manualLayout>
              </c:layout>
              <c:dLblPos val="r"/>
              <c:showVal val="1"/>
            </c:dLbl>
            <c:dLbl>
              <c:idx val="2"/>
              <c:layout>
                <c:manualLayout>
                  <c:x val="-3.9753497131462603E-2"/>
                  <c:y val="-5.9335347871318583E-2"/>
                </c:manualLayout>
              </c:layout>
              <c:dLblPos val="r"/>
              <c:showVal val="1"/>
            </c:dLbl>
            <c:dLbl>
              <c:idx val="3"/>
              <c:layout>
                <c:manualLayout>
                  <c:x val="-3.2192072832987008E-2"/>
                  <c:y val="-3.5656925767447792E-2"/>
                </c:manualLayout>
              </c:layout>
              <c:dLblPos val="r"/>
              <c:showVal val="1"/>
            </c:dLbl>
            <c:dLbl>
              <c:idx val="4"/>
              <c:layout>
                <c:manualLayout>
                  <c:x val="-3.2954106758603212E-2"/>
                  <c:y val="4.3249116656818687E-2"/>
                </c:manualLayout>
              </c:layout>
              <c:dLblPos val="r"/>
              <c:showVal val="1"/>
            </c:dLbl>
            <c:txPr>
              <a:bodyPr/>
              <a:lstStyle/>
              <a:p>
                <a:pPr>
                  <a:defRPr sz="800"/>
                </a:pPr>
                <a:endParaRPr lang="en-US"/>
              </a:p>
            </c:txPr>
            <c:dLblPos val="t"/>
            <c:showVal val="1"/>
          </c:dLbls>
          <c:cat>
            <c:strRef>
              <c:f>'1.4'!$C$1:$G$1</c:f>
              <c:strCache>
                <c:ptCount val="5"/>
                <c:pt idx="0">
                  <c:v>Jun-09</c:v>
                </c:pt>
                <c:pt idx="1">
                  <c:v>Jun-10</c:v>
                </c:pt>
                <c:pt idx="2">
                  <c:v>Jun-11</c:v>
                </c:pt>
                <c:pt idx="3">
                  <c:v>Jun-12</c:v>
                </c:pt>
                <c:pt idx="4">
                  <c:v>Jun-13</c:v>
                </c:pt>
              </c:strCache>
            </c:strRef>
          </c:cat>
          <c:val>
            <c:numRef>
              <c:f>'1.4'!$C$4:$G$4</c:f>
              <c:numCache>
                <c:formatCode>#,##0</c:formatCode>
                <c:ptCount val="5"/>
                <c:pt idx="0">
                  <c:v>397</c:v>
                </c:pt>
                <c:pt idx="1">
                  <c:v>461</c:v>
                </c:pt>
                <c:pt idx="2">
                  <c:v>546</c:v>
                </c:pt>
                <c:pt idx="3">
                  <c:v>564</c:v>
                </c:pt>
                <c:pt idx="4">
                  <c:v>459</c:v>
                </c:pt>
              </c:numCache>
            </c:numRef>
          </c:val>
        </c:ser>
        <c:ser>
          <c:idx val="3"/>
          <c:order val="3"/>
          <c:tx>
            <c:strRef>
              <c:f>'1.4'!$A$5</c:f>
              <c:strCache>
                <c:ptCount val="1"/>
                <c:pt idx="0">
                  <c:v>Mobile phone</c:v>
                </c:pt>
              </c:strCache>
            </c:strRef>
          </c:tx>
          <c:dLbls>
            <c:dLbl>
              <c:idx val="0"/>
              <c:layout>
                <c:manualLayout>
                  <c:x val="-2.9170516581355284E-2"/>
                  <c:y val="-2.4775536214886866E-2"/>
                </c:manualLayout>
              </c:layout>
              <c:dLblPos val="r"/>
              <c:showVal val="1"/>
            </c:dLbl>
            <c:dLbl>
              <c:idx val="1"/>
              <c:layout>
                <c:manualLayout>
                  <c:x val="-2.9170516581355284E-2"/>
                  <c:y val="-2.1321305720885812E-2"/>
                </c:manualLayout>
              </c:layout>
              <c:dLblPos val="r"/>
              <c:showVal val="1"/>
            </c:dLbl>
            <c:dLbl>
              <c:idx val="2"/>
              <c:layout>
                <c:manualLayout>
                  <c:x val="-6.1914920758542914E-2"/>
                  <c:y val="-2.0578624482981513E-2"/>
                </c:manualLayout>
              </c:layout>
              <c:dLblPos val="r"/>
              <c:showVal val="1"/>
            </c:dLbl>
            <c:dLbl>
              <c:idx val="3"/>
              <c:layout>
                <c:manualLayout>
                  <c:x val="-2.9705055944032468E-2"/>
                  <c:y val="-7.5017085238486533E-2"/>
                </c:manualLayout>
              </c:layout>
              <c:dLblPos val="r"/>
              <c:showVal val="1"/>
            </c:dLbl>
            <c:dLbl>
              <c:idx val="4"/>
              <c:layout>
                <c:manualLayout>
                  <c:x val="-4.0482654600302023E-2"/>
                  <c:y val="-3.0699405518772788E-2"/>
                </c:manualLayout>
              </c:layout>
              <c:dLblPos val="r"/>
              <c:showVal val="1"/>
            </c:dLbl>
            <c:txPr>
              <a:bodyPr/>
              <a:lstStyle/>
              <a:p>
                <a:pPr>
                  <a:defRPr sz="800"/>
                </a:pPr>
                <a:endParaRPr lang="en-US"/>
              </a:p>
            </c:txPr>
            <c:dLblPos val="t"/>
            <c:showVal val="1"/>
          </c:dLbls>
          <c:cat>
            <c:strRef>
              <c:f>'1.4'!$C$1:$G$1</c:f>
              <c:strCache>
                <c:ptCount val="5"/>
                <c:pt idx="0">
                  <c:v>Jun-09</c:v>
                </c:pt>
                <c:pt idx="1">
                  <c:v>Jun-10</c:v>
                </c:pt>
                <c:pt idx="2">
                  <c:v>Jun-11</c:v>
                </c:pt>
                <c:pt idx="3">
                  <c:v>Jun-12</c:v>
                </c:pt>
                <c:pt idx="4">
                  <c:v>Jun-13</c:v>
                </c:pt>
              </c:strCache>
            </c:strRef>
          </c:cat>
          <c:val>
            <c:numRef>
              <c:f>'1.4'!$C$5:$G$5</c:f>
              <c:numCache>
                <c:formatCode>#,##0</c:formatCode>
                <c:ptCount val="5"/>
                <c:pt idx="0">
                  <c:v>47</c:v>
                </c:pt>
                <c:pt idx="1">
                  <c:v>84</c:v>
                </c:pt>
                <c:pt idx="2">
                  <c:v>264</c:v>
                </c:pt>
                <c:pt idx="3">
                  <c:v>616</c:v>
                </c:pt>
                <c:pt idx="4">
                  <c:v>1063</c:v>
                </c:pt>
              </c:numCache>
            </c:numRef>
          </c:val>
        </c:ser>
        <c:ser>
          <c:idx val="4"/>
          <c:order val="4"/>
          <c:tx>
            <c:strRef>
              <c:f>'1.4'!$A$6</c:f>
              <c:strCache>
                <c:ptCount val="1"/>
                <c:pt idx="0">
                  <c:v>Tablet (e.g., iPad)</c:v>
                </c:pt>
              </c:strCache>
            </c:strRef>
          </c:tx>
          <c:dLbls>
            <c:dLbl>
              <c:idx val="2"/>
              <c:layout>
                <c:manualLayout>
                  <c:x val="1.5404163323676431E-2"/>
                  <c:y val="4.0502259745856424E-3"/>
                </c:manualLayout>
              </c:layout>
              <c:dLblPos val="r"/>
              <c:showVal val="1"/>
            </c:dLbl>
            <c:dLbl>
              <c:idx val="3"/>
              <c:layout>
                <c:manualLayout>
                  <c:x val="-5.0094498920732538E-3"/>
                  <c:y val="3.4898169334871998E-2"/>
                </c:manualLayout>
              </c:layout>
              <c:dLblPos val="r"/>
              <c:showVal val="1"/>
            </c:dLbl>
            <c:dLbl>
              <c:idx val="4"/>
              <c:layout>
                <c:manualLayout>
                  <c:x val="-3.0147866497676416E-2"/>
                  <c:y val="2.4856596558317401E-2"/>
                </c:manualLayout>
              </c:layout>
              <c:dLblPos val="r"/>
              <c:showVal val="1"/>
            </c:dLbl>
            <c:txPr>
              <a:bodyPr/>
              <a:lstStyle/>
              <a:p>
                <a:pPr>
                  <a:defRPr sz="800"/>
                </a:pPr>
                <a:endParaRPr lang="en-US"/>
              </a:p>
            </c:txPr>
            <c:dLblPos val="b"/>
            <c:showVal val="1"/>
          </c:dLbls>
          <c:cat>
            <c:strRef>
              <c:f>'1.4'!$C$1:$G$1</c:f>
              <c:strCache>
                <c:ptCount val="5"/>
                <c:pt idx="0">
                  <c:v>Jun-09</c:v>
                </c:pt>
                <c:pt idx="1">
                  <c:v>Jun-10</c:v>
                </c:pt>
                <c:pt idx="2">
                  <c:v>Jun-11</c:v>
                </c:pt>
                <c:pt idx="3">
                  <c:v>Jun-12</c:v>
                </c:pt>
                <c:pt idx="4">
                  <c:v>Jun-13</c:v>
                </c:pt>
              </c:strCache>
            </c:strRef>
          </c:cat>
          <c:val>
            <c:numRef>
              <c:f>'1.4'!$C$6:$G$6</c:f>
              <c:numCache>
                <c:formatCode>General</c:formatCode>
                <c:ptCount val="5"/>
                <c:pt idx="2" formatCode="#,##0">
                  <c:v>142</c:v>
                </c:pt>
                <c:pt idx="3" formatCode="#,##0">
                  <c:v>386</c:v>
                </c:pt>
                <c:pt idx="4" formatCode="#,##0">
                  <c:v>966</c:v>
                </c:pt>
              </c:numCache>
            </c:numRef>
          </c:val>
        </c:ser>
        <c:dLbls>
          <c:showVal val="1"/>
        </c:dLbls>
        <c:marker val="1"/>
        <c:axId val="251099392"/>
        <c:axId val="251133952"/>
      </c:lineChart>
      <c:catAx>
        <c:axId val="251099392"/>
        <c:scaling>
          <c:orientation val="minMax"/>
        </c:scaling>
        <c:axPos val="b"/>
        <c:tickLblPos val="nextTo"/>
        <c:crossAx val="251133952"/>
        <c:crosses val="autoZero"/>
        <c:auto val="1"/>
        <c:lblAlgn val="ctr"/>
        <c:lblOffset val="100"/>
      </c:catAx>
      <c:valAx>
        <c:axId val="251133952"/>
        <c:scaling>
          <c:orientation val="minMax"/>
        </c:scaling>
        <c:delete val="1"/>
        <c:axPos val="l"/>
        <c:title>
          <c:tx>
            <c:rich>
              <a:bodyPr rot="-5400000" vert="horz"/>
              <a:lstStyle/>
              <a:p>
                <a:pPr>
                  <a:defRPr b="0"/>
                </a:pPr>
                <a:r>
                  <a:rPr lang="en-AU" b="0"/>
                  <a:t>People</a:t>
                </a:r>
                <a:r>
                  <a:rPr lang="en-AU" b="0" baseline="0"/>
                  <a:t> </a:t>
                </a:r>
                <a:r>
                  <a:rPr lang="en-AU" b="0"/>
                  <a:t> aged 18 years and over ('000s)</a:t>
                </a:r>
              </a:p>
            </c:rich>
          </c:tx>
          <c:layout>
            <c:manualLayout>
              <c:xMode val="edge"/>
              <c:yMode val="edge"/>
              <c:x val="4.0273977800967684E-2"/>
              <c:y val="0.15670837400667309"/>
            </c:manualLayout>
          </c:layout>
        </c:title>
        <c:numFmt formatCode="#,##0" sourceLinked="1"/>
        <c:tickLblPos val="none"/>
        <c:crossAx val="251099392"/>
        <c:crosses val="autoZero"/>
        <c:crossBetween val="between"/>
      </c:valAx>
    </c:plotArea>
    <c:legend>
      <c:legendPos val="t"/>
      <c:layout>
        <c:manualLayout>
          <c:xMode val="edge"/>
          <c:yMode val="edge"/>
          <c:x val="0.10824384508497628"/>
          <c:y val="5.1813457410017992E-2"/>
          <c:w val="0.73578302712160981"/>
          <c:h val="0.16200014632881932"/>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0.26366676387673782"/>
          <c:y val="3.2397408207343416E-2"/>
          <c:w val="0.54111091669096922"/>
          <c:h val="0.9208063354931606"/>
        </c:manualLayout>
      </c:layout>
      <c:barChart>
        <c:barDir val="bar"/>
        <c:grouping val="clustered"/>
        <c:ser>
          <c:idx val="0"/>
          <c:order val="0"/>
          <c:tx>
            <c:strRef>
              <c:f>'4.3 '!$C$2</c:f>
              <c:strCache>
                <c:ptCount val="1"/>
                <c:pt idx="0">
                  <c:v>Non-breach</c:v>
                </c:pt>
              </c:strCache>
            </c:strRef>
          </c:tx>
          <c:spPr>
            <a:solidFill>
              <a:schemeClr val="accent2"/>
            </a:solidFill>
          </c:spPr>
          <c:dLbls>
            <c:dLbl>
              <c:idx val="1"/>
              <c:delete val="1"/>
            </c:dLbl>
            <c:showVal val="1"/>
          </c:dLbls>
          <c:cat>
            <c:strRef>
              <c:f>'4.3 '!$A$3:$A$12</c:f>
              <c:strCache>
                <c:ptCount val="10"/>
                <c:pt idx="0">
                  <c:v>Datacasting</c:v>
                </c:pt>
                <c:pt idx="1">
                  <c:v>Subscription television</c:v>
                </c:pt>
                <c:pt idx="2">
                  <c:v>Community television</c:v>
                </c:pt>
                <c:pt idx="3">
                  <c:v>SBS radio</c:v>
                </c:pt>
                <c:pt idx="4">
                  <c:v>SBS television</c:v>
                </c:pt>
                <c:pt idx="5">
                  <c:v>ABC radio</c:v>
                </c:pt>
                <c:pt idx="6">
                  <c:v>Community radio</c:v>
                </c:pt>
                <c:pt idx="7">
                  <c:v>Commercial radio</c:v>
                </c:pt>
                <c:pt idx="8">
                  <c:v>ABC television</c:v>
                </c:pt>
                <c:pt idx="9">
                  <c:v>Commercial television</c:v>
                </c:pt>
              </c:strCache>
            </c:strRef>
          </c:cat>
          <c:val>
            <c:numRef>
              <c:f>'4.3 '!$C$3:$C$12</c:f>
              <c:numCache>
                <c:formatCode>General</c:formatCode>
                <c:ptCount val="10"/>
                <c:pt idx="0">
                  <c:v>2</c:v>
                </c:pt>
                <c:pt idx="1">
                  <c:v>1</c:v>
                </c:pt>
                <c:pt idx="2">
                  <c:v>0</c:v>
                </c:pt>
                <c:pt idx="3">
                  <c:v>1</c:v>
                </c:pt>
                <c:pt idx="4">
                  <c:v>3</c:v>
                </c:pt>
                <c:pt idx="5">
                  <c:v>10</c:v>
                </c:pt>
                <c:pt idx="6">
                  <c:v>4</c:v>
                </c:pt>
                <c:pt idx="7">
                  <c:v>17</c:v>
                </c:pt>
                <c:pt idx="8">
                  <c:v>41</c:v>
                </c:pt>
                <c:pt idx="9">
                  <c:v>56</c:v>
                </c:pt>
              </c:numCache>
            </c:numRef>
          </c:val>
        </c:ser>
        <c:ser>
          <c:idx val="1"/>
          <c:order val="1"/>
          <c:tx>
            <c:strRef>
              <c:f>'4.3 '!$B$2</c:f>
              <c:strCache>
                <c:ptCount val="1"/>
                <c:pt idx="0">
                  <c:v>Breach</c:v>
                </c:pt>
              </c:strCache>
            </c:strRef>
          </c:tx>
          <c:spPr>
            <a:solidFill>
              <a:schemeClr val="accent1"/>
            </a:solidFill>
          </c:spPr>
          <c:dLbls>
            <c:dLbl>
              <c:idx val="0"/>
              <c:delete val="1"/>
            </c:dLbl>
            <c:dLbl>
              <c:idx val="6"/>
              <c:delete val="1"/>
            </c:dLbl>
            <c:showVal val="1"/>
          </c:dLbls>
          <c:cat>
            <c:strRef>
              <c:f>'4.3 '!$A$3:$A$12</c:f>
              <c:strCache>
                <c:ptCount val="10"/>
                <c:pt idx="0">
                  <c:v>Datacasting</c:v>
                </c:pt>
                <c:pt idx="1">
                  <c:v>Subscription television</c:v>
                </c:pt>
                <c:pt idx="2">
                  <c:v>Community television</c:v>
                </c:pt>
                <c:pt idx="3">
                  <c:v>SBS radio</c:v>
                </c:pt>
                <c:pt idx="4">
                  <c:v>SBS television</c:v>
                </c:pt>
                <c:pt idx="5">
                  <c:v>ABC radio</c:v>
                </c:pt>
                <c:pt idx="6">
                  <c:v>Community radio</c:v>
                </c:pt>
                <c:pt idx="7">
                  <c:v>Commercial radio</c:v>
                </c:pt>
                <c:pt idx="8">
                  <c:v>ABC television</c:v>
                </c:pt>
                <c:pt idx="9">
                  <c:v>Commercial television</c:v>
                </c:pt>
              </c:strCache>
            </c:strRef>
          </c:cat>
          <c:val>
            <c:numRef>
              <c:f>'4.3 '!$B$3:$B$12</c:f>
              <c:numCache>
                <c:formatCode>General</c:formatCode>
                <c:ptCount val="10"/>
                <c:pt idx="0">
                  <c:v>1</c:v>
                </c:pt>
                <c:pt idx="1">
                  <c:v>0</c:v>
                </c:pt>
                <c:pt idx="2">
                  <c:v>1</c:v>
                </c:pt>
                <c:pt idx="3">
                  <c:v>0</c:v>
                </c:pt>
                <c:pt idx="4">
                  <c:v>1</c:v>
                </c:pt>
                <c:pt idx="5">
                  <c:v>0</c:v>
                </c:pt>
                <c:pt idx="6">
                  <c:v>8</c:v>
                </c:pt>
                <c:pt idx="7">
                  <c:v>6</c:v>
                </c:pt>
                <c:pt idx="8">
                  <c:v>6</c:v>
                </c:pt>
                <c:pt idx="9">
                  <c:v>44</c:v>
                </c:pt>
              </c:numCache>
            </c:numRef>
          </c:val>
        </c:ser>
        <c:dLbls>
          <c:showVal val="1"/>
        </c:dLbls>
        <c:axId val="265677824"/>
        <c:axId val="274596608"/>
      </c:barChart>
      <c:catAx>
        <c:axId val="265677824"/>
        <c:scaling>
          <c:orientation val="minMax"/>
        </c:scaling>
        <c:axPos val="l"/>
        <c:numFmt formatCode="General" sourceLinked="1"/>
        <c:tickLblPos val="nextTo"/>
        <c:crossAx val="274596608"/>
        <c:crosses val="autoZero"/>
        <c:auto val="1"/>
        <c:lblAlgn val="ctr"/>
        <c:lblOffset val="100"/>
      </c:catAx>
      <c:valAx>
        <c:axId val="274596608"/>
        <c:scaling>
          <c:orientation val="minMax"/>
        </c:scaling>
        <c:delete val="1"/>
        <c:axPos val="b"/>
        <c:numFmt formatCode="General" sourceLinked="1"/>
        <c:tickLblPos val="none"/>
        <c:crossAx val="265677824"/>
        <c:crosses val="autoZero"/>
        <c:crossBetween val="between"/>
      </c:valAx>
    </c:plotArea>
    <c:legend>
      <c:legendPos val="r"/>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23907865555838"/>
          <c:y val="9.9630685404830721E-2"/>
          <c:w val="0.60423978199434358"/>
          <c:h val="0.87500023256589443"/>
        </c:manualLayout>
      </c:layout>
      <c:pieChart>
        <c:ser>
          <c:idx val="0"/>
          <c:order val="0"/>
          <c:explosion val="2"/>
          <c:dPt>
            <c:idx val="0"/>
            <c:spPr>
              <a:solidFill>
                <a:schemeClr val="accent5"/>
              </a:solidFill>
            </c:spPr>
          </c:dPt>
          <c:dPt>
            <c:idx val="5"/>
            <c:spPr>
              <a:solidFill>
                <a:schemeClr val="accent3"/>
              </a:solidFill>
            </c:spPr>
          </c:dPt>
          <c:dPt>
            <c:idx val="6"/>
            <c:spPr>
              <a:solidFill>
                <a:schemeClr val="accent4"/>
              </a:solidFill>
            </c:spPr>
          </c:dPt>
          <c:dLbls>
            <c:dLbl>
              <c:idx val="0"/>
              <c:layout>
                <c:manualLayout>
                  <c:x val="-7.6038947088295811E-2"/>
                  <c:y val="5.9742150877546807E-2"/>
                </c:manualLayout>
              </c:layout>
              <c:tx>
                <c:rich>
                  <a:bodyPr/>
                  <a:lstStyle/>
                  <a:p>
                    <a:pPr>
                      <a:defRPr>
                        <a:solidFill>
                          <a:schemeClr val="bg1"/>
                        </a:solidFill>
                        <a:latin typeface="Arial" pitchFamily="34" charset="0"/>
                        <a:cs typeface="Arial" pitchFamily="34" charset="0"/>
                      </a:defRPr>
                    </a:pPr>
                    <a:r>
                      <a:rPr lang="en-US">
                        <a:solidFill>
                          <a:schemeClr val="tx1"/>
                        </a:solidFill>
                        <a:latin typeface="Arial" pitchFamily="34" charset="0"/>
                        <a:cs typeface="Arial" pitchFamily="34" charset="0"/>
                      </a:rPr>
                      <a:t>R</a:t>
                    </a:r>
                    <a:r>
                      <a:rPr lang="en-US">
                        <a:solidFill>
                          <a:schemeClr val="tx1"/>
                        </a:solidFill>
                      </a:rPr>
                      <a:t>C1(a)
114
6%</a:t>
                    </a:r>
                  </a:p>
                </c:rich>
              </c:tx>
              <c:spPr/>
              <c:dLblPos val="bestFit"/>
              <c:showVal val="1"/>
              <c:showCatName val="1"/>
              <c:showPercent val="1"/>
              <c:separator>
</c:separator>
            </c:dLbl>
            <c:dLbl>
              <c:idx val="1"/>
              <c:layout>
                <c:manualLayout>
                  <c:x val="0.11196098372723742"/>
                  <c:y val="-0.14951885444699475"/>
                </c:manualLayout>
              </c:layout>
              <c:spPr/>
              <c:txPr>
                <a:bodyPr/>
                <a:lstStyle/>
                <a:p>
                  <a:pPr>
                    <a:defRPr>
                      <a:solidFill>
                        <a:schemeClr val="bg1"/>
                      </a:solidFill>
                      <a:latin typeface="Arial" pitchFamily="34" charset="0"/>
                      <a:cs typeface="Arial" pitchFamily="34" charset="0"/>
                    </a:defRPr>
                  </a:pPr>
                  <a:endParaRPr lang="en-US"/>
                </a:p>
              </c:txPr>
              <c:dLblPos val="bestFit"/>
              <c:showVal val="1"/>
              <c:showCatName val="1"/>
              <c:showPercent val="1"/>
              <c:separator>
</c:separator>
            </c:dLbl>
            <c:dLbl>
              <c:idx val="2"/>
              <c:layout>
                <c:manualLayout>
                  <c:x val="-9.0532393108148548E-2"/>
                  <c:y val="0.11440991395062959"/>
                </c:manualLayout>
              </c:layout>
              <c:dLblPos val="bestFit"/>
              <c:showVal val="1"/>
              <c:showCatName val="1"/>
              <c:showPercent val="1"/>
              <c:separator>
</c:separator>
            </c:dLbl>
            <c:dLbl>
              <c:idx val="3"/>
              <c:layout>
                <c:manualLayout>
                  <c:x val="-5.8858693214849933E-2"/>
                  <c:y val="-4.2994650985082573E-2"/>
                </c:manualLayout>
              </c:layout>
              <c:dLblPos val="bestFit"/>
              <c:showVal val="1"/>
              <c:showCatName val="1"/>
              <c:showPercent val="1"/>
              <c:separator>
</c:separator>
            </c:dLbl>
            <c:dLbl>
              <c:idx val="4"/>
              <c:layout>
                <c:manualLayout>
                  <c:x val="5.7152139449054382E-2"/>
                  <c:y val="-8.8712581813349192E-2"/>
                </c:manualLayout>
              </c:layout>
              <c:dLblPos val="bestFit"/>
              <c:showVal val="1"/>
              <c:showCatName val="1"/>
              <c:showPercent val="1"/>
              <c:separator>
</c:separator>
            </c:dLbl>
            <c:dLbl>
              <c:idx val="5"/>
              <c:tx>
                <c:rich>
                  <a:bodyPr/>
                  <a:lstStyle/>
                  <a:p>
                    <a:pPr>
                      <a:defRPr>
                        <a:solidFill>
                          <a:schemeClr val="bg1"/>
                        </a:solidFill>
                        <a:latin typeface="Arial" pitchFamily="34" charset="0"/>
                        <a:cs typeface="Arial" pitchFamily="34" charset="0"/>
                      </a:defRPr>
                    </a:pPr>
                    <a:r>
                      <a:rPr lang="en-US">
                        <a:solidFill>
                          <a:schemeClr val="tx1"/>
                        </a:solidFill>
                        <a:latin typeface="Arial" pitchFamily="34" charset="0"/>
                        <a:cs typeface="Arial" pitchFamily="34" charset="0"/>
                      </a:rPr>
                      <a:t>X</a:t>
                    </a:r>
                    <a:r>
                      <a:rPr lang="en-US">
                        <a:solidFill>
                          <a:schemeClr val="tx1"/>
                        </a:solidFill>
                      </a:rPr>
                      <a:t>18+
425
23%</a:t>
                    </a:r>
                  </a:p>
                </c:rich>
              </c:tx>
              <c:spPr/>
              <c:dLblPos val="bestFit"/>
              <c:showVal val="1"/>
              <c:showCatName val="1"/>
              <c:showPercent val="1"/>
              <c:separator>
</c:separator>
            </c:dLbl>
            <c:dLbl>
              <c:idx val="6"/>
              <c:spPr/>
              <c:txPr>
                <a:bodyPr/>
                <a:lstStyle/>
                <a:p>
                  <a:pPr>
                    <a:defRPr>
                      <a:solidFill>
                        <a:schemeClr val="bg1"/>
                      </a:solidFill>
                      <a:latin typeface="Arial" pitchFamily="34" charset="0"/>
                      <a:cs typeface="Arial" pitchFamily="34" charset="0"/>
                    </a:defRPr>
                  </a:pPr>
                  <a:endParaRPr lang="en-US"/>
                </a:p>
              </c:txPr>
            </c:dLbl>
            <c:dLbl>
              <c:idx val="7"/>
              <c:layout>
                <c:manualLayout>
                  <c:x val="1.6823633790818766E-2"/>
                  <c:y val="-2.634851656201204E-2"/>
                </c:manualLayout>
              </c:layout>
              <c:dLblPos val="bestFit"/>
              <c:showVal val="1"/>
              <c:showCatName val="1"/>
              <c:showPercent val="1"/>
              <c:separator>
</c:separator>
            </c:dLbl>
            <c:txPr>
              <a:bodyPr/>
              <a:lstStyle/>
              <a:p>
                <a:pPr>
                  <a:defRPr>
                    <a:latin typeface="Arial" pitchFamily="34" charset="0"/>
                    <a:cs typeface="Arial" pitchFamily="34" charset="0"/>
                  </a:defRPr>
                </a:pPr>
                <a:endParaRPr lang="en-US"/>
              </a:p>
            </c:txPr>
            <c:dLblPos val="bestFit"/>
            <c:showVal val="1"/>
            <c:showCatName val="1"/>
            <c:showPercent val="1"/>
            <c:separator>
</c:separator>
            <c:showLeaderLines val="1"/>
          </c:dLbls>
          <c:cat>
            <c:strRef>
              <c:f>'4.4'!$B$3:$B$10</c:f>
              <c:strCache>
                <c:ptCount val="8"/>
                <c:pt idx="0">
                  <c:v>RC1(a)</c:v>
                </c:pt>
                <c:pt idx="1">
                  <c:v>RC1(b)</c:v>
                </c:pt>
                <c:pt idx="2">
                  <c:v>RC1(c)</c:v>
                </c:pt>
                <c:pt idx="3">
                  <c:v>RC1(d)</c:v>
                </c:pt>
                <c:pt idx="4">
                  <c:v>RC9A</c:v>
                </c:pt>
                <c:pt idx="5">
                  <c:v>X18+</c:v>
                </c:pt>
                <c:pt idx="6">
                  <c:v>R18+</c:v>
                </c:pt>
                <c:pt idx="7">
                  <c:v>MA15+</c:v>
                </c:pt>
              </c:strCache>
            </c:strRef>
          </c:cat>
          <c:val>
            <c:numRef>
              <c:f>'4.4'!$C$3:$C$10</c:f>
              <c:numCache>
                <c:formatCode>General</c:formatCode>
                <c:ptCount val="8"/>
                <c:pt idx="0">
                  <c:v>114</c:v>
                </c:pt>
                <c:pt idx="1">
                  <c:v>1177</c:v>
                </c:pt>
                <c:pt idx="2">
                  <c:v>2</c:v>
                </c:pt>
                <c:pt idx="3">
                  <c:v>1</c:v>
                </c:pt>
                <c:pt idx="4">
                  <c:v>0</c:v>
                </c:pt>
                <c:pt idx="5">
                  <c:v>425</c:v>
                </c:pt>
                <c:pt idx="6">
                  <c:v>133</c:v>
                </c:pt>
                <c:pt idx="7">
                  <c:v>1</c:v>
                </c:pt>
              </c:numCache>
            </c:numRef>
          </c:val>
        </c:ser>
        <c:dLbls>
          <c:showVal val="1"/>
        </c:dLbls>
        <c:firstSliceAng val="60"/>
      </c:pieChart>
    </c:plotArea>
    <c:plotVisOnly val="1"/>
  </c:chart>
  <c:spPr>
    <a:ln>
      <a:noFill/>
    </a:ln>
  </c:spPr>
  <c:txPr>
    <a:bodyPr/>
    <a:lstStyle/>
    <a:p>
      <a:pPr>
        <a:defRPr sz="900"/>
      </a:pPr>
      <a:endParaRPr lang="en-US"/>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6.5928995717640562E-2"/>
          <c:y val="0.18348610904768994"/>
          <c:w val="0.93407100428235945"/>
          <c:h val="0.7338413443929116"/>
        </c:manualLayout>
      </c:layout>
      <c:lineChart>
        <c:grouping val="standard"/>
        <c:ser>
          <c:idx val="0"/>
          <c:order val="0"/>
          <c:tx>
            <c:strRef>
              <c:f>'5.1'!$A$8</c:f>
              <c:strCache>
                <c:ptCount val="1"/>
                <c:pt idx="0">
                  <c:v>Use the internet via a mobile phone*</c:v>
                </c:pt>
              </c:strCache>
            </c:strRef>
          </c:tx>
          <c:dLbls>
            <c:dLbl>
              <c:idx val="0"/>
              <c:layout>
                <c:manualLayout>
                  <c:x val="1.5142167852020625E-4"/>
                  <c:y val="-4.1825373019593416E-2"/>
                </c:manualLayout>
              </c:layout>
              <c:showVal val="1"/>
            </c:dLbl>
            <c:dLbl>
              <c:idx val="1"/>
              <c:layout>
                <c:manualLayout>
                  <c:x val="-8.3670957841890728E-3"/>
                  <c:y val="-5.2576959078254555E-2"/>
                </c:manualLayout>
              </c:layout>
              <c:showVal val="1"/>
            </c:dLbl>
            <c:dLbl>
              <c:idx val="2"/>
              <c:layout>
                <c:manualLayout>
                  <c:x val="-1.4453308211532349E-2"/>
                  <c:y val="-5.0774602562112151E-2"/>
                </c:manualLayout>
              </c:layout>
              <c:showVal val="1"/>
            </c:dLbl>
            <c:dLbl>
              <c:idx val="3"/>
              <c:layout>
                <c:manualLayout>
                  <c:x val="-2.8906448735712829E-2"/>
                  <c:y val="-4.9528440530148432E-2"/>
                </c:manualLayout>
              </c:layout>
              <c:showVal val="1"/>
            </c:dLbl>
            <c:dLbl>
              <c:idx val="4"/>
              <c:layout>
                <c:manualLayout>
                  <c:x val="-2.449576832583799E-2"/>
                  <c:y val="-3.7597013733029892E-2"/>
                </c:manualLayout>
              </c:layout>
              <c:showVal val="1"/>
            </c:dLbl>
            <c:dLbl>
              <c:idx val="5"/>
              <c:layout>
                <c:manualLayout>
                  <c:x val="-2.282040399572129E-2"/>
                  <c:y val="-3.7597013733029892E-2"/>
                </c:manualLayout>
              </c:layout>
              <c:showVal val="1"/>
            </c:dLbl>
            <c:showVal val="1"/>
          </c:dLbls>
          <c:cat>
            <c:strRef>
              <c:f>'5.1'!$B$7:$G$7</c:f>
              <c:strCache>
                <c:ptCount val="6"/>
                <c:pt idx="0">
                  <c:v>Jun-08</c:v>
                </c:pt>
                <c:pt idx="1">
                  <c:v>Jun-09</c:v>
                </c:pt>
                <c:pt idx="2">
                  <c:v>Jun-10</c:v>
                </c:pt>
                <c:pt idx="3">
                  <c:v>Jun-11</c:v>
                </c:pt>
                <c:pt idx="4">
                  <c:v>Jun-12</c:v>
                </c:pt>
                <c:pt idx="5">
                  <c:v>Jun-13</c:v>
                </c:pt>
              </c:strCache>
            </c:strRef>
          </c:cat>
          <c:val>
            <c:numRef>
              <c:f>'5.1'!$B$8:$G$8</c:f>
              <c:numCache>
                <c:formatCode>0</c:formatCode>
                <c:ptCount val="6"/>
                <c:pt idx="0">
                  <c:v>8</c:v>
                </c:pt>
                <c:pt idx="1">
                  <c:v>9</c:v>
                </c:pt>
                <c:pt idx="2">
                  <c:v>13</c:v>
                </c:pt>
                <c:pt idx="3">
                  <c:v>21</c:v>
                </c:pt>
                <c:pt idx="4">
                  <c:v>32</c:v>
                </c:pt>
                <c:pt idx="5">
                  <c:v>42</c:v>
                </c:pt>
              </c:numCache>
            </c:numRef>
          </c:val>
        </c:ser>
        <c:ser>
          <c:idx val="1"/>
          <c:order val="1"/>
          <c:tx>
            <c:strRef>
              <c:f>'5.1'!$A$9</c:f>
              <c:strCache>
                <c:ptCount val="1"/>
                <c:pt idx="0">
                  <c:v>Home broadband connection</c:v>
                </c:pt>
              </c:strCache>
            </c:strRef>
          </c:tx>
          <c:dLbls>
            <c:dLbl>
              <c:idx val="0"/>
              <c:layout>
                <c:manualLayout>
                  <c:x val="-1.9782393669634229E-3"/>
                  <c:y val="-3.2811334824758016E-2"/>
                </c:manualLayout>
              </c:layout>
              <c:showVal val="1"/>
            </c:dLbl>
            <c:dLbl>
              <c:idx val="1"/>
              <c:layout>
                <c:manualLayout>
                  <c:x val="-3.956478733926805E-3"/>
                  <c:y val="-2.087994034302804E-2"/>
                </c:manualLayout>
              </c:layout>
              <c:showVal val="1"/>
            </c:dLbl>
            <c:dLbl>
              <c:idx val="2"/>
              <c:layout>
                <c:manualLayout>
                  <c:x val="0"/>
                  <c:y val="-2.7468320277584796E-2"/>
                </c:manualLayout>
              </c:layout>
              <c:showVal val="1"/>
            </c:dLbl>
            <c:dLbl>
              <c:idx val="3"/>
              <c:layout>
                <c:manualLayout>
                  <c:x val="4.5409734820899765E-4"/>
                  <c:y val="-3.4057114692126002E-2"/>
                </c:manualLayout>
              </c:layout>
              <c:showVal val="1"/>
            </c:dLbl>
            <c:dLbl>
              <c:idx val="4"/>
              <c:layout>
                <c:manualLayout>
                  <c:x val="0"/>
                  <c:y val="-3.0451271183247412E-2"/>
                </c:manualLayout>
              </c:layout>
              <c:showVal val="1"/>
            </c:dLbl>
            <c:showVal val="1"/>
          </c:dLbls>
          <c:cat>
            <c:strRef>
              <c:f>'5.1'!$B$7:$G$7</c:f>
              <c:strCache>
                <c:ptCount val="6"/>
                <c:pt idx="0">
                  <c:v>Jun-08</c:v>
                </c:pt>
                <c:pt idx="1">
                  <c:v>Jun-09</c:v>
                </c:pt>
                <c:pt idx="2">
                  <c:v>Jun-10</c:v>
                </c:pt>
                <c:pt idx="3">
                  <c:v>Jun-11</c:v>
                </c:pt>
                <c:pt idx="4">
                  <c:v>Jun-12</c:v>
                </c:pt>
                <c:pt idx="5">
                  <c:v>Jun-13</c:v>
                </c:pt>
              </c:strCache>
            </c:strRef>
          </c:cat>
          <c:val>
            <c:numRef>
              <c:f>'5.1'!$B$9:$G$9</c:f>
              <c:numCache>
                <c:formatCode>0</c:formatCode>
                <c:ptCount val="6"/>
                <c:pt idx="0">
                  <c:v>56</c:v>
                </c:pt>
                <c:pt idx="1">
                  <c:v>63</c:v>
                </c:pt>
                <c:pt idx="2">
                  <c:v>66</c:v>
                </c:pt>
                <c:pt idx="3">
                  <c:v>69</c:v>
                </c:pt>
                <c:pt idx="4">
                  <c:v>70</c:v>
                </c:pt>
                <c:pt idx="5">
                  <c:v>74</c:v>
                </c:pt>
              </c:numCache>
            </c:numRef>
          </c:val>
        </c:ser>
        <c:ser>
          <c:idx val="2"/>
          <c:order val="2"/>
          <c:tx>
            <c:strRef>
              <c:f>'5.1'!$A$10</c:f>
              <c:strCache>
                <c:ptCount val="1"/>
                <c:pt idx="0">
                  <c:v>Home internet connection</c:v>
                </c:pt>
              </c:strCache>
            </c:strRef>
          </c:tx>
          <c:dLbls>
            <c:dLbl>
              <c:idx val="0"/>
              <c:layout>
                <c:manualLayout>
                  <c:x val="2.1296293656773552E-3"/>
                  <c:y val="-4.2382697980366923E-2"/>
                </c:manualLayout>
              </c:layout>
              <c:showVal val="1"/>
            </c:dLbl>
            <c:dLbl>
              <c:idx val="1"/>
              <c:layout>
                <c:manualLayout>
                  <c:x val="1.9782076871571121E-3"/>
                  <c:y val="-5.1396741514265883E-2"/>
                </c:manualLayout>
              </c:layout>
              <c:showVal val="1"/>
            </c:dLbl>
            <c:dLbl>
              <c:idx val="2"/>
              <c:layout>
                <c:manualLayout>
                  <c:x val="0"/>
                  <c:y val="-4.3628483186798454E-2"/>
                </c:manualLayout>
              </c:layout>
              <c:showVal val="1"/>
            </c:dLbl>
            <c:dLbl>
              <c:idx val="3"/>
              <c:layout>
                <c:manualLayout>
                  <c:x val="8.0644201145003268E-3"/>
                  <c:y val="-5.0774225736580893E-2"/>
                </c:manualLayout>
              </c:layout>
              <c:showVal val="1"/>
            </c:dLbl>
            <c:dLbl>
              <c:idx val="4"/>
              <c:layout>
                <c:manualLayout>
                  <c:x val="-3.9564153743142207E-3"/>
                  <c:y val="-3.7039688772257252E-2"/>
                </c:manualLayout>
              </c:layout>
              <c:showVal val="1"/>
            </c:dLbl>
            <c:dLbl>
              <c:idx val="5"/>
              <c:layout>
                <c:manualLayout>
                  <c:x val="0"/>
                  <c:y val="-1.7897091722595078E-2"/>
                </c:manualLayout>
              </c:layout>
              <c:showVal val="1"/>
            </c:dLbl>
            <c:showVal val="1"/>
          </c:dLbls>
          <c:cat>
            <c:strRef>
              <c:f>'5.1'!$B$7:$G$7</c:f>
              <c:strCache>
                <c:ptCount val="6"/>
                <c:pt idx="0">
                  <c:v>Jun-08</c:v>
                </c:pt>
                <c:pt idx="1">
                  <c:v>Jun-09</c:v>
                </c:pt>
                <c:pt idx="2">
                  <c:v>Jun-10</c:v>
                </c:pt>
                <c:pt idx="3">
                  <c:v>Jun-11</c:v>
                </c:pt>
                <c:pt idx="4">
                  <c:v>Jun-12</c:v>
                </c:pt>
                <c:pt idx="5">
                  <c:v>Jun-13</c:v>
                </c:pt>
              </c:strCache>
            </c:strRef>
          </c:cat>
          <c:val>
            <c:numRef>
              <c:f>'5.1'!$B$10:$G$10</c:f>
              <c:numCache>
                <c:formatCode>0</c:formatCode>
                <c:ptCount val="6"/>
                <c:pt idx="0">
                  <c:v>71</c:v>
                </c:pt>
                <c:pt idx="1">
                  <c:v>75</c:v>
                </c:pt>
                <c:pt idx="2">
                  <c:v>77</c:v>
                </c:pt>
                <c:pt idx="3">
                  <c:v>79</c:v>
                </c:pt>
                <c:pt idx="4">
                  <c:v>80</c:v>
                </c:pt>
                <c:pt idx="5">
                  <c:v>80</c:v>
                </c:pt>
              </c:numCache>
            </c:numRef>
          </c:val>
        </c:ser>
        <c:marker val="1"/>
        <c:axId val="274836480"/>
        <c:axId val="274854656"/>
      </c:lineChart>
      <c:catAx>
        <c:axId val="274836480"/>
        <c:scaling>
          <c:orientation val="minMax"/>
        </c:scaling>
        <c:axPos val="b"/>
        <c:numFmt formatCode="General" sourceLinked="1"/>
        <c:tickLblPos val="nextTo"/>
        <c:crossAx val="274854656"/>
        <c:crosses val="autoZero"/>
        <c:auto val="1"/>
        <c:lblAlgn val="ctr"/>
        <c:lblOffset val="100"/>
      </c:catAx>
      <c:valAx>
        <c:axId val="274854656"/>
        <c:scaling>
          <c:orientation val="minMax"/>
        </c:scaling>
        <c:delete val="1"/>
        <c:axPos val="l"/>
        <c:title>
          <c:tx>
            <c:rich>
              <a:bodyPr rot="-5400000" vert="horz"/>
              <a:lstStyle/>
              <a:p>
                <a:pPr>
                  <a:defRPr b="0"/>
                </a:pPr>
                <a:r>
                  <a:rPr lang="en-AU" b="0"/>
                  <a:t>% of people aged 18 years and over</a:t>
                </a:r>
              </a:p>
            </c:rich>
          </c:tx>
        </c:title>
        <c:numFmt formatCode="0" sourceLinked="1"/>
        <c:tickLblPos val="none"/>
        <c:crossAx val="274836480"/>
        <c:crosses val="autoZero"/>
        <c:crossBetween val="between"/>
      </c:valAx>
    </c:plotArea>
    <c:legend>
      <c:legendPos val="t"/>
      <c:layout>
        <c:manualLayout>
          <c:xMode val="edge"/>
          <c:yMode val="edge"/>
          <c:x val="0"/>
          <c:y val="5.5419722901385512E-2"/>
          <c:w val="1"/>
          <c:h val="0.13335182291303413"/>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992501304623914E-2"/>
          <c:y val="6.5068771774372189E-2"/>
          <c:w val="0.90383531147734841"/>
          <c:h val="0.82208067341965885"/>
        </c:manualLayout>
      </c:layout>
      <c:barChart>
        <c:barDir val="col"/>
        <c:grouping val="clustered"/>
        <c:ser>
          <c:idx val="0"/>
          <c:order val="0"/>
          <c:tx>
            <c:strRef>
              <c:f>'5.3'!$B$2</c:f>
              <c:strCache>
                <c:ptCount val="1"/>
                <c:pt idx="0">
                  <c:v>May 2012</c:v>
                </c:pt>
              </c:strCache>
            </c:strRef>
          </c:tx>
          <c:cat>
            <c:strRef>
              <c:f>'5.3'!$A$3:$A$6</c:f>
              <c:strCache>
                <c:ptCount val="4"/>
                <c:pt idx="0">
                  <c:v>Outside the home using a Wi-fi hotspot</c:v>
                </c:pt>
                <c:pt idx="1">
                  <c:v>At home using a mobile phone service</c:v>
                </c:pt>
                <c:pt idx="2">
                  <c:v>At home using a home internet connection</c:v>
                </c:pt>
                <c:pt idx="3">
                  <c:v>Outside the home using your mobile phone service</c:v>
                </c:pt>
              </c:strCache>
            </c:strRef>
          </c:cat>
          <c:val>
            <c:numRef>
              <c:f>'5.3'!$B$3:$B$6</c:f>
              <c:numCache>
                <c:formatCode>_-* #,##0_-;\-* #,##0_-;_-* "-"??_-;_-@_-</c:formatCode>
                <c:ptCount val="4"/>
                <c:pt idx="0">
                  <c:v>4451</c:v>
                </c:pt>
                <c:pt idx="1">
                  <c:v>6172</c:v>
                </c:pt>
                <c:pt idx="2">
                  <c:v>6423</c:v>
                </c:pt>
                <c:pt idx="3">
                  <c:v>7730</c:v>
                </c:pt>
              </c:numCache>
            </c:numRef>
          </c:val>
        </c:ser>
        <c:ser>
          <c:idx val="1"/>
          <c:order val="1"/>
          <c:tx>
            <c:strRef>
              <c:f>'5.3'!$C$2</c:f>
              <c:strCache>
                <c:ptCount val="1"/>
                <c:pt idx="0">
                  <c:v>May 2013</c:v>
                </c:pt>
              </c:strCache>
            </c:strRef>
          </c:tx>
          <c:cat>
            <c:strRef>
              <c:f>'5.3'!$A$3:$A$6</c:f>
              <c:strCache>
                <c:ptCount val="4"/>
                <c:pt idx="0">
                  <c:v>Outside the home using a Wi-fi hotspot</c:v>
                </c:pt>
                <c:pt idx="1">
                  <c:v>At home using a mobile phone service</c:v>
                </c:pt>
                <c:pt idx="2">
                  <c:v>At home using a home internet connection</c:v>
                </c:pt>
                <c:pt idx="3">
                  <c:v>Outside the home using your mobile phone service</c:v>
                </c:pt>
              </c:strCache>
            </c:strRef>
          </c:cat>
          <c:val>
            <c:numRef>
              <c:f>'5.3'!$C$3:$C$6</c:f>
              <c:numCache>
                <c:formatCode>_-* #,##0_-;\-* #,##0_-;_-* "-"??_-;_-@_-</c:formatCode>
                <c:ptCount val="4"/>
                <c:pt idx="0">
                  <c:v>5617</c:v>
                </c:pt>
                <c:pt idx="1">
                  <c:v>7028</c:v>
                </c:pt>
                <c:pt idx="2">
                  <c:v>7754</c:v>
                </c:pt>
                <c:pt idx="3">
                  <c:v>8969</c:v>
                </c:pt>
              </c:numCache>
            </c:numRef>
          </c:val>
        </c:ser>
        <c:dLbls>
          <c:showVal val="1"/>
        </c:dLbls>
        <c:axId val="274687872"/>
        <c:axId val="274689408"/>
      </c:barChart>
      <c:catAx>
        <c:axId val="274687872"/>
        <c:scaling>
          <c:orientation val="minMax"/>
        </c:scaling>
        <c:axPos val="b"/>
        <c:tickLblPos val="nextTo"/>
        <c:crossAx val="274689408"/>
        <c:crosses val="autoZero"/>
        <c:auto val="1"/>
        <c:lblAlgn val="ctr"/>
        <c:lblOffset val="100"/>
      </c:catAx>
      <c:valAx>
        <c:axId val="274689408"/>
        <c:scaling>
          <c:orientation val="minMax"/>
        </c:scaling>
        <c:delete val="1"/>
        <c:axPos val="l"/>
        <c:title>
          <c:tx>
            <c:rich>
              <a:bodyPr rot="-5400000" vert="horz"/>
              <a:lstStyle/>
              <a:p>
                <a:pPr>
                  <a:defRPr b="0"/>
                </a:pPr>
                <a:r>
                  <a:rPr lang="en-AU" b="0"/>
                  <a:t>Number of mobile phone handset internet users aged 18 years and over (,000)</a:t>
                </a:r>
              </a:p>
            </c:rich>
          </c:tx>
        </c:title>
        <c:numFmt formatCode="_-* #,##0_-;\-* #,##0_-;_-* &quot;-&quot;??_-;_-@_-" sourceLinked="1"/>
        <c:tickLblPos val="none"/>
        <c:crossAx val="274687872"/>
        <c:crosses val="autoZero"/>
        <c:crossBetween val="between"/>
      </c:valAx>
      <c:spPr>
        <a:noFill/>
        <a:ln w="25400">
          <a:noFill/>
        </a:ln>
      </c:spPr>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'5.4'!$A$5</c:f>
              <c:strCache>
                <c:ptCount val="1"/>
                <c:pt idx="0">
                  <c:v>Millions</c:v>
                </c:pt>
              </c:strCache>
            </c:strRef>
          </c:tx>
          <c:dLbls>
            <c:showVal val="1"/>
          </c:dLbls>
          <c:cat>
            <c:strRef>
              <c:f>'5.4'!$G$4:$L$4</c:f>
              <c:strCache>
                <c:ptCount val="6"/>
                <c:pt idx="0">
                  <c:v>Jun-08</c:v>
                </c:pt>
                <c:pt idx="1">
                  <c:v>Jun-09</c:v>
                </c:pt>
                <c:pt idx="2">
                  <c:v>Jun-10</c:v>
                </c:pt>
                <c:pt idx="3">
                  <c:v>Jun-11</c:v>
                </c:pt>
                <c:pt idx="4">
                  <c:v>Jun-12</c:v>
                </c:pt>
                <c:pt idx="5">
                  <c:v>Jun-13</c:v>
                </c:pt>
              </c:strCache>
            </c:strRef>
          </c:cat>
          <c:val>
            <c:numRef>
              <c:f>'5.4'!$G$5:$L$5</c:f>
              <c:numCache>
                <c:formatCode>0.00</c:formatCode>
                <c:ptCount val="6"/>
                <c:pt idx="0">
                  <c:v>1.169</c:v>
                </c:pt>
                <c:pt idx="1">
                  <c:v>1.4169999999999852</c:v>
                </c:pt>
                <c:pt idx="2">
                  <c:v>1.76</c:v>
                </c:pt>
                <c:pt idx="3">
                  <c:v>2.12</c:v>
                </c:pt>
                <c:pt idx="4">
                  <c:v>2.44</c:v>
                </c:pt>
                <c:pt idx="5">
                  <c:v>2.67</c:v>
                </c:pt>
              </c:numCache>
            </c:numRef>
          </c:val>
        </c:ser>
        <c:axId val="274713984"/>
        <c:axId val="274752640"/>
      </c:barChart>
      <c:catAx>
        <c:axId val="274713984"/>
        <c:scaling>
          <c:orientation val="minMax"/>
        </c:scaling>
        <c:axPos val="b"/>
        <c:tickLblPos val="nextTo"/>
        <c:crossAx val="274752640"/>
        <c:crosses val="autoZero"/>
        <c:auto val="1"/>
        <c:lblAlgn val="ctr"/>
        <c:lblOffset val="100"/>
      </c:catAx>
      <c:valAx>
        <c:axId val="274752640"/>
        <c:scaling>
          <c:orientation val="minMax"/>
        </c:scaling>
        <c:delete val="1"/>
        <c:axPos val="l"/>
        <c:title>
          <c:tx>
            <c:rich>
              <a:bodyPr rot="-5400000" vert="horz"/>
              <a:lstStyle/>
              <a:p>
                <a:pPr>
                  <a:defRPr b="0"/>
                </a:pPr>
                <a:r>
                  <a:rPr lang="en-AU" b="0"/>
                  <a:t>Number of .au domain names registered (millions)</a:t>
                </a:r>
              </a:p>
            </c:rich>
          </c:tx>
          <c:layout>
            <c:manualLayout>
              <c:xMode val="edge"/>
              <c:yMode val="edge"/>
              <c:x val="1.3447925849629236E-2"/>
              <c:y val="6.307809717326468E-2"/>
            </c:manualLayout>
          </c:layout>
        </c:title>
        <c:numFmt formatCode="0.00" sourceLinked="1"/>
        <c:tickLblPos val="none"/>
        <c:crossAx val="274713984"/>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6.7034690683607123E-2"/>
          <c:y val="3.2520317632949415E-2"/>
          <c:w val="0.66312402839740658"/>
          <c:h val="0.83622563187652554"/>
        </c:manualLayout>
      </c:layout>
      <c:lineChart>
        <c:grouping val="standard"/>
        <c:ser>
          <c:idx val="0"/>
          <c:order val="0"/>
          <c:tx>
            <c:strRef>
              <c:f>'5.5'!$B$7</c:f>
              <c:strCache>
                <c:ptCount val="1"/>
                <c:pt idx="0">
                  <c:v>Purchased as a result of advice from a social networking site</c:v>
                </c:pt>
              </c:strCache>
            </c:strRef>
          </c:tx>
          <c:marker>
            <c:symbol val="none"/>
          </c:marker>
          <c:dLbls>
            <c:dLbl>
              <c:idx val="0"/>
              <c:layout>
                <c:manualLayout>
                  <c:x val="-2.328042328042329E-2"/>
                  <c:y val="2.3651140096690396E-2"/>
                </c:manualLayout>
              </c:layout>
              <c:showVal val="1"/>
            </c:dLbl>
            <c:dLbl>
              <c:idx val="1"/>
              <c:layout>
                <c:manualLayout>
                  <c:x val="-2.9629713635673807E-2"/>
                  <c:y val="2.9286456546152268E-2"/>
                </c:manualLayout>
              </c:layout>
              <c:showVal val="1"/>
            </c:dLbl>
            <c:dLbl>
              <c:idx val="2"/>
              <c:layout>
                <c:manualLayout>
                  <c:x val="0"/>
                  <c:y val="1.4781962560431456E-2"/>
                </c:manualLayout>
              </c:layout>
              <c:showVal val="1"/>
            </c:dLbl>
            <c:dLbl>
              <c:idx val="3"/>
              <c:layout>
                <c:manualLayout>
                  <c:x val="-1.058201058201058E-2"/>
                  <c:y val="2.6607532608776976E-2"/>
                </c:manualLayout>
              </c:layout>
              <c:showVal val="1"/>
            </c:dLbl>
            <c:txPr>
              <a:bodyPr/>
              <a:lstStyle/>
              <a:p>
                <a:pPr>
                  <a:defRPr sz="900">
                    <a:latin typeface="Arial" pitchFamily="34" charset="0"/>
                    <a:cs typeface="Arial" pitchFamily="34" charset="0"/>
                  </a:defRPr>
                </a:pPr>
                <a:endParaRPr lang="en-US"/>
              </a:p>
            </c:txPr>
            <c:showVal val="1"/>
          </c:dLbls>
          <c:cat>
            <c:strRef>
              <c:f>'5.5'!$C$5:$F$5</c:f>
              <c:strCache>
                <c:ptCount val="4"/>
                <c:pt idx="0">
                  <c:v>Sept-12</c:v>
                </c:pt>
                <c:pt idx="1">
                  <c:v>Dec-12</c:v>
                </c:pt>
                <c:pt idx="2">
                  <c:v>Mar-13</c:v>
                </c:pt>
                <c:pt idx="3">
                  <c:v>Jun-13</c:v>
                </c:pt>
              </c:strCache>
            </c:strRef>
          </c:cat>
          <c:val>
            <c:numRef>
              <c:f>'5.5'!$C$7:$F$7</c:f>
              <c:numCache>
                <c:formatCode>#,##0</c:formatCode>
                <c:ptCount val="4"/>
                <c:pt idx="0">
                  <c:v>244</c:v>
                </c:pt>
                <c:pt idx="1">
                  <c:v>295</c:v>
                </c:pt>
                <c:pt idx="2">
                  <c:v>209</c:v>
                </c:pt>
                <c:pt idx="3">
                  <c:v>265</c:v>
                </c:pt>
              </c:numCache>
            </c:numRef>
          </c:val>
        </c:ser>
        <c:ser>
          <c:idx val="1"/>
          <c:order val="1"/>
          <c:tx>
            <c:strRef>
              <c:f>'5.5'!$B$8</c:f>
              <c:strCache>
                <c:ptCount val="1"/>
                <c:pt idx="0">
                  <c:v>Posted product/service reviews</c:v>
                </c:pt>
              </c:strCache>
            </c:strRef>
          </c:tx>
          <c:marker>
            <c:symbol val="triangle"/>
            <c:size val="7"/>
          </c:marker>
          <c:dLbls>
            <c:dLbl>
              <c:idx val="0"/>
              <c:layout>
                <c:manualLayout>
                  <c:x val="-1.2698412698412705E-2"/>
                  <c:y val="2.6607532608776879E-2"/>
                </c:manualLayout>
              </c:layout>
              <c:showVal val="1"/>
            </c:dLbl>
            <c:dLbl>
              <c:idx val="1"/>
              <c:layout>
                <c:manualLayout>
                  <c:x val="-1.058201058201058E-2"/>
                  <c:y val="2.0694747584604451E-2"/>
                </c:manualLayout>
              </c:layout>
              <c:showVal val="1"/>
            </c:dLbl>
            <c:dLbl>
              <c:idx val="2"/>
              <c:layout>
                <c:manualLayout>
                  <c:x val="-1.4814814814814815E-2"/>
                  <c:y val="1.773835507251776E-2"/>
                </c:manualLayout>
              </c:layout>
              <c:showVal val="1"/>
            </c:dLbl>
            <c:dLbl>
              <c:idx val="3"/>
              <c:layout>
                <c:manualLayout>
                  <c:x val="-2.5396825396825397E-2"/>
                  <c:y val="3.2520317632949415E-2"/>
                </c:manualLayout>
              </c:layout>
              <c:showVal val="1"/>
            </c:dLbl>
            <c:txPr>
              <a:bodyPr/>
              <a:lstStyle/>
              <a:p>
                <a:pPr>
                  <a:defRPr sz="900">
                    <a:latin typeface="Arial" pitchFamily="34" charset="0"/>
                    <a:cs typeface="Arial" pitchFamily="34" charset="0"/>
                  </a:defRPr>
                </a:pPr>
                <a:endParaRPr lang="en-US"/>
              </a:p>
            </c:txPr>
            <c:showVal val="1"/>
          </c:dLbls>
          <c:cat>
            <c:strRef>
              <c:f>'5.5'!$C$5:$F$5</c:f>
              <c:strCache>
                <c:ptCount val="4"/>
                <c:pt idx="0">
                  <c:v>Sept-12</c:v>
                </c:pt>
                <c:pt idx="1">
                  <c:v>Dec-12</c:v>
                </c:pt>
                <c:pt idx="2">
                  <c:v>Mar-13</c:v>
                </c:pt>
                <c:pt idx="3">
                  <c:v>Jun-13</c:v>
                </c:pt>
              </c:strCache>
            </c:strRef>
          </c:cat>
          <c:val>
            <c:numRef>
              <c:f>'5.5'!$C$8:$F$8</c:f>
              <c:numCache>
                <c:formatCode>#,##0</c:formatCode>
                <c:ptCount val="4"/>
                <c:pt idx="0">
                  <c:v>573</c:v>
                </c:pt>
                <c:pt idx="1">
                  <c:v>550</c:v>
                </c:pt>
                <c:pt idx="2">
                  <c:v>445</c:v>
                </c:pt>
                <c:pt idx="3">
                  <c:v>628</c:v>
                </c:pt>
              </c:numCache>
            </c:numRef>
          </c:val>
        </c:ser>
        <c:ser>
          <c:idx val="2"/>
          <c:order val="2"/>
          <c:tx>
            <c:strRef>
              <c:f>'5.5'!$B$9</c:f>
              <c:strCache>
                <c:ptCount val="1"/>
                <c:pt idx="0">
                  <c:v>Read advertisements</c:v>
                </c:pt>
              </c:strCache>
            </c:strRef>
          </c:tx>
          <c:marker>
            <c:symbol val="none"/>
          </c:marker>
          <c:dLbls>
            <c:dLbl>
              <c:idx val="0"/>
              <c:layout>
                <c:manualLayout>
                  <c:x val="-3.888888888888889E-2"/>
                  <c:y val="-2.2708840227088401E-2"/>
                </c:manualLayout>
              </c:layout>
              <c:showVal val="1"/>
            </c:dLbl>
            <c:dLbl>
              <c:idx val="1"/>
              <c:layout>
                <c:manualLayout>
                  <c:x val="-4.1666666666666664E-2"/>
                  <c:y val="-3.2441200324412278E-2"/>
                </c:manualLayout>
              </c:layout>
              <c:showVal val="1"/>
            </c:dLbl>
            <c:dLbl>
              <c:idx val="2"/>
              <c:layout>
                <c:manualLayout>
                  <c:x val="-4.7222222222222172E-2"/>
                  <c:y val="-2.2708840227088401E-2"/>
                </c:manualLayout>
              </c:layout>
              <c:showVal val="1"/>
            </c:dLbl>
            <c:dLbl>
              <c:idx val="3"/>
              <c:layout>
                <c:manualLayout>
                  <c:x val="-3.3068699745865078E-2"/>
                  <c:y val="-2.9197053105189837E-2"/>
                </c:manualLayout>
              </c:layout>
              <c:showVal val="1"/>
            </c:dLbl>
            <c:txPr>
              <a:bodyPr/>
              <a:lstStyle/>
              <a:p>
                <a:pPr>
                  <a:defRPr sz="900">
                    <a:latin typeface="Arial" pitchFamily="34" charset="0"/>
                    <a:cs typeface="Arial" pitchFamily="34" charset="0"/>
                  </a:defRPr>
                </a:pPr>
                <a:endParaRPr lang="en-US"/>
              </a:p>
            </c:txPr>
            <c:showVal val="1"/>
          </c:dLbls>
          <c:cat>
            <c:strRef>
              <c:f>'5.5'!$C$5:$F$5</c:f>
              <c:strCache>
                <c:ptCount val="4"/>
                <c:pt idx="0">
                  <c:v>Sept-12</c:v>
                </c:pt>
                <c:pt idx="1">
                  <c:v>Dec-12</c:v>
                </c:pt>
                <c:pt idx="2">
                  <c:v>Mar-13</c:v>
                </c:pt>
                <c:pt idx="3">
                  <c:v>Jun-13</c:v>
                </c:pt>
              </c:strCache>
            </c:strRef>
          </c:cat>
          <c:val>
            <c:numRef>
              <c:f>'5.5'!$C$9:$F$9</c:f>
              <c:numCache>
                <c:formatCode>#,##0</c:formatCode>
                <c:ptCount val="4"/>
                <c:pt idx="0">
                  <c:v>737</c:v>
                </c:pt>
                <c:pt idx="1">
                  <c:v>699</c:v>
                </c:pt>
                <c:pt idx="2">
                  <c:v>691</c:v>
                </c:pt>
                <c:pt idx="3">
                  <c:v>872</c:v>
                </c:pt>
              </c:numCache>
            </c:numRef>
          </c:val>
        </c:ser>
        <c:ser>
          <c:idx val="3"/>
          <c:order val="3"/>
          <c:tx>
            <c:strRef>
              <c:f>'5.5'!$B$10</c:f>
              <c:strCache>
                <c:ptCount val="1"/>
                <c:pt idx="0">
                  <c:v>Used price comparison websites </c:v>
                </c:pt>
              </c:strCache>
            </c:strRef>
          </c:tx>
          <c:marker>
            <c:symbol val="star"/>
            <c:size val="7"/>
          </c:marker>
          <c:dLbls>
            <c:dLbl>
              <c:idx val="0"/>
              <c:layout>
                <c:manualLayout>
                  <c:x val="-3.0555555555555582E-2"/>
                  <c:y val="3.5685320356853435E-2"/>
                </c:manualLayout>
              </c:layout>
              <c:showVal val="1"/>
            </c:dLbl>
            <c:dLbl>
              <c:idx val="1"/>
              <c:layout>
                <c:manualLayout>
                  <c:x val="-4.7222222222222332E-2"/>
                  <c:y val="-3.8929440389294405E-2"/>
                </c:manualLayout>
              </c:layout>
              <c:showVal val="1"/>
            </c:dLbl>
            <c:dLbl>
              <c:idx val="2"/>
              <c:layout>
                <c:manualLayout>
                  <c:x val="-4.7222222222222172E-2"/>
                  <c:y val="-4.2173560421735624E-2"/>
                </c:manualLayout>
              </c:layout>
              <c:showVal val="1"/>
            </c:dLbl>
            <c:dLbl>
              <c:idx val="3"/>
              <c:layout>
                <c:manualLayout>
                  <c:x val="-3.888888888888889E-2"/>
                  <c:y val="3.5685320356853435E-2"/>
                </c:manualLayout>
              </c:layout>
              <c:showVal val="1"/>
            </c:dLbl>
            <c:txPr>
              <a:bodyPr/>
              <a:lstStyle/>
              <a:p>
                <a:pPr>
                  <a:defRPr sz="900">
                    <a:latin typeface="Arial" pitchFamily="34" charset="0"/>
                    <a:cs typeface="Arial" pitchFamily="34" charset="0"/>
                  </a:defRPr>
                </a:pPr>
                <a:endParaRPr lang="en-US"/>
              </a:p>
            </c:txPr>
            <c:showVal val="1"/>
          </c:dLbls>
          <c:cat>
            <c:strRef>
              <c:f>'5.5'!$C$5:$F$5</c:f>
              <c:strCache>
                <c:ptCount val="4"/>
                <c:pt idx="0">
                  <c:v>Sept-12</c:v>
                </c:pt>
                <c:pt idx="1">
                  <c:v>Dec-12</c:v>
                </c:pt>
                <c:pt idx="2">
                  <c:v>Mar-13</c:v>
                </c:pt>
                <c:pt idx="3">
                  <c:v>Jun-13</c:v>
                </c:pt>
              </c:strCache>
            </c:strRef>
          </c:cat>
          <c:val>
            <c:numRef>
              <c:f>'5.5'!$C$10:$F$10</c:f>
              <c:numCache>
                <c:formatCode>#,##0</c:formatCode>
                <c:ptCount val="4"/>
                <c:pt idx="0">
                  <c:v>1659</c:v>
                </c:pt>
                <c:pt idx="1">
                  <c:v>1749</c:v>
                </c:pt>
                <c:pt idx="2">
                  <c:v>1814</c:v>
                </c:pt>
                <c:pt idx="3">
                  <c:v>1805</c:v>
                </c:pt>
              </c:numCache>
            </c:numRef>
          </c:val>
        </c:ser>
        <c:ser>
          <c:idx val="4"/>
          <c:order val="4"/>
          <c:tx>
            <c:strRef>
              <c:f>'5.5'!$B$11</c:f>
              <c:strCache>
                <c:ptCount val="1"/>
                <c:pt idx="0">
                  <c:v>Read catalogues </c:v>
                </c:pt>
              </c:strCache>
            </c:strRef>
          </c:tx>
          <c:marker>
            <c:symbol val="none"/>
          </c:marker>
          <c:dLbls>
            <c:dLbl>
              <c:idx val="0"/>
              <c:layout>
                <c:manualLayout>
                  <c:x val="-3.888888888888889E-2"/>
                  <c:y val="-3.2441200324412278E-2"/>
                </c:manualLayout>
              </c:layout>
              <c:showVal val="1"/>
            </c:dLbl>
            <c:dLbl>
              <c:idx val="1"/>
              <c:layout>
                <c:manualLayout>
                  <c:x val="-0.05"/>
                  <c:y val="3.2441200324412278E-2"/>
                </c:manualLayout>
              </c:layout>
              <c:showVal val="1"/>
            </c:dLbl>
            <c:dLbl>
              <c:idx val="2"/>
              <c:layout>
                <c:manualLayout>
                  <c:x val="-4.1666666666666623E-2"/>
                  <c:y val="4.2173560421735624E-2"/>
                </c:manualLayout>
              </c:layout>
              <c:showVal val="1"/>
            </c:dLbl>
            <c:dLbl>
              <c:idx val="3"/>
              <c:layout>
                <c:manualLayout>
                  <c:x val="-5.2777777777777792E-2"/>
                  <c:y val="-3.8929440389294405E-2"/>
                </c:manualLayout>
              </c:layout>
              <c:showVal val="1"/>
            </c:dLbl>
            <c:txPr>
              <a:bodyPr/>
              <a:lstStyle/>
              <a:p>
                <a:pPr>
                  <a:defRPr sz="900">
                    <a:latin typeface="Arial" pitchFamily="34" charset="0"/>
                    <a:cs typeface="Arial" pitchFamily="34" charset="0"/>
                  </a:defRPr>
                </a:pPr>
                <a:endParaRPr lang="en-US"/>
              </a:p>
            </c:txPr>
            <c:showVal val="1"/>
          </c:dLbls>
          <c:cat>
            <c:strRef>
              <c:f>'5.5'!$C$5:$F$5</c:f>
              <c:strCache>
                <c:ptCount val="4"/>
                <c:pt idx="0">
                  <c:v>Sept-12</c:v>
                </c:pt>
                <c:pt idx="1">
                  <c:v>Dec-12</c:v>
                </c:pt>
                <c:pt idx="2">
                  <c:v>Mar-13</c:v>
                </c:pt>
                <c:pt idx="3">
                  <c:v>Jun-13</c:v>
                </c:pt>
              </c:strCache>
            </c:strRef>
          </c:cat>
          <c:val>
            <c:numRef>
              <c:f>'5.5'!$C$11:$F$11</c:f>
              <c:numCache>
                <c:formatCode>#,##0</c:formatCode>
                <c:ptCount val="4"/>
                <c:pt idx="0">
                  <c:v>1887</c:v>
                </c:pt>
                <c:pt idx="1">
                  <c:v>1689</c:v>
                </c:pt>
                <c:pt idx="2">
                  <c:v>1776</c:v>
                </c:pt>
                <c:pt idx="3">
                  <c:v>1913</c:v>
                </c:pt>
              </c:numCache>
            </c:numRef>
          </c:val>
        </c:ser>
        <c:ser>
          <c:idx val="5"/>
          <c:order val="5"/>
          <c:tx>
            <c:strRef>
              <c:f>'5.5'!$B$12</c:f>
              <c:strCache>
                <c:ptCount val="1"/>
                <c:pt idx="0">
                  <c:v>Purchased a good/service</c:v>
                </c:pt>
              </c:strCache>
            </c:strRef>
          </c:tx>
          <c:marker>
            <c:symbol val="diamond"/>
            <c:size val="7"/>
          </c:marker>
          <c:dLbls>
            <c:dLbl>
              <c:idx val="0"/>
              <c:layout>
                <c:manualLayout>
                  <c:x val="-0.05"/>
                  <c:y val="-3.8929440389294405E-2"/>
                </c:manualLayout>
              </c:layout>
              <c:showVal val="1"/>
            </c:dLbl>
            <c:dLbl>
              <c:idx val="1"/>
              <c:layout>
                <c:manualLayout>
                  <c:x val="-5.5555555555555455E-2"/>
                  <c:y val="-3.2441200324412278E-2"/>
                </c:manualLayout>
              </c:layout>
              <c:showVal val="1"/>
            </c:dLbl>
            <c:dLbl>
              <c:idx val="2"/>
              <c:layout>
                <c:manualLayout>
                  <c:x val="-4.4444444444444432E-2"/>
                  <c:y val="-3.8929440389294405E-2"/>
                </c:manualLayout>
              </c:layout>
              <c:showVal val="1"/>
            </c:dLbl>
            <c:dLbl>
              <c:idx val="3"/>
              <c:layout>
                <c:manualLayout>
                  <c:x val="-0.05"/>
                  <c:y val="-3.8929440389294342E-2"/>
                </c:manualLayout>
              </c:layout>
              <c:showVal val="1"/>
            </c:dLbl>
            <c:txPr>
              <a:bodyPr/>
              <a:lstStyle/>
              <a:p>
                <a:pPr>
                  <a:defRPr sz="900">
                    <a:latin typeface="Arial" pitchFamily="34" charset="0"/>
                    <a:cs typeface="Arial" pitchFamily="34" charset="0"/>
                  </a:defRPr>
                </a:pPr>
                <a:endParaRPr lang="en-US"/>
              </a:p>
            </c:txPr>
            <c:showVal val="1"/>
          </c:dLbls>
          <c:cat>
            <c:strRef>
              <c:f>'5.5'!$C$5:$F$5</c:f>
              <c:strCache>
                <c:ptCount val="4"/>
                <c:pt idx="0">
                  <c:v>Sept-12</c:v>
                </c:pt>
                <c:pt idx="1">
                  <c:v>Dec-12</c:v>
                </c:pt>
                <c:pt idx="2">
                  <c:v>Mar-13</c:v>
                </c:pt>
                <c:pt idx="3">
                  <c:v>Jun-13</c:v>
                </c:pt>
              </c:strCache>
            </c:strRef>
          </c:cat>
          <c:val>
            <c:numRef>
              <c:f>'5.5'!$C$12:$F$12</c:f>
              <c:numCache>
                <c:formatCode>#,##0</c:formatCode>
                <c:ptCount val="4"/>
                <c:pt idx="0">
                  <c:v>2694</c:v>
                </c:pt>
                <c:pt idx="1">
                  <c:v>2854</c:v>
                </c:pt>
                <c:pt idx="2">
                  <c:v>2692</c:v>
                </c:pt>
                <c:pt idx="3">
                  <c:v>2831</c:v>
                </c:pt>
              </c:numCache>
            </c:numRef>
          </c:val>
        </c:ser>
        <c:ser>
          <c:idx val="6"/>
          <c:order val="6"/>
          <c:tx>
            <c:strRef>
              <c:f>'5.5'!$B$13</c:f>
              <c:strCache>
                <c:ptCount val="1"/>
                <c:pt idx="0">
                  <c:v>Researched a product or service </c:v>
                </c:pt>
              </c:strCache>
            </c:strRef>
          </c:tx>
          <c:marker>
            <c:symbol val="none"/>
          </c:marker>
          <c:dLbls>
            <c:dLbl>
              <c:idx val="0"/>
              <c:layout>
                <c:manualLayout>
                  <c:x val="-5.8333333333333827E-2"/>
                  <c:y val="-2.9197080291970798E-2"/>
                </c:manualLayout>
              </c:layout>
              <c:showVal val="1"/>
            </c:dLbl>
            <c:dLbl>
              <c:idx val="1"/>
              <c:layout>
                <c:manualLayout>
                  <c:x val="-4.1666666666666664E-2"/>
                  <c:y val="-3.5685320356853435E-2"/>
                </c:manualLayout>
              </c:layout>
              <c:showVal val="1"/>
            </c:dLbl>
            <c:dLbl>
              <c:idx val="2"/>
              <c:layout>
                <c:manualLayout>
                  <c:x val="-0.05"/>
                  <c:y val="-3.5685320356853435E-2"/>
                </c:manualLayout>
              </c:layout>
              <c:showVal val="1"/>
            </c:dLbl>
            <c:dLbl>
              <c:idx val="3"/>
              <c:layout>
                <c:manualLayout>
                  <c:x val="-6.3888888888888884E-2"/>
                  <c:y val="-3.2441200324412264E-2"/>
                </c:manualLayout>
              </c:layout>
              <c:showVal val="1"/>
            </c:dLbl>
            <c:txPr>
              <a:bodyPr/>
              <a:lstStyle/>
              <a:p>
                <a:pPr>
                  <a:defRPr sz="900">
                    <a:latin typeface="Arial" pitchFamily="34" charset="0"/>
                    <a:cs typeface="Arial" pitchFamily="34" charset="0"/>
                  </a:defRPr>
                </a:pPr>
                <a:endParaRPr lang="en-US"/>
              </a:p>
            </c:txPr>
            <c:showVal val="1"/>
          </c:dLbls>
          <c:cat>
            <c:strRef>
              <c:f>'5.5'!$C$5:$F$5</c:f>
              <c:strCache>
                <c:ptCount val="4"/>
                <c:pt idx="0">
                  <c:v>Sept-12</c:v>
                </c:pt>
                <c:pt idx="1">
                  <c:v>Dec-12</c:v>
                </c:pt>
                <c:pt idx="2">
                  <c:v>Mar-13</c:v>
                </c:pt>
                <c:pt idx="3">
                  <c:v>Jun-13</c:v>
                </c:pt>
              </c:strCache>
            </c:strRef>
          </c:cat>
          <c:val>
            <c:numRef>
              <c:f>'5.5'!$C$13:$F$13</c:f>
              <c:numCache>
                <c:formatCode>#,##0</c:formatCode>
                <c:ptCount val="4"/>
                <c:pt idx="0">
                  <c:v>4928</c:v>
                </c:pt>
                <c:pt idx="1">
                  <c:v>5004</c:v>
                </c:pt>
                <c:pt idx="2">
                  <c:v>5136</c:v>
                </c:pt>
                <c:pt idx="3">
                  <c:v>5289</c:v>
                </c:pt>
              </c:numCache>
            </c:numRef>
          </c:val>
        </c:ser>
        <c:marker val="1"/>
        <c:axId val="274976768"/>
        <c:axId val="274978688"/>
      </c:lineChart>
      <c:catAx>
        <c:axId val="274976768"/>
        <c:scaling>
          <c:orientation val="minMax"/>
        </c:scaling>
        <c:axPos val="b"/>
        <c:title>
          <c:tx>
            <c:rich>
              <a:bodyPr/>
              <a:lstStyle/>
              <a:p>
                <a:pPr>
                  <a:defRPr sz="900" b="0">
                    <a:latin typeface="Arial" pitchFamily="34" charset="0"/>
                    <a:cs typeface="Arial" pitchFamily="34" charset="0"/>
                  </a:defRPr>
                </a:pPr>
                <a:r>
                  <a:rPr lang="en-US" sz="900" b="0">
                    <a:latin typeface="Arial" pitchFamily="34" charset="0"/>
                    <a:cs typeface="Arial" pitchFamily="34" charset="0"/>
                  </a:rPr>
                  <a:t>Quarter ending</a:t>
                </a:r>
              </a:p>
            </c:rich>
          </c:tx>
          <c:layout>
            <c:manualLayout>
              <c:xMode val="edge"/>
              <c:yMode val="edge"/>
              <c:x val="0.32544128859585142"/>
              <c:y val="0.9314982394640825"/>
            </c:manualLayout>
          </c:layout>
        </c:title>
        <c:tickLblPos val="nextTo"/>
        <c:txPr>
          <a:bodyPr/>
          <a:lstStyle/>
          <a:p>
            <a:pPr>
              <a:defRPr sz="900">
                <a:latin typeface="Arial" pitchFamily="34" charset="0"/>
                <a:cs typeface="Arial" pitchFamily="34" charset="0"/>
              </a:defRPr>
            </a:pPr>
            <a:endParaRPr lang="en-US"/>
          </a:p>
        </c:txPr>
        <c:crossAx val="274978688"/>
        <c:crosses val="autoZero"/>
        <c:auto val="1"/>
        <c:lblAlgn val="ctr"/>
        <c:lblOffset val="100"/>
      </c:catAx>
      <c:valAx>
        <c:axId val="274978688"/>
        <c:scaling>
          <c:orientation val="minMax"/>
        </c:scaling>
        <c:delete val="1"/>
        <c:axPos val="l"/>
        <c:title>
          <c:tx>
            <c:rich>
              <a:bodyPr rot="-5400000" vert="horz"/>
              <a:lstStyle/>
              <a:p>
                <a:pPr>
                  <a:defRPr sz="900" b="0">
                    <a:latin typeface="Arial" pitchFamily="34" charset="0"/>
                    <a:cs typeface="Arial" pitchFamily="34" charset="0"/>
                  </a:defRPr>
                </a:pPr>
                <a:r>
                  <a:rPr lang="en-US" sz="900" b="0">
                    <a:latin typeface="Arial" pitchFamily="34" charset="0"/>
                    <a:cs typeface="Arial" pitchFamily="34" charset="0"/>
                  </a:rPr>
                  <a:t>Number of people aged 18 years and over using the service ('000)</a:t>
                </a:r>
              </a:p>
            </c:rich>
          </c:tx>
          <c:layout>
            <c:manualLayout>
              <c:xMode val="edge"/>
              <c:yMode val="edge"/>
              <c:x val="5.6786082550671982E-3"/>
              <c:y val="7.2074498159528752E-2"/>
            </c:manualLayout>
          </c:layout>
        </c:title>
        <c:numFmt formatCode="#,##0" sourceLinked="1"/>
        <c:tickLblPos val="none"/>
        <c:crossAx val="274976768"/>
        <c:crosses val="autoZero"/>
        <c:crossBetween val="between"/>
      </c:valAx>
    </c:plotArea>
    <c:legend>
      <c:legendPos val="r"/>
      <c:layout>
        <c:manualLayout>
          <c:xMode val="edge"/>
          <c:yMode val="edge"/>
          <c:x val="0.7361111111111116"/>
          <c:y val="8.8819919407884237E-2"/>
          <c:w val="0.24722222222222323"/>
          <c:h val="0.9067070265851862"/>
        </c:manualLayout>
      </c:layout>
      <c:txPr>
        <a:bodyPr/>
        <a:lstStyle/>
        <a:p>
          <a:pPr>
            <a:defRPr sz="900">
              <a:latin typeface="Arial" pitchFamily="34" charset="0"/>
              <a:cs typeface="Arial" pitchFamily="34" charset="0"/>
            </a:defRPr>
          </a:pPr>
          <a:endParaRPr lang="en-US"/>
        </a:p>
      </c:txPr>
    </c:legend>
    <c:plotVisOnly val="1"/>
  </c:chart>
  <c:spPr>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161756210283069E-2"/>
          <c:y val="1.6112789526686811E-2"/>
          <c:w val="0.89441941074523357"/>
          <c:h val="0.89415927238702464"/>
        </c:manualLayout>
      </c:layout>
      <c:barChart>
        <c:barDir val="col"/>
        <c:grouping val="clustered"/>
        <c:ser>
          <c:idx val="0"/>
          <c:order val="0"/>
          <c:tx>
            <c:strRef>
              <c:f>'5.6'!$B$1</c:f>
              <c:strCache>
                <c:ptCount val="1"/>
                <c:pt idx="0">
                  <c:v>% of internet users who access the internet more than once a day</c:v>
                </c:pt>
              </c:strCache>
            </c:strRef>
          </c:tx>
          <c:cat>
            <c:strRef>
              <c:f>'5.6'!$A$2:$A$7</c:f>
              <c:strCache>
                <c:ptCount val="6"/>
                <c:pt idx="0">
                  <c:v>Jun-08</c:v>
                </c:pt>
                <c:pt idx="1">
                  <c:v>Jun-09</c:v>
                </c:pt>
                <c:pt idx="2">
                  <c:v>Jun-10</c:v>
                </c:pt>
                <c:pt idx="3">
                  <c:v>Jun-11</c:v>
                </c:pt>
                <c:pt idx="4">
                  <c:v>Jun-12</c:v>
                </c:pt>
                <c:pt idx="5">
                  <c:v>Jun-13</c:v>
                </c:pt>
              </c:strCache>
            </c:strRef>
          </c:cat>
          <c:val>
            <c:numRef>
              <c:f>'5.6'!$B$2:$B$7</c:f>
              <c:numCache>
                <c:formatCode>General</c:formatCode>
                <c:ptCount val="6"/>
                <c:pt idx="0">
                  <c:v>49</c:v>
                </c:pt>
                <c:pt idx="1">
                  <c:v>52</c:v>
                </c:pt>
                <c:pt idx="2">
                  <c:v>56</c:v>
                </c:pt>
                <c:pt idx="3">
                  <c:v>60</c:v>
                </c:pt>
                <c:pt idx="4">
                  <c:v>62</c:v>
                </c:pt>
                <c:pt idx="5">
                  <c:v>65</c:v>
                </c:pt>
              </c:numCache>
            </c:numRef>
          </c:val>
        </c:ser>
        <c:dLbls>
          <c:showVal val="1"/>
        </c:dLbls>
        <c:axId val="275044224"/>
        <c:axId val="275045760"/>
      </c:barChart>
      <c:catAx>
        <c:axId val="275044224"/>
        <c:scaling>
          <c:orientation val="minMax"/>
        </c:scaling>
        <c:axPos val="b"/>
        <c:numFmt formatCode="@" sourceLinked="1"/>
        <c:tickLblPos val="nextTo"/>
        <c:crossAx val="275045760"/>
        <c:crosses val="autoZero"/>
        <c:auto val="1"/>
        <c:lblAlgn val="ctr"/>
        <c:lblOffset val="100"/>
      </c:catAx>
      <c:valAx>
        <c:axId val="275045760"/>
        <c:scaling>
          <c:orientation val="minMax"/>
          <c:max val="66"/>
          <c:min val="45"/>
        </c:scaling>
        <c:delete val="1"/>
        <c:axPos val="l"/>
        <c:title>
          <c:tx>
            <c:rich>
              <a:bodyPr rot="-5400000" vert="horz"/>
              <a:lstStyle/>
              <a:p>
                <a:pPr>
                  <a:defRPr b="0"/>
                </a:pPr>
                <a:r>
                  <a:rPr lang="en-AU" b="0"/>
                  <a:t>% of</a:t>
                </a:r>
                <a:r>
                  <a:rPr lang="en-AU" b="0" baseline="0"/>
                  <a:t> internet </a:t>
                </a:r>
                <a:r>
                  <a:rPr lang="en-AU" b="0"/>
                  <a:t> users aged 18 years </a:t>
                </a:r>
              </a:p>
              <a:p>
                <a:pPr>
                  <a:defRPr b="0"/>
                </a:pPr>
                <a:r>
                  <a:rPr lang="en-AU" b="0"/>
                  <a:t>and over</a:t>
                </a:r>
              </a:p>
            </c:rich>
          </c:tx>
          <c:layout>
            <c:manualLayout>
              <c:xMode val="edge"/>
              <c:yMode val="edge"/>
              <c:x val="2.8561369130831328E-2"/>
              <c:y val="0.25065999403135825"/>
            </c:manualLayout>
          </c:layout>
        </c:title>
        <c:numFmt formatCode="General" sourceLinked="1"/>
        <c:tickLblPos val="none"/>
        <c:crossAx val="275044224"/>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'5.8'!$B$2</c:f>
              <c:strCache>
                <c:ptCount val="1"/>
                <c:pt idx="0">
                  <c:v>May 2012</c:v>
                </c:pt>
              </c:strCache>
            </c:strRef>
          </c:tx>
          <c:dLbls>
            <c:dLbl>
              <c:idx val="2"/>
              <c:tx>
                <c:rich>
                  <a:bodyPr/>
                  <a:lstStyle/>
                  <a:p>
                    <a:r>
                      <a:rPr lang="en-US"/>
                      <a:t>43</a:t>
                    </a:r>
                    <a:endParaRPr lang="en-US" baseline="30000"/>
                  </a:p>
                </c:rich>
              </c:tx>
              <c:showVal val="1"/>
            </c:dLbl>
            <c:dLbl>
              <c:idx val="3"/>
              <c:delete val="1"/>
            </c:dLbl>
            <c:dLbl>
              <c:idx val="9"/>
              <c:tx>
                <c:rich>
                  <a:bodyPr/>
                  <a:lstStyle/>
                  <a:p>
                    <a:r>
                      <a:rPr lang="en-US"/>
                      <a:t>71</a:t>
                    </a:r>
                  </a:p>
                </c:rich>
              </c:tx>
              <c:showVal val="1"/>
            </c:dLbl>
            <c:showVal val="1"/>
          </c:dLbls>
          <c:cat>
            <c:strRef>
              <c:f>'5.8'!$A$3:$A$16</c:f>
              <c:strCache>
                <c:ptCount val="14"/>
                <c:pt idx="0">
                  <c:v>Accessing online gaming</c:v>
                </c:pt>
                <c:pt idx="1">
                  <c:v>Downloading video or audio content</c:v>
                </c:pt>
                <c:pt idx="2">
                  <c:v>Accessing professional online video content (OVC) services</c:v>
                </c:pt>
                <c:pt idx="3">
                  <c:v>Downloading a mobile application</c:v>
                </c:pt>
                <c:pt idx="4">
                  <c:v>Accessing or submitting information to government websites or services</c:v>
                </c:pt>
                <c:pt idx="5">
                  <c:v>Using the internet to work from home or study</c:v>
                </c:pt>
                <c:pt idx="6">
                  <c:v>Streaming video or audio content</c:v>
                </c:pt>
                <c:pt idx="7">
                  <c:v>Using social networking sites such as Facebook, LinkedIn</c:v>
                </c:pt>
                <c:pt idx="8">
                  <c:v>Buying or selling goods or services</c:v>
                </c:pt>
                <c:pt idx="9">
                  <c:v>Using a cloud computing service</c:v>
                </c:pt>
                <c:pt idx="10">
                  <c:v>Banking or paying bills online</c:v>
                </c:pt>
                <c:pt idx="11">
                  <c:v>General web browsing or surfing</c:v>
                </c:pt>
                <c:pt idx="12">
                  <c:v>Using the internet to research or gather information</c:v>
                </c:pt>
                <c:pt idx="13">
                  <c:v>Sending or receiving email</c:v>
                </c:pt>
              </c:strCache>
            </c:strRef>
          </c:cat>
          <c:val>
            <c:numRef>
              <c:f>'5.8'!$B$3:$B$16</c:f>
              <c:numCache>
                <c:formatCode>General</c:formatCode>
                <c:ptCount val="14"/>
                <c:pt idx="0">
                  <c:v>23</c:v>
                </c:pt>
                <c:pt idx="1">
                  <c:v>46</c:v>
                </c:pt>
                <c:pt idx="2">
                  <c:v>43</c:v>
                </c:pt>
                <c:pt idx="4">
                  <c:v>56</c:v>
                </c:pt>
                <c:pt idx="5">
                  <c:v>57</c:v>
                </c:pt>
                <c:pt idx="6">
                  <c:v>55</c:v>
                </c:pt>
                <c:pt idx="7">
                  <c:v>62</c:v>
                </c:pt>
                <c:pt idx="8">
                  <c:v>63</c:v>
                </c:pt>
                <c:pt idx="9">
                  <c:v>71</c:v>
                </c:pt>
                <c:pt idx="10">
                  <c:v>77</c:v>
                </c:pt>
                <c:pt idx="11">
                  <c:v>94</c:v>
                </c:pt>
                <c:pt idx="12">
                  <c:v>94</c:v>
                </c:pt>
                <c:pt idx="13">
                  <c:v>95</c:v>
                </c:pt>
              </c:numCache>
            </c:numRef>
          </c:val>
        </c:ser>
        <c:ser>
          <c:idx val="1"/>
          <c:order val="1"/>
          <c:tx>
            <c:strRef>
              <c:f>'5.8'!$C$2</c:f>
              <c:strCache>
                <c:ptCount val="1"/>
                <c:pt idx="0">
                  <c:v>May 2013</c:v>
                </c:pt>
              </c:strCache>
            </c:strRef>
          </c:tx>
          <c:dLbls>
            <c:dLbl>
              <c:idx val="3"/>
              <c:tx>
                <c:rich>
                  <a:bodyPr/>
                  <a:lstStyle/>
                  <a:p>
                    <a:r>
                      <a:rPr lang="en-US"/>
                      <a:t>55</a:t>
                    </a:r>
                    <a:endParaRPr lang="en-US" baseline="30000"/>
                  </a:p>
                </c:rich>
              </c:tx>
              <c:showVal val="1"/>
            </c:dLbl>
            <c:dLbl>
              <c:idx val="9"/>
              <c:tx>
                <c:rich>
                  <a:bodyPr/>
                  <a:lstStyle/>
                  <a:p>
                    <a:r>
                      <a:rPr lang="en-US"/>
                      <a:t>79</a:t>
                    </a:r>
                    <a:endParaRPr lang="en-US" baseline="30000"/>
                  </a:p>
                </c:rich>
              </c:tx>
              <c:showVal val="1"/>
            </c:dLbl>
            <c:showVal val="1"/>
          </c:dLbls>
          <c:cat>
            <c:strRef>
              <c:f>'5.8'!$A$3:$A$16</c:f>
              <c:strCache>
                <c:ptCount val="14"/>
                <c:pt idx="0">
                  <c:v>Accessing online gaming</c:v>
                </c:pt>
                <c:pt idx="1">
                  <c:v>Downloading video or audio content</c:v>
                </c:pt>
                <c:pt idx="2">
                  <c:v>Accessing professional online video content (OVC) services</c:v>
                </c:pt>
                <c:pt idx="3">
                  <c:v>Downloading a mobile application</c:v>
                </c:pt>
                <c:pt idx="4">
                  <c:v>Accessing or submitting information to government websites or services</c:v>
                </c:pt>
                <c:pt idx="5">
                  <c:v>Using the internet to work from home or study</c:v>
                </c:pt>
                <c:pt idx="6">
                  <c:v>Streaming video or audio content</c:v>
                </c:pt>
                <c:pt idx="7">
                  <c:v>Using social networking sites such as Facebook, LinkedIn</c:v>
                </c:pt>
                <c:pt idx="8">
                  <c:v>Buying or selling goods or services</c:v>
                </c:pt>
                <c:pt idx="9">
                  <c:v>Using a cloud computing service</c:v>
                </c:pt>
                <c:pt idx="10">
                  <c:v>Banking or paying bills online</c:v>
                </c:pt>
                <c:pt idx="11">
                  <c:v>General web browsing or surfing</c:v>
                </c:pt>
                <c:pt idx="12">
                  <c:v>Using the internet to research or gather information</c:v>
                </c:pt>
                <c:pt idx="13">
                  <c:v>Sending or receiving email</c:v>
                </c:pt>
              </c:strCache>
            </c:strRef>
          </c:cat>
          <c:val>
            <c:numRef>
              <c:f>'5.8'!$C$3:$C$16</c:f>
              <c:numCache>
                <c:formatCode>General</c:formatCode>
                <c:ptCount val="14"/>
                <c:pt idx="0">
                  <c:v>22</c:v>
                </c:pt>
                <c:pt idx="1">
                  <c:v>49</c:v>
                </c:pt>
                <c:pt idx="2">
                  <c:v>49</c:v>
                </c:pt>
                <c:pt idx="3">
                  <c:v>55</c:v>
                </c:pt>
                <c:pt idx="4">
                  <c:v>56</c:v>
                </c:pt>
                <c:pt idx="5">
                  <c:v>58</c:v>
                </c:pt>
                <c:pt idx="6">
                  <c:v>58</c:v>
                </c:pt>
                <c:pt idx="7">
                  <c:v>65</c:v>
                </c:pt>
                <c:pt idx="8">
                  <c:v>65</c:v>
                </c:pt>
                <c:pt idx="9">
                  <c:v>79</c:v>
                </c:pt>
                <c:pt idx="10">
                  <c:v>80</c:v>
                </c:pt>
                <c:pt idx="11">
                  <c:v>95</c:v>
                </c:pt>
                <c:pt idx="12">
                  <c:v>95</c:v>
                </c:pt>
                <c:pt idx="13">
                  <c:v>96</c:v>
                </c:pt>
              </c:numCache>
            </c:numRef>
          </c:val>
        </c:ser>
        <c:dLbls>
          <c:showVal val="1"/>
        </c:dLbls>
        <c:axId val="275091840"/>
        <c:axId val="275093376"/>
      </c:barChart>
      <c:catAx>
        <c:axId val="275091840"/>
        <c:scaling>
          <c:orientation val="minMax"/>
        </c:scaling>
        <c:axPos val="l"/>
        <c:numFmt formatCode="mmm\-yy" sourceLinked="1"/>
        <c:tickLblPos val="nextTo"/>
        <c:crossAx val="275093376"/>
        <c:crosses val="autoZero"/>
        <c:auto val="1"/>
        <c:lblAlgn val="ctr"/>
        <c:lblOffset val="100"/>
      </c:catAx>
      <c:valAx>
        <c:axId val="275093376"/>
        <c:scaling>
          <c:orientation val="minMax"/>
          <c:max val="100"/>
        </c:scaling>
        <c:delete val="1"/>
        <c:axPos val="b"/>
        <c:title>
          <c:tx>
            <c:rich>
              <a:bodyPr/>
              <a:lstStyle/>
              <a:p>
                <a:pPr>
                  <a:defRPr b="0"/>
                </a:pPr>
                <a:r>
                  <a:rPr lang="en-AU" b="0"/>
                  <a:t>% of internet users aged 18 years and over</a:t>
                </a:r>
              </a:p>
            </c:rich>
          </c:tx>
        </c:title>
        <c:numFmt formatCode="General" sourceLinked="1"/>
        <c:tickLblPos val="none"/>
        <c:crossAx val="275091840"/>
        <c:crosses val="autoZero"/>
        <c:crossBetween val="between"/>
      </c:valAx>
    </c:plotArea>
    <c:legend>
      <c:legendPos val="t"/>
    </c:legend>
    <c:plotVisOnly val="1"/>
  </c:chart>
  <c:spPr>
    <a:ln>
      <a:noFill/>
    </a:ln>
  </c:spPr>
  <c:txPr>
    <a:bodyPr/>
    <a:lstStyle/>
    <a:p>
      <a:pPr>
        <a:defRPr sz="900" baseline="0">
          <a:latin typeface="Arial" pitchFamily="34" charset="0"/>
          <a:cs typeface="Arial" pitchFamily="34" charset="0"/>
        </a:defRPr>
      </a:pPr>
      <a:endParaRPr lang="en-US"/>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7.2222206343989223E-2"/>
          <c:y val="2.212941398038764E-2"/>
          <c:w val="0.91694444444445278"/>
          <c:h val="0.83779308836395461"/>
        </c:manualLayout>
      </c:layout>
      <c:lineChart>
        <c:grouping val="standard"/>
        <c:ser>
          <c:idx val="0"/>
          <c:order val="0"/>
          <c:tx>
            <c:strRef>
              <c:f>'5.9'!$A$3</c:f>
              <c:strCache>
                <c:ptCount val="1"/>
                <c:pt idx="0">
                  <c:v>None</c:v>
                </c:pt>
              </c:strCache>
            </c:strRef>
          </c:tx>
          <c:dLbls>
            <c:dLbl>
              <c:idx val="0"/>
              <c:layout>
                <c:manualLayout>
                  <c:x val="-5.2777777777777764E-2"/>
                  <c:y val="5.5555555555555455E-2"/>
                </c:manualLayout>
              </c:layout>
              <c:showVal val="1"/>
            </c:dLbl>
            <c:dLbl>
              <c:idx val="1"/>
              <c:layout>
                <c:manualLayout>
                  <c:x val="-3.333333333333334E-2"/>
                  <c:y val="4.1666666666666664E-2"/>
                </c:manualLayout>
              </c:layout>
              <c:showVal val="1"/>
            </c:dLbl>
            <c:dLbl>
              <c:idx val="2"/>
              <c:layout>
                <c:manualLayout>
                  <c:x val="-4.1666666666666623E-2"/>
                  <c:y val="6.4814814814816143E-2"/>
                </c:manualLayout>
              </c:layout>
              <c:showVal val="1"/>
            </c:dLbl>
            <c:dLbl>
              <c:idx val="3"/>
              <c:layout>
                <c:manualLayout>
                  <c:x val="-4.1666666666666664E-2"/>
                  <c:y val="6.9444444444444503E-2"/>
                </c:manualLayout>
              </c:layout>
              <c:showVal val="1"/>
            </c:dLbl>
            <c:dLbl>
              <c:idx val="4"/>
              <c:layout>
                <c:manualLayout>
                  <c:x val="-3.888888888888889E-2"/>
                  <c:y val="6.4814814814816143E-2"/>
                </c:manualLayout>
              </c:layout>
              <c:showVal val="1"/>
            </c:dLbl>
            <c:dLbl>
              <c:idx val="5"/>
              <c:layout>
                <c:manualLayout>
                  <c:x val="-4.4444444444444432E-2"/>
                  <c:y val="6.9444444444444503E-2"/>
                </c:manualLayout>
              </c:layout>
              <c:showVal val="1"/>
            </c:dLbl>
            <c:numFmt formatCode="#,##0" sourceLinked="0"/>
            <c:showVal val="1"/>
          </c:dLbls>
          <c:cat>
            <c:strRef>
              <c:f>'5.9'!$B$2:$G$2</c:f>
              <c:strCache>
                <c:ptCount val="6"/>
                <c:pt idx="0">
                  <c:v>Jun-08</c:v>
                </c:pt>
                <c:pt idx="1">
                  <c:v>Jun-09</c:v>
                </c:pt>
                <c:pt idx="2">
                  <c:v>Jun-10</c:v>
                </c:pt>
                <c:pt idx="3">
                  <c:v>Jun-11</c:v>
                </c:pt>
                <c:pt idx="4">
                  <c:v>Jun-12</c:v>
                </c:pt>
                <c:pt idx="5">
                  <c:v>Jun-13</c:v>
                </c:pt>
              </c:strCache>
            </c:strRef>
          </c:cat>
          <c:val>
            <c:numRef>
              <c:f>'5.9'!$B$3:$G$3</c:f>
              <c:numCache>
                <c:formatCode>0.0</c:formatCode>
                <c:ptCount val="6"/>
                <c:pt idx="0">
                  <c:v>32.5</c:v>
                </c:pt>
                <c:pt idx="1">
                  <c:v>29.599999999999987</c:v>
                </c:pt>
                <c:pt idx="2">
                  <c:v>27.699999999999996</c:v>
                </c:pt>
                <c:pt idx="3">
                  <c:v>27.1</c:v>
                </c:pt>
                <c:pt idx="4">
                  <c:v>23.6</c:v>
                </c:pt>
                <c:pt idx="5">
                  <c:v>23</c:v>
                </c:pt>
              </c:numCache>
            </c:numRef>
          </c:val>
        </c:ser>
        <c:ser>
          <c:idx val="1"/>
          <c:order val="1"/>
          <c:tx>
            <c:strRef>
              <c:f>'5.9'!$A$4</c:f>
              <c:strCache>
                <c:ptCount val="1"/>
                <c:pt idx="0">
                  <c:v>1–4</c:v>
                </c:pt>
              </c:strCache>
            </c:strRef>
          </c:tx>
          <c:dLbls>
            <c:dLbl>
              <c:idx val="0"/>
              <c:layout>
                <c:manualLayout>
                  <c:x val="-1.388888888888911E-2"/>
                  <c:y val="-5.5555555555555455E-2"/>
                </c:manualLayout>
              </c:layout>
              <c:showVal val="1"/>
            </c:dLbl>
            <c:dLbl>
              <c:idx val="1"/>
              <c:layout>
                <c:manualLayout>
                  <c:x val="-2.5000000000000001E-2"/>
                  <c:y val="-5.5555555555555455E-2"/>
                </c:manualLayout>
              </c:layout>
              <c:showVal val="1"/>
            </c:dLbl>
            <c:dLbl>
              <c:idx val="2"/>
              <c:layout>
                <c:manualLayout>
                  <c:x val="-3.0555555555555516E-2"/>
                  <c:y val="-6.9444444444444503E-2"/>
                </c:manualLayout>
              </c:layout>
              <c:showVal val="1"/>
            </c:dLbl>
            <c:dLbl>
              <c:idx val="3"/>
              <c:layout>
                <c:manualLayout>
                  <c:x val="-3.888888888888889E-2"/>
                  <c:y val="-4.6296296296296523E-2"/>
                </c:manualLayout>
              </c:layout>
              <c:showVal val="1"/>
            </c:dLbl>
            <c:dLbl>
              <c:idx val="4"/>
              <c:layout>
                <c:manualLayout>
                  <c:x val="-4.1666666666666664E-2"/>
                  <c:y val="4.6296296296296523E-2"/>
                </c:manualLayout>
              </c:layout>
              <c:showVal val="1"/>
            </c:dLbl>
            <c:dLbl>
              <c:idx val="5"/>
              <c:layout>
                <c:manualLayout>
                  <c:x val="-4.1666666666666567E-2"/>
                  <c:y val="6.9444444444444503E-2"/>
                </c:manualLayout>
              </c:layout>
              <c:showVal val="1"/>
            </c:dLbl>
            <c:numFmt formatCode="#,##0" sourceLinked="0"/>
            <c:showVal val="1"/>
          </c:dLbls>
          <c:cat>
            <c:strRef>
              <c:f>'5.9'!$B$2:$G$2</c:f>
              <c:strCache>
                <c:ptCount val="6"/>
                <c:pt idx="0">
                  <c:v>Jun-08</c:v>
                </c:pt>
                <c:pt idx="1">
                  <c:v>Jun-09</c:v>
                </c:pt>
                <c:pt idx="2">
                  <c:v>Jun-10</c:v>
                </c:pt>
                <c:pt idx="3">
                  <c:v>Jun-11</c:v>
                </c:pt>
                <c:pt idx="4">
                  <c:v>Jun-12</c:v>
                </c:pt>
                <c:pt idx="5">
                  <c:v>Jun-13</c:v>
                </c:pt>
              </c:strCache>
            </c:strRef>
          </c:cat>
          <c:val>
            <c:numRef>
              <c:f>'5.9'!$B$4:$G$4</c:f>
              <c:numCache>
                <c:formatCode>0.0</c:formatCode>
                <c:ptCount val="6"/>
                <c:pt idx="0">
                  <c:v>53.761911177849932</c:v>
                </c:pt>
                <c:pt idx="1">
                  <c:v>52.8</c:v>
                </c:pt>
                <c:pt idx="2">
                  <c:v>44.2</c:v>
                </c:pt>
                <c:pt idx="3">
                  <c:v>37.600000000000009</c:v>
                </c:pt>
                <c:pt idx="4">
                  <c:v>36.900000000000006</c:v>
                </c:pt>
                <c:pt idx="5">
                  <c:v>33.9</c:v>
                </c:pt>
              </c:numCache>
            </c:numRef>
          </c:val>
        </c:ser>
        <c:ser>
          <c:idx val="2"/>
          <c:order val="2"/>
          <c:tx>
            <c:strRef>
              <c:f>'5.9'!$A$5</c:f>
              <c:strCache>
                <c:ptCount val="1"/>
                <c:pt idx="0">
                  <c:v>5+</c:v>
                </c:pt>
              </c:strCache>
            </c:strRef>
          </c:tx>
          <c:dLbls>
            <c:dLbl>
              <c:idx val="2"/>
              <c:delete val="1"/>
            </c:dLbl>
            <c:dLbl>
              <c:idx val="3"/>
              <c:layout>
                <c:manualLayout>
                  <c:x val="-4.1666666666666664E-2"/>
                  <c:y val="4.1666666666666664E-2"/>
                </c:manualLayout>
              </c:layout>
              <c:showVal val="1"/>
            </c:dLbl>
            <c:dLbl>
              <c:idx val="4"/>
              <c:layout>
                <c:manualLayout>
                  <c:x val="-3.888888888888889E-2"/>
                  <c:y val="-3.7037037037037292E-2"/>
                </c:manualLayout>
              </c:layout>
              <c:showVal val="1"/>
            </c:dLbl>
            <c:dLbl>
              <c:idx val="5"/>
              <c:layout>
                <c:manualLayout>
                  <c:x val="-4.9999999999999933E-2"/>
                  <c:y val="-4.1666666666666664E-2"/>
                </c:manualLayout>
              </c:layout>
              <c:showVal val="1"/>
            </c:dLbl>
            <c:numFmt formatCode="#,##0" sourceLinked="0"/>
            <c:showVal val="1"/>
          </c:dLbls>
          <c:cat>
            <c:strRef>
              <c:f>'5.9'!$B$2:$G$2</c:f>
              <c:strCache>
                <c:ptCount val="6"/>
                <c:pt idx="0">
                  <c:v>Jun-08</c:v>
                </c:pt>
                <c:pt idx="1">
                  <c:v>Jun-09</c:v>
                </c:pt>
                <c:pt idx="2">
                  <c:v>Jun-10</c:v>
                </c:pt>
                <c:pt idx="3">
                  <c:v>Jun-11</c:v>
                </c:pt>
                <c:pt idx="4">
                  <c:v>Jun-12</c:v>
                </c:pt>
                <c:pt idx="5">
                  <c:v>Jun-13</c:v>
                </c:pt>
              </c:strCache>
            </c:strRef>
          </c:cat>
          <c:val>
            <c:numRef>
              <c:f>'5.9'!$B$5:$G$5</c:f>
              <c:numCache>
                <c:formatCode>0.0</c:formatCode>
                <c:ptCount val="6"/>
                <c:pt idx="0">
                  <c:v>11.724110296151951</c:v>
                </c:pt>
                <c:pt idx="1">
                  <c:v>17.399999999999999</c:v>
                </c:pt>
                <c:pt idx="2">
                  <c:v>27.599999999999987</c:v>
                </c:pt>
                <c:pt idx="3">
                  <c:v>35.4</c:v>
                </c:pt>
                <c:pt idx="4">
                  <c:v>39.400000000000006</c:v>
                </c:pt>
                <c:pt idx="5">
                  <c:v>43</c:v>
                </c:pt>
              </c:numCache>
            </c:numRef>
          </c:val>
        </c:ser>
        <c:marker val="1"/>
        <c:axId val="275149184"/>
        <c:axId val="275150720"/>
      </c:lineChart>
      <c:catAx>
        <c:axId val="275149184"/>
        <c:scaling>
          <c:orientation val="minMax"/>
        </c:scaling>
        <c:axPos val="b"/>
        <c:tickLblPos val="nextTo"/>
        <c:crossAx val="275150720"/>
        <c:crosses val="autoZero"/>
        <c:auto val="1"/>
        <c:lblAlgn val="ctr"/>
        <c:lblOffset val="100"/>
      </c:catAx>
      <c:valAx>
        <c:axId val="275150720"/>
        <c:scaling>
          <c:orientation val="minMax"/>
        </c:scaling>
        <c:delete val="1"/>
        <c:axPos val="l"/>
        <c:title>
          <c:tx>
            <c:rich>
              <a:bodyPr rot="-5400000" vert="horz"/>
              <a:lstStyle/>
              <a:p>
                <a:pPr>
                  <a:defRPr b="0"/>
                </a:pPr>
                <a:r>
                  <a:rPr lang="en-US" b="0"/>
                  <a:t>%</a:t>
                </a:r>
                <a:r>
                  <a:rPr lang="en-US" b="0" baseline="0"/>
                  <a:t> people </a:t>
                </a:r>
                <a:r>
                  <a:rPr lang="en-US" b="0"/>
                  <a:t>aged 18 years and over</a:t>
                </a:r>
              </a:p>
            </c:rich>
          </c:tx>
        </c:title>
        <c:numFmt formatCode="0.0" sourceLinked="1"/>
        <c:tickLblPos val="none"/>
        <c:crossAx val="275149184"/>
        <c:crosses val="autoZero"/>
        <c:crossBetween val="between"/>
      </c:valAx>
      <c:spPr>
        <a:ln>
          <a:noFill/>
        </a:ln>
      </c:spPr>
    </c:plotArea>
    <c:legend>
      <c:legendPos val="t"/>
      <c:layout>
        <c:manualLayout>
          <c:xMode val="edge"/>
          <c:yMode val="edge"/>
          <c:x val="0.5162757286918086"/>
          <c:y val="6.6852348137550879E-2"/>
          <c:w val="0.34494381487250581"/>
          <c:h val="5.923685383374612E-2"/>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6.758835835279868E-2"/>
          <c:y val="1.1088011088011105E-2"/>
          <c:w val="0.88815689667028763"/>
          <c:h val="0.95841995841995842"/>
        </c:manualLayout>
      </c:layout>
      <c:barChart>
        <c:barDir val="bar"/>
        <c:grouping val="clustered"/>
        <c:ser>
          <c:idx val="0"/>
          <c:order val="0"/>
          <c:tx>
            <c:strRef>
              <c:f>'5.11'!$C$5:$C$7</c:f>
              <c:strCache>
                <c:ptCount val="1"/>
                <c:pt idx="0">
                  <c:v>Mobile phone</c:v>
                </c:pt>
              </c:strCache>
            </c:strRef>
          </c:tx>
          <c:dLbls>
            <c:dLbl>
              <c:idx val="4"/>
              <c:delete val="1"/>
            </c:dLbl>
            <c:numFmt formatCode="#,##0" sourceLinked="0"/>
            <c:dLblPos val="outEnd"/>
            <c:showVal val="1"/>
          </c:dLbls>
          <c:cat>
            <c:strRef>
              <c:f>'5.11'!$A$8:$A$16</c:f>
              <c:strCache>
                <c:ptCount val="9"/>
                <c:pt idx="0">
                  <c:v>Blogs and online communities</c:v>
                </c:pt>
                <c:pt idx="1">
                  <c:v>Buying, Selling, Shopping - non transactional</c:v>
                </c:pt>
                <c:pt idx="2">
                  <c:v>Buying, Selling, Shopping - transactions</c:v>
                </c:pt>
                <c:pt idx="3">
                  <c:v>Entertainment</c:v>
                </c:pt>
                <c:pt idx="4">
                  <c:v>Banking - non transactional</c:v>
                </c:pt>
                <c:pt idx="5">
                  <c:v>Banking - transactions</c:v>
                </c:pt>
                <c:pt idx="6">
                  <c:v>General</c:v>
                </c:pt>
                <c:pt idx="7">
                  <c:v>Research and information</c:v>
                </c:pt>
                <c:pt idx="8">
                  <c:v>Communications</c:v>
                </c:pt>
              </c:strCache>
            </c:strRef>
          </c:cat>
          <c:val>
            <c:numRef>
              <c:f>'5.11'!$C$8:$C$16</c:f>
              <c:numCache>
                <c:formatCode>General</c:formatCode>
                <c:ptCount val="9"/>
                <c:pt idx="0">
                  <c:v>5</c:v>
                </c:pt>
                <c:pt idx="1">
                  <c:v>0.70000000000000062</c:v>
                </c:pt>
                <c:pt idx="2">
                  <c:v>1.7</c:v>
                </c:pt>
                <c:pt idx="3">
                  <c:v>23.2</c:v>
                </c:pt>
                <c:pt idx="4">
                  <c:v>0</c:v>
                </c:pt>
                <c:pt idx="5">
                  <c:v>15.9</c:v>
                </c:pt>
                <c:pt idx="6">
                  <c:v>27.5</c:v>
                </c:pt>
                <c:pt idx="7">
                  <c:v>30</c:v>
                </c:pt>
                <c:pt idx="8">
                  <c:v>50.1</c:v>
                </c:pt>
              </c:numCache>
            </c:numRef>
          </c:val>
        </c:ser>
        <c:ser>
          <c:idx val="1"/>
          <c:order val="1"/>
          <c:tx>
            <c:strRef>
              <c:f>'5.11'!$B$5:$B$7</c:f>
              <c:strCache>
                <c:ptCount val="1"/>
                <c:pt idx="0">
                  <c:v>Computer</c:v>
                </c:pt>
              </c:strCache>
            </c:strRef>
          </c:tx>
          <c:dLbls>
            <c:dLbl>
              <c:idx val="4"/>
              <c:delete val="1"/>
            </c:dLbl>
            <c:numFmt formatCode="#,##0" sourceLinked="0"/>
            <c:dLblPos val="outEnd"/>
            <c:showVal val="1"/>
          </c:dLbls>
          <c:cat>
            <c:strRef>
              <c:f>'5.11'!$A$8:$A$16</c:f>
              <c:strCache>
                <c:ptCount val="9"/>
                <c:pt idx="0">
                  <c:v>Blogs and online communities</c:v>
                </c:pt>
                <c:pt idx="1">
                  <c:v>Buying, Selling, Shopping - non transactional</c:v>
                </c:pt>
                <c:pt idx="2">
                  <c:v>Buying, Selling, Shopping - transactions</c:v>
                </c:pt>
                <c:pt idx="3">
                  <c:v>Entertainment</c:v>
                </c:pt>
                <c:pt idx="4">
                  <c:v>Banking - non transactional</c:v>
                </c:pt>
                <c:pt idx="5">
                  <c:v>Banking - transactions</c:v>
                </c:pt>
                <c:pt idx="6">
                  <c:v>General</c:v>
                </c:pt>
                <c:pt idx="7">
                  <c:v>Research and information</c:v>
                </c:pt>
                <c:pt idx="8">
                  <c:v>Communications</c:v>
                </c:pt>
              </c:strCache>
            </c:strRef>
          </c:cat>
          <c:val>
            <c:numRef>
              <c:f>'5.11'!$B$8:$B$16</c:f>
              <c:numCache>
                <c:formatCode>General</c:formatCode>
                <c:ptCount val="9"/>
                <c:pt idx="0">
                  <c:v>24</c:v>
                </c:pt>
                <c:pt idx="1">
                  <c:v>5.6000000000000005</c:v>
                </c:pt>
                <c:pt idx="2">
                  <c:v>21.9</c:v>
                </c:pt>
                <c:pt idx="3">
                  <c:v>38.200000000000003</c:v>
                </c:pt>
                <c:pt idx="4">
                  <c:v>0</c:v>
                </c:pt>
                <c:pt idx="5">
                  <c:v>60.9</c:v>
                </c:pt>
                <c:pt idx="6">
                  <c:v>56.6</c:v>
                </c:pt>
                <c:pt idx="7">
                  <c:v>74.7</c:v>
                </c:pt>
                <c:pt idx="8">
                  <c:v>82.8</c:v>
                </c:pt>
              </c:numCache>
            </c:numRef>
          </c:val>
        </c:ser>
        <c:dLbls>
          <c:showVal val="1"/>
        </c:dLbls>
        <c:axId val="275201024"/>
        <c:axId val="275202816"/>
      </c:barChart>
      <c:catAx>
        <c:axId val="275201024"/>
        <c:scaling>
          <c:orientation val="minMax"/>
        </c:scaling>
        <c:delete val="1"/>
        <c:axPos val="l"/>
        <c:tickLblPos val="none"/>
        <c:crossAx val="275202816"/>
        <c:crosses val="autoZero"/>
        <c:auto val="1"/>
        <c:lblAlgn val="ctr"/>
        <c:lblOffset val="100"/>
      </c:catAx>
      <c:valAx>
        <c:axId val="275202816"/>
        <c:scaling>
          <c:orientation val="minMax"/>
        </c:scaling>
        <c:delete val="1"/>
        <c:axPos val="b"/>
        <c:numFmt formatCode="General" sourceLinked="1"/>
        <c:tickLblPos val="none"/>
        <c:crossAx val="275201024"/>
        <c:crosses val="autoZero"/>
        <c:crossBetween val="between"/>
      </c:valAx>
    </c:plotArea>
    <c:plotVisOnly val="1"/>
  </c:chart>
  <c:spPr>
    <a:solidFill>
      <a:schemeClr val="bg1"/>
    </a:solidFill>
    <a:ln>
      <a:noFill/>
    </a:ln>
  </c:spPr>
  <c:txPr>
    <a:bodyPr/>
    <a:lstStyle/>
    <a:p>
      <a:pPr>
        <a:defRPr sz="900">
          <a:latin typeface="Arial" pitchFamily="34" charset="0"/>
          <a:cs typeface="Arial" pitchFamily="34"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pieChart>
        <c:varyColors val="1"/>
        <c:ser>
          <c:idx val="0"/>
          <c:order val="0"/>
          <c:dLbls>
            <c:dLbl>
              <c:idx val="0"/>
              <c:spPr/>
              <c:txPr>
                <a:bodyPr/>
                <a:lstStyle/>
                <a:p>
                  <a:pPr>
                    <a:defRPr>
                      <a:solidFill>
                        <a:schemeClr val="bg1"/>
                      </a:solidFill>
                    </a:defRPr>
                  </a:pPr>
                  <a:endParaRPr lang="en-US"/>
                </a:p>
              </c:txPr>
            </c:dLbl>
            <c:dLblPos val="ctr"/>
            <c:showVal val="1"/>
            <c:showCatName val="1"/>
            <c:separator>
</c:separator>
            <c:showLeaderLines val="1"/>
          </c:dLbls>
          <c:cat>
            <c:strRef>
              <c:f>'1.5'!$A$4:$A$6</c:f>
              <c:strCache>
                <c:ptCount val="3"/>
                <c:pt idx="0">
                  <c:v>Telstra</c:v>
                </c:pt>
                <c:pt idx="1">
                  <c:v>Optus</c:v>
                </c:pt>
                <c:pt idx="2">
                  <c:v>VHA</c:v>
                </c:pt>
              </c:strCache>
            </c:strRef>
          </c:cat>
          <c:val>
            <c:numRef>
              <c:f>'1.5'!$B$4:$B$6</c:f>
              <c:numCache>
                <c:formatCode>0%</c:formatCode>
                <c:ptCount val="3"/>
                <c:pt idx="0">
                  <c:v>0.49000000000000032</c:v>
                </c:pt>
                <c:pt idx="1">
                  <c:v>0.31000000000000238</c:v>
                </c:pt>
                <c:pt idx="2">
                  <c:v>0.2</c:v>
                </c:pt>
              </c:numCache>
            </c:numRef>
          </c:val>
        </c:ser>
        <c:firstSliceAng val="0"/>
      </c:pieChart>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6.6365222183498024E-2"/>
          <c:y val="1.7250774837369323E-2"/>
          <c:w val="0.85185496609304556"/>
          <c:h val="0.94563661778188868"/>
        </c:manualLayout>
      </c:layout>
      <c:barChart>
        <c:barDir val="bar"/>
        <c:grouping val="clustered"/>
        <c:ser>
          <c:idx val="0"/>
          <c:order val="0"/>
          <c:tx>
            <c:strRef>
              <c:f>'5.11'!$C$22</c:f>
              <c:strCache>
                <c:ptCount val="1"/>
                <c:pt idx="0">
                  <c:v>Mobile phone</c:v>
                </c:pt>
              </c:strCache>
            </c:strRef>
          </c:tx>
          <c:dLbls>
            <c:numFmt formatCode="#,##0" sourceLinked="0"/>
            <c:dLblPos val="outEnd"/>
            <c:showVal val="1"/>
          </c:dLbls>
          <c:cat>
            <c:strRef>
              <c:f>'5.11'!$A$23:$A$31</c:f>
              <c:strCache>
                <c:ptCount val="9"/>
                <c:pt idx="0">
                  <c:v>Blogs and online communities</c:v>
                </c:pt>
                <c:pt idx="1">
                  <c:v>Buying, Selling, Shopping - other</c:v>
                </c:pt>
                <c:pt idx="2">
                  <c:v>Buying, Selling, Shopping - transactions</c:v>
                </c:pt>
                <c:pt idx="3">
                  <c:v>Entertainment</c:v>
                </c:pt>
                <c:pt idx="4">
                  <c:v>Banking - other</c:v>
                </c:pt>
                <c:pt idx="5">
                  <c:v>Banking - transactions</c:v>
                </c:pt>
                <c:pt idx="6">
                  <c:v>General</c:v>
                </c:pt>
                <c:pt idx="7">
                  <c:v>Research and information</c:v>
                </c:pt>
                <c:pt idx="8">
                  <c:v>Communications</c:v>
                </c:pt>
              </c:strCache>
            </c:strRef>
          </c:cat>
          <c:val>
            <c:numRef>
              <c:f>'5.11'!$C$23:$C$31</c:f>
              <c:numCache>
                <c:formatCode>General</c:formatCode>
                <c:ptCount val="9"/>
                <c:pt idx="0">
                  <c:v>46.4</c:v>
                </c:pt>
                <c:pt idx="1">
                  <c:v>20.3</c:v>
                </c:pt>
                <c:pt idx="2">
                  <c:v>19</c:v>
                </c:pt>
                <c:pt idx="3">
                  <c:v>56.5</c:v>
                </c:pt>
                <c:pt idx="4">
                  <c:v>40.700000000000003</c:v>
                </c:pt>
                <c:pt idx="5">
                  <c:v>34.200000000000003</c:v>
                </c:pt>
                <c:pt idx="6">
                  <c:v>54</c:v>
                </c:pt>
                <c:pt idx="7">
                  <c:v>63.4</c:v>
                </c:pt>
                <c:pt idx="8">
                  <c:v>71.099999999999994</c:v>
                </c:pt>
              </c:numCache>
            </c:numRef>
          </c:val>
        </c:ser>
        <c:ser>
          <c:idx val="1"/>
          <c:order val="1"/>
          <c:tx>
            <c:strRef>
              <c:f>'5.11'!$B$22</c:f>
              <c:strCache>
                <c:ptCount val="1"/>
                <c:pt idx="0">
                  <c:v>Computer</c:v>
                </c:pt>
              </c:strCache>
            </c:strRef>
          </c:tx>
          <c:dLbls>
            <c:numFmt formatCode="#,##0" sourceLinked="0"/>
            <c:dLblPos val="outEnd"/>
            <c:showVal val="1"/>
          </c:dLbls>
          <c:cat>
            <c:strRef>
              <c:f>'5.11'!$A$23:$A$31</c:f>
              <c:strCache>
                <c:ptCount val="9"/>
                <c:pt idx="0">
                  <c:v>Blogs and online communities</c:v>
                </c:pt>
                <c:pt idx="1">
                  <c:v>Buying, Selling, Shopping - other</c:v>
                </c:pt>
                <c:pt idx="2">
                  <c:v>Buying, Selling, Shopping - transactions</c:v>
                </c:pt>
                <c:pt idx="3">
                  <c:v>Entertainment</c:v>
                </c:pt>
                <c:pt idx="4">
                  <c:v>Banking - other</c:v>
                </c:pt>
                <c:pt idx="5">
                  <c:v>Banking - transactions</c:v>
                </c:pt>
                <c:pt idx="6">
                  <c:v>General</c:v>
                </c:pt>
                <c:pt idx="7">
                  <c:v>Research and information</c:v>
                </c:pt>
                <c:pt idx="8">
                  <c:v>Communications</c:v>
                </c:pt>
              </c:strCache>
            </c:strRef>
          </c:cat>
          <c:val>
            <c:numRef>
              <c:f>'5.11'!$B$23:$B$31</c:f>
              <c:numCache>
                <c:formatCode>General</c:formatCode>
                <c:ptCount val="9"/>
                <c:pt idx="0">
                  <c:v>41.4</c:v>
                </c:pt>
                <c:pt idx="1">
                  <c:v>43.3</c:v>
                </c:pt>
                <c:pt idx="2">
                  <c:v>44.5</c:v>
                </c:pt>
                <c:pt idx="3">
                  <c:v>57.9</c:v>
                </c:pt>
                <c:pt idx="4">
                  <c:v>60.9</c:v>
                </c:pt>
                <c:pt idx="5">
                  <c:v>62.6</c:v>
                </c:pt>
                <c:pt idx="6">
                  <c:v>62.8</c:v>
                </c:pt>
                <c:pt idx="7">
                  <c:v>74</c:v>
                </c:pt>
                <c:pt idx="8">
                  <c:v>83.5</c:v>
                </c:pt>
              </c:numCache>
            </c:numRef>
          </c:val>
        </c:ser>
        <c:dLbls>
          <c:showVal val="1"/>
        </c:dLbls>
        <c:axId val="275268736"/>
        <c:axId val="275270272"/>
      </c:barChart>
      <c:catAx>
        <c:axId val="275268736"/>
        <c:scaling>
          <c:orientation val="minMax"/>
        </c:scaling>
        <c:delete val="1"/>
        <c:axPos val="l"/>
        <c:tickLblPos val="none"/>
        <c:crossAx val="275270272"/>
        <c:crosses val="autoZero"/>
        <c:auto val="1"/>
        <c:lblAlgn val="ctr"/>
        <c:lblOffset val="100"/>
      </c:catAx>
      <c:valAx>
        <c:axId val="275270272"/>
        <c:scaling>
          <c:orientation val="minMax"/>
        </c:scaling>
        <c:delete val="1"/>
        <c:axPos val="b"/>
        <c:numFmt formatCode="General" sourceLinked="1"/>
        <c:tickLblPos val="none"/>
        <c:crossAx val="275268736"/>
        <c:crosses val="autoZero"/>
        <c:crossBetween val="between"/>
      </c:valAx>
      <c:spPr>
        <a:ln>
          <a:noFill/>
        </a:ln>
      </c:spPr>
    </c:plotArea>
    <c:legend>
      <c:legendPos val="r"/>
      <c:layout>
        <c:manualLayout>
          <c:xMode val="edge"/>
          <c:yMode val="edge"/>
          <c:x val="0.59520223776527958"/>
          <c:y val="0.74760667524392466"/>
          <c:w val="0.32914050902008651"/>
          <c:h val="0.1435845051593084"/>
        </c:manualLayout>
      </c:layou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clustered"/>
        <c:ser>
          <c:idx val="0"/>
          <c:order val="0"/>
          <c:cat>
            <c:strRef>
              <c:f>'5.12'!$A$3:$A$7</c:f>
              <c:strCache>
                <c:ptCount val="5"/>
                <c:pt idx="0">
                  <c:v>Jun-08</c:v>
                </c:pt>
                <c:pt idx="1">
                  <c:v>Jun-09</c:v>
                </c:pt>
                <c:pt idx="2">
                  <c:v>Jun-10</c:v>
                </c:pt>
                <c:pt idx="3">
                  <c:v>Jun-11</c:v>
                </c:pt>
                <c:pt idx="4">
                  <c:v>Jun-12</c:v>
                </c:pt>
              </c:strCache>
            </c:strRef>
          </c:cat>
          <c:val>
            <c:numRef>
              <c:f>'5.12'!$B$3:$B$7</c:f>
              <c:numCache>
                <c:formatCode>General</c:formatCode>
                <c:ptCount val="5"/>
                <c:pt idx="0">
                  <c:v>81</c:v>
                </c:pt>
                <c:pt idx="1">
                  <c:v>123</c:v>
                </c:pt>
                <c:pt idx="2">
                  <c:v>143</c:v>
                </c:pt>
                <c:pt idx="3">
                  <c:v>189</c:v>
                </c:pt>
                <c:pt idx="4">
                  <c:v>237</c:v>
                </c:pt>
              </c:numCache>
            </c:numRef>
          </c:val>
        </c:ser>
        <c:dLbls>
          <c:showVal val="1"/>
        </c:dLbls>
        <c:axId val="275196160"/>
        <c:axId val="275308928"/>
      </c:barChart>
      <c:catAx>
        <c:axId val="275196160"/>
        <c:scaling>
          <c:orientation val="minMax"/>
        </c:scaling>
        <c:axPos val="b"/>
        <c:title>
          <c:tx>
            <c:rich>
              <a:bodyPr/>
              <a:lstStyle/>
              <a:p>
                <a:pPr>
                  <a:defRPr b="0"/>
                </a:pPr>
                <a:r>
                  <a:rPr lang="en-AU" b="0"/>
                  <a:t>Financial year ending</a:t>
                </a:r>
              </a:p>
            </c:rich>
          </c:tx>
          <c:layout>
            <c:manualLayout>
              <c:xMode val="edge"/>
              <c:yMode val="edge"/>
              <c:x val="0.39472010419304537"/>
              <c:y val="0.90477492664136494"/>
            </c:manualLayout>
          </c:layout>
        </c:title>
        <c:tickLblPos val="nextTo"/>
        <c:crossAx val="275308928"/>
        <c:crosses val="autoZero"/>
        <c:auto val="1"/>
        <c:lblAlgn val="ctr"/>
        <c:lblOffset val="100"/>
      </c:catAx>
      <c:valAx>
        <c:axId val="275308928"/>
        <c:scaling>
          <c:orientation val="minMax"/>
        </c:scaling>
        <c:delete val="1"/>
        <c:axPos val="l"/>
        <c:title>
          <c:tx>
            <c:rich>
              <a:bodyPr rot="-5400000" vert="horz"/>
              <a:lstStyle/>
              <a:p>
                <a:pPr>
                  <a:defRPr b="0"/>
                </a:pPr>
                <a:r>
                  <a:rPr lang="en-AU" b="0"/>
                  <a:t>$ Aus billion</a:t>
                </a:r>
              </a:p>
            </c:rich>
          </c:tx>
        </c:title>
        <c:numFmt formatCode="General" sourceLinked="1"/>
        <c:tickLblPos val="none"/>
        <c:crossAx val="275196160"/>
        <c:crosses val="autoZero"/>
        <c:crossBetween val="between"/>
      </c:valAx>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4.4344334007429424E-2"/>
          <c:y val="7.2419080823152432E-2"/>
          <c:w val="0.93561923612008713"/>
          <c:h val="0.81345959334820483"/>
        </c:manualLayout>
      </c:layout>
      <c:lineChart>
        <c:grouping val="standard"/>
        <c:ser>
          <c:idx val="0"/>
          <c:order val="0"/>
          <c:tx>
            <c:strRef>
              <c:f>'http://collaboration/organisation/DED/NBNIMB/CAS/CommsReport201213/Project Documents/Comms report drafting/[online spend shopping.xlsx]Sheet1'!$C$6</c:f>
              <c:strCache>
                <c:ptCount val="1"/>
                <c:pt idx="0">
                  <c:v>UK</c:v>
                </c:pt>
              </c:strCache>
            </c:strRef>
          </c:tx>
          <c:dLbls>
            <c:dLbl>
              <c:idx val="0"/>
              <c:layout>
                <c:manualLayout>
                  <c:x val="-2.7380952594839452E-2"/>
                  <c:y val="-2.5054470221958936E-2"/>
                </c:manualLayout>
              </c:layout>
              <c:showVal val="1"/>
            </c:dLbl>
            <c:dLbl>
              <c:idx val="1"/>
              <c:layout>
                <c:manualLayout>
                  <c:x val="-1.5972222346989653E-2"/>
                  <c:y val="-2.8633680253667356E-2"/>
                </c:manualLayout>
              </c:layout>
              <c:showVal val="1"/>
            </c:dLbl>
            <c:dLbl>
              <c:idx val="2"/>
              <c:layout>
                <c:manualLayout>
                  <c:x val="-2.5099206545269676E-2"/>
                  <c:y val="-5.01089404439179E-2"/>
                </c:manualLayout>
              </c:layout>
              <c:showVal val="1"/>
            </c:dLbl>
            <c:dLbl>
              <c:idx val="3"/>
              <c:layout>
                <c:manualLayout>
                  <c:x val="-1.8253968396559562E-2"/>
                  <c:y val="-3.5792100317084199E-2"/>
                </c:manualLayout>
              </c:layout>
              <c:showVal val="1"/>
            </c:dLbl>
            <c:dLbl>
              <c:idx val="4"/>
              <c:tx>
                <c:rich>
                  <a:bodyPr/>
                  <a:lstStyle/>
                  <a:p>
                    <a:r>
                      <a:rPr lang="en-US"/>
                      <a:t>1,083</a:t>
                    </a:r>
                  </a:p>
                </c:rich>
              </c:tx>
              <c:showVal val="1"/>
            </c:dLbl>
            <c:showVal val="1"/>
          </c:dLbls>
          <c:cat>
            <c:numRef>
              <c:f>'http://collaboration/organisation/DED/NBNIMB/CAS/CommsReport201213/Project Documents/Comms report drafting/[online spend shopping.xlsx]Sheet1'!$D$5:$H$5</c:f>
              <c:numCache>
                <c:formatCode>General</c:formatCode>
                <c:ptCount val="5"/>
                <c:pt idx="0">
                  <c:v>2007</c:v>
                </c:pt>
                <c:pt idx="1">
                  <c:v>2008</c:v>
                </c:pt>
                <c:pt idx="2">
                  <c:v>2009</c:v>
                </c:pt>
                <c:pt idx="3">
                  <c:v>2010</c:v>
                </c:pt>
                <c:pt idx="4">
                  <c:v>2011</c:v>
                </c:pt>
              </c:numCache>
            </c:numRef>
          </c:cat>
          <c:val>
            <c:numRef>
              <c:f>'http://collaboration/organisation/DED/NBNIMB/CAS/CommsReport201213/Project Documents/Comms report drafting/[online spend shopping.xlsx]Sheet1'!$D$6:$H$6</c:f>
              <c:numCache>
                <c:formatCode>General</c:formatCode>
                <c:ptCount val="5"/>
                <c:pt idx="0">
                  <c:v>742</c:v>
                </c:pt>
                <c:pt idx="1">
                  <c:v>771</c:v>
                </c:pt>
                <c:pt idx="2">
                  <c:v>779</c:v>
                </c:pt>
                <c:pt idx="3">
                  <c:v>950</c:v>
                </c:pt>
                <c:pt idx="4">
                  <c:v>1083</c:v>
                </c:pt>
              </c:numCache>
            </c:numRef>
          </c:val>
        </c:ser>
        <c:ser>
          <c:idx val="1"/>
          <c:order val="1"/>
          <c:tx>
            <c:strRef>
              <c:f>'http://collaboration/organisation/DED/NBNIMB/CAS/CommsReport201213/Project Documents/Comms report drafting/[online spend shopping.xlsx]Sheet1'!$C$7</c:f>
              <c:strCache>
                <c:ptCount val="1"/>
                <c:pt idx="0">
                  <c:v>Australia</c:v>
                </c:pt>
              </c:strCache>
            </c:strRef>
          </c:tx>
          <c:marker>
            <c:symbol val="square"/>
            <c:size val="7"/>
          </c:marker>
          <c:dLbls>
            <c:dLbl>
              <c:idx val="0"/>
              <c:layout>
                <c:manualLayout>
                  <c:x val="-6.3888889387958447E-2"/>
                  <c:y val="-3.5792100317084212E-3"/>
                </c:manualLayout>
              </c:layout>
              <c:showVal val="1"/>
            </c:dLbl>
            <c:dLbl>
              <c:idx val="1"/>
              <c:layout>
                <c:manualLayout>
                  <c:x val="2.2817460495699296E-3"/>
                  <c:y val="2.5054470221958936E-2"/>
                </c:manualLayout>
              </c:layout>
              <c:showVal val="1"/>
            </c:dLbl>
            <c:dLbl>
              <c:idx val="3"/>
              <c:layout>
                <c:manualLayout>
                  <c:x val="0"/>
                  <c:y val="1.4316840126833676E-2"/>
                </c:manualLayout>
              </c:layout>
              <c:showVal val="1"/>
            </c:dLbl>
            <c:showVal val="1"/>
          </c:dLbls>
          <c:cat>
            <c:numRef>
              <c:f>'http://collaboration/organisation/DED/NBNIMB/CAS/CommsReport201213/Project Documents/Comms report drafting/[online spend shopping.xlsx]Sheet1'!$D$5:$H$5</c:f>
              <c:numCache>
                <c:formatCode>General</c:formatCode>
                <c:ptCount val="5"/>
                <c:pt idx="0">
                  <c:v>2007</c:v>
                </c:pt>
                <c:pt idx="1">
                  <c:v>2008</c:v>
                </c:pt>
                <c:pt idx="2">
                  <c:v>2009</c:v>
                </c:pt>
                <c:pt idx="3">
                  <c:v>2010</c:v>
                </c:pt>
                <c:pt idx="4">
                  <c:v>2011</c:v>
                </c:pt>
              </c:numCache>
            </c:numRef>
          </c:cat>
          <c:val>
            <c:numRef>
              <c:f>'http://collaboration/organisation/DED/NBNIMB/CAS/CommsReport201213/Project Documents/Comms report drafting/[online spend shopping.xlsx]Sheet1'!$D$7:$H$7</c:f>
              <c:numCache>
                <c:formatCode>General</c:formatCode>
                <c:ptCount val="5"/>
                <c:pt idx="0">
                  <c:v>411</c:v>
                </c:pt>
                <c:pt idx="1">
                  <c:v>406</c:v>
                </c:pt>
                <c:pt idx="2">
                  <c:v>468</c:v>
                </c:pt>
                <c:pt idx="3">
                  <c:v>667</c:v>
                </c:pt>
                <c:pt idx="4">
                  <c:v>842</c:v>
                </c:pt>
              </c:numCache>
            </c:numRef>
          </c:val>
        </c:ser>
        <c:ser>
          <c:idx val="2"/>
          <c:order val="2"/>
          <c:tx>
            <c:strRef>
              <c:f>'http://collaboration/organisation/DED/NBNIMB/CAS/CommsReport201213/Project Documents/Comms report drafting/[online spend shopping.xlsx]Sheet1'!$C$8</c:f>
              <c:strCache>
                <c:ptCount val="1"/>
                <c:pt idx="0">
                  <c:v>Sweden</c:v>
                </c:pt>
              </c:strCache>
            </c:strRef>
          </c:tx>
          <c:cat>
            <c:numRef>
              <c:f>'http://collaboration/organisation/DED/NBNIMB/CAS/CommsReport201213/Project Documents/Comms report drafting/[online spend shopping.xlsx]Sheet1'!$D$5:$H$5</c:f>
              <c:numCache>
                <c:formatCode>General</c:formatCode>
                <c:ptCount val="5"/>
                <c:pt idx="0">
                  <c:v>2007</c:v>
                </c:pt>
                <c:pt idx="1">
                  <c:v>2008</c:v>
                </c:pt>
                <c:pt idx="2">
                  <c:v>2009</c:v>
                </c:pt>
                <c:pt idx="3">
                  <c:v>2010</c:v>
                </c:pt>
                <c:pt idx="4">
                  <c:v>2011</c:v>
                </c:pt>
              </c:numCache>
            </c:numRef>
          </c:cat>
          <c:val>
            <c:numRef>
              <c:f>'http://collaboration/organisation/DED/NBNIMB/CAS/CommsReport201213/Project Documents/Comms report drafting/[online spend shopping.xlsx]Sheet1'!$D$8:$H$8</c:f>
              <c:numCache>
                <c:formatCode>General</c:formatCode>
                <c:ptCount val="5"/>
                <c:pt idx="0">
                  <c:v>384</c:v>
                </c:pt>
                <c:pt idx="1">
                  <c:v>463</c:v>
                </c:pt>
                <c:pt idx="2">
                  <c:v>578</c:v>
                </c:pt>
                <c:pt idx="3">
                  <c:v>668</c:v>
                </c:pt>
                <c:pt idx="4">
                  <c:v>747</c:v>
                </c:pt>
              </c:numCache>
            </c:numRef>
          </c:val>
        </c:ser>
        <c:ser>
          <c:idx val="3"/>
          <c:order val="3"/>
          <c:tx>
            <c:strRef>
              <c:f>'http://collaboration/organisation/DED/NBNIMB/CAS/CommsReport201213/Project Documents/Comms report drafting/[online spend shopping.xlsx]Sheet1'!$C$9</c:f>
              <c:strCache>
                <c:ptCount val="1"/>
                <c:pt idx="0">
                  <c:v>Ireland</c:v>
                </c:pt>
              </c:strCache>
            </c:strRef>
          </c:tx>
          <c:cat>
            <c:numRef>
              <c:f>'http://collaboration/organisation/DED/NBNIMB/CAS/CommsReport201213/Project Documents/Comms report drafting/[online spend shopping.xlsx]Sheet1'!$D$5:$H$5</c:f>
              <c:numCache>
                <c:formatCode>General</c:formatCode>
                <c:ptCount val="5"/>
                <c:pt idx="0">
                  <c:v>2007</c:v>
                </c:pt>
                <c:pt idx="1">
                  <c:v>2008</c:v>
                </c:pt>
                <c:pt idx="2">
                  <c:v>2009</c:v>
                </c:pt>
                <c:pt idx="3">
                  <c:v>2010</c:v>
                </c:pt>
                <c:pt idx="4">
                  <c:v>2011</c:v>
                </c:pt>
              </c:numCache>
            </c:numRef>
          </c:cat>
          <c:val>
            <c:numRef>
              <c:f>'http://collaboration/organisation/DED/NBNIMB/CAS/CommsReport201213/Project Documents/Comms report drafting/[online spend shopping.xlsx]Sheet1'!$D$9:$H$9</c:f>
              <c:numCache>
                <c:formatCode>General</c:formatCode>
                <c:ptCount val="5"/>
                <c:pt idx="0">
                  <c:v>291</c:v>
                </c:pt>
                <c:pt idx="1">
                  <c:v>419</c:v>
                </c:pt>
                <c:pt idx="2">
                  <c:v>401</c:v>
                </c:pt>
                <c:pt idx="3">
                  <c:v>552</c:v>
                </c:pt>
                <c:pt idx="4">
                  <c:v>683</c:v>
                </c:pt>
              </c:numCache>
            </c:numRef>
          </c:val>
        </c:ser>
        <c:ser>
          <c:idx val="4"/>
          <c:order val="4"/>
          <c:tx>
            <c:strRef>
              <c:f>'http://collaboration/organisation/DED/NBNIMB/CAS/CommsReport201213/Project Documents/Comms report drafting/[online spend shopping.xlsx]Sheet1'!$C$10</c:f>
              <c:strCache>
                <c:ptCount val="1"/>
                <c:pt idx="0">
                  <c:v>USA</c:v>
                </c:pt>
              </c:strCache>
            </c:strRef>
          </c:tx>
          <c:cat>
            <c:numRef>
              <c:f>'http://collaboration/organisation/DED/NBNIMB/CAS/CommsReport201213/Project Documents/Comms report drafting/[online spend shopping.xlsx]Sheet1'!$D$5:$H$5</c:f>
              <c:numCache>
                <c:formatCode>General</c:formatCode>
                <c:ptCount val="5"/>
                <c:pt idx="0">
                  <c:v>2007</c:v>
                </c:pt>
                <c:pt idx="1">
                  <c:v>2008</c:v>
                </c:pt>
                <c:pt idx="2">
                  <c:v>2009</c:v>
                </c:pt>
                <c:pt idx="3">
                  <c:v>2010</c:v>
                </c:pt>
                <c:pt idx="4">
                  <c:v>2011</c:v>
                </c:pt>
              </c:numCache>
            </c:numRef>
          </c:cat>
          <c:val>
            <c:numRef>
              <c:f>'http://collaboration/organisation/DED/NBNIMB/CAS/CommsReport201213/Project Documents/Comms report drafting/[online spend shopping.xlsx]Sheet1'!$D$10:$H$10</c:f>
              <c:numCache>
                <c:formatCode>General</c:formatCode>
                <c:ptCount val="5"/>
                <c:pt idx="0">
                  <c:v>443</c:v>
                </c:pt>
                <c:pt idx="1">
                  <c:v>455</c:v>
                </c:pt>
                <c:pt idx="2">
                  <c:v>494</c:v>
                </c:pt>
                <c:pt idx="3">
                  <c:v>567</c:v>
                </c:pt>
                <c:pt idx="4">
                  <c:v>620</c:v>
                </c:pt>
              </c:numCache>
            </c:numRef>
          </c:val>
        </c:ser>
        <c:ser>
          <c:idx val="5"/>
          <c:order val="5"/>
          <c:tx>
            <c:strRef>
              <c:f>'http://collaboration/organisation/DED/NBNIMB/CAS/CommsReport201213/Project Documents/Comms report drafting/[online spend shopping.xlsx]Sheet1'!$C$11</c:f>
              <c:strCache>
                <c:ptCount val="1"/>
                <c:pt idx="0">
                  <c:v>Japan</c:v>
                </c:pt>
              </c:strCache>
            </c:strRef>
          </c:tx>
          <c:cat>
            <c:numRef>
              <c:f>'http://collaboration/organisation/DED/NBNIMB/CAS/CommsReport201213/Project Documents/Comms report drafting/[online spend shopping.xlsx]Sheet1'!$D$5:$H$5</c:f>
              <c:numCache>
                <c:formatCode>General</c:formatCode>
                <c:ptCount val="5"/>
                <c:pt idx="0">
                  <c:v>2007</c:v>
                </c:pt>
                <c:pt idx="1">
                  <c:v>2008</c:v>
                </c:pt>
                <c:pt idx="2">
                  <c:v>2009</c:v>
                </c:pt>
                <c:pt idx="3">
                  <c:v>2010</c:v>
                </c:pt>
                <c:pt idx="4">
                  <c:v>2011</c:v>
                </c:pt>
              </c:numCache>
            </c:numRef>
          </c:cat>
          <c:val>
            <c:numRef>
              <c:f>'http://collaboration/organisation/DED/NBNIMB/CAS/CommsReport201213/Project Documents/Comms report drafting/[online spend shopping.xlsx]Sheet1'!$D$11:$H$11</c:f>
              <c:numCache>
                <c:formatCode>General</c:formatCode>
                <c:ptCount val="5"/>
                <c:pt idx="0">
                  <c:v>225</c:v>
                </c:pt>
                <c:pt idx="1">
                  <c:v>272</c:v>
                </c:pt>
                <c:pt idx="2">
                  <c:v>349</c:v>
                </c:pt>
                <c:pt idx="3">
                  <c:v>456</c:v>
                </c:pt>
                <c:pt idx="4">
                  <c:v>527</c:v>
                </c:pt>
              </c:numCache>
            </c:numRef>
          </c:val>
        </c:ser>
        <c:ser>
          <c:idx val="6"/>
          <c:order val="6"/>
          <c:tx>
            <c:strRef>
              <c:f>'http://collaboration/organisation/DED/NBNIMB/CAS/CommsReport201213/Project Documents/Comms report drafting/[online spend shopping.xlsx]Sheet1'!$C$12</c:f>
              <c:strCache>
                <c:ptCount val="1"/>
                <c:pt idx="0">
                  <c:v>France</c:v>
                </c:pt>
              </c:strCache>
            </c:strRef>
          </c:tx>
          <c:cat>
            <c:numRef>
              <c:f>'http://collaboration/organisation/DED/NBNIMB/CAS/CommsReport201213/Project Documents/Comms report drafting/[online spend shopping.xlsx]Sheet1'!$D$5:$H$5</c:f>
              <c:numCache>
                <c:formatCode>General</c:formatCode>
                <c:ptCount val="5"/>
                <c:pt idx="0">
                  <c:v>2007</c:v>
                </c:pt>
                <c:pt idx="1">
                  <c:v>2008</c:v>
                </c:pt>
                <c:pt idx="2">
                  <c:v>2009</c:v>
                </c:pt>
                <c:pt idx="3">
                  <c:v>2010</c:v>
                </c:pt>
                <c:pt idx="4">
                  <c:v>2011</c:v>
                </c:pt>
              </c:numCache>
            </c:numRef>
          </c:cat>
          <c:val>
            <c:numRef>
              <c:f>'http://collaboration/organisation/DED/NBNIMB/CAS/CommsReport201213/Project Documents/Comms report drafting/[online spend shopping.xlsx]Sheet1'!$D$12:$H$12</c:f>
              <c:numCache>
                <c:formatCode>General</c:formatCode>
                <c:ptCount val="5"/>
                <c:pt idx="0">
                  <c:v>210</c:v>
                </c:pt>
                <c:pt idx="1">
                  <c:v>268</c:v>
                </c:pt>
                <c:pt idx="2">
                  <c:v>333</c:v>
                </c:pt>
                <c:pt idx="3">
                  <c:v>411</c:v>
                </c:pt>
                <c:pt idx="4">
                  <c:v>497</c:v>
                </c:pt>
              </c:numCache>
            </c:numRef>
          </c:val>
        </c:ser>
        <c:marker val="1"/>
        <c:axId val="275526784"/>
        <c:axId val="275528704"/>
      </c:lineChart>
      <c:catAx>
        <c:axId val="275526784"/>
        <c:scaling>
          <c:orientation val="minMax"/>
        </c:scaling>
        <c:axPos val="b"/>
        <c:title>
          <c:tx>
            <c:rich>
              <a:bodyPr/>
              <a:lstStyle/>
              <a:p>
                <a:pPr>
                  <a:defRPr b="0"/>
                </a:pPr>
                <a:r>
                  <a:rPr lang="en-AU" b="0"/>
                  <a:t>Calendar year</a:t>
                </a:r>
              </a:p>
            </c:rich>
          </c:tx>
        </c:title>
        <c:numFmt formatCode="General" sourceLinked="1"/>
        <c:tickLblPos val="nextTo"/>
        <c:crossAx val="275528704"/>
        <c:crosses val="autoZero"/>
        <c:auto val="1"/>
        <c:lblAlgn val="ctr"/>
        <c:lblOffset val="100"/>
      </c:catAx>
      <c:valAx>
        <c:axId val="275528704"/>
        <c:scaling>
          <c:orientation val="minMax"/>
        </c:scaling>
        <c:delete val="1"/>
        <c:axPos val="l"/>
        <c:title>
          <c:tx>
            <c:rich>
              <a:bodyPr rot="-5400000" vert="horz"/>
              <a:lstStyle/>
              <a:p>
                <a:pPr>
                  <a:defRPr sz="900" b="0"/>
                </a:pPr>
                <a:r>
                  <a:rPr lang="en-AU" sz="900" b="0" i="0" baseline="0"/>
                  <a:t>Online shopping, value per head per year (£)</a:t>
                </a:r>
              </a:p>
            </c:rich>
          </c:tx>
        </c:title>
        <c:numFmt formatCode="General" sourceLinked="1"/>
        <c:tickLblPos val="none"/>
        <c:crossAx val="275526784"/>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5.1554929435737473E-2"/>
          <c:y val="0.15131388888888891"/>
          <c:w val="0.9207560396803437"/>
          <c:h val="0.74763214285714286"/>
        </c:manualLayout>
      </c:layout>
      <c:barChart>
        <c:barDir val="col"/>
        <c:grouping val="clustered"/>
        <c:ser>
          <c:idx val="0"/>
          <c:order val="0"/>
          <c:tx>
            <c:strRef>
              <c:f>'1.6'!$B$5</c:f>
              <c:strCache>
                <c:ptCount val="1"/>
                <c:pt idx="0">
                  <c:v>Jun-11</c:v>
                </c:pt>
              </c:strCache>
            </c:strRef>
          </c:tx>
          <c:dLbls>
            <c:numFmt formatCode="#,##0" sourceLinked="0"/>
            <c:txPr>
              <a:bodyPr/>
              <a:lstStyle/>
              <a:p>
                <a:pPr>
                  <a:defRPr sz="850"/>
                </a:pPr>
                <a:endParaRPr lang="en-US"/>
              </a:p>
            </c:txPr>
            <c:showVal val="1"/>
          </c:dLbls>
          <c:cat>
            <c:strRef>
              <c:f>'1.6'!$C$3:$D$3</c:f>
              <c:strCache>
                <c:ptCount val="2"/>
                <c:pt idx="0">
                  <c:v>Mobile handset internet </c:v>
                </c:pt>
                <c:pt idx="1">
                  <c:v>Mobile wireless (dongle, datacard, USB modems)</c:v>
                </c:pt>
              </c:strCache>
            </c:strRef>
          </c:cat>
          <c:val>
            <c:numRef>
              <c:f>'1.6'!$C$5:$D$5</c:f>
              <c:numCache>
                <c:formatCode>_-* #,##0_-;\-* #,##0_-;_-* "-"??_-;_-@_-</c:formatCode>
                <c:ptCount val="2"/>
                <c:pt idx="0">
                  <c:v>13323</c:v>
                </c:pt>
                <c:pt idx="1">
                  <c:v>4786</c:v>
                </c:pt>
              </c:numCache>
            </c:numRef>
          </c:val>
        </c:ser>
        <c:ser>
          <c:idx val="1"/>
          <c:order val="1"/>
          <c:tx>
            <c:strRef>
              <c:f>'1.6'!$B$6</c:f>
              <c:strCache>
                <c:ptCount val="1"/>
                <c:pt idx="0">
                  <c:v>Dec-11</c:v>
                </c:pt>
              </c:strCache>
            </c:strRef>
          </c:tx>
          <c:dLbls>
            <c:numFmt formatCode="#,##0" sourceLinked="0"/>
            <c:txPr>
              <a:bodyPr/>
              <a:lstStyle/>
              <a:p>
                <a:pPr>
                  <a:defRPr sz="850"/>
                </a:pPr>
                <a:endParaRPr lang="en-US"/>
              </a:p>
            </c:txPr>
            <c:showVal val="1"/>
          </c:dLbls>
          <c:cat>
            <c:strRef>
              <c:f>'1.6'!$C$3:$D$3</c:f>
              <c:strCache>
                <c:ptCount val="2"/>
                <c:pt idx="0">
                  <c:v>Mobile handset internet </c:v>
                </c:pt>
                <c:pt idx="1">
                  <c:v>Mobile wireless (dongle, datacard, USB modems)</c:v>
                </c:pt>
              </c:strCache>
            </c:strRef>
          </c:cat>
          <c:val>
            <c:numRef>
              <c:f>'1.6'!$C$6:$D$6</c:f>
              <c:numCache>
                <c:formatCode>_-* #,##0_-;\-* #,##0_-;_-* "-"??_-;_-@_-</c:formatCode>
                <c:ptCount val="2"/>
                <c:pt idx="0">
                  <c:v>15190</c:v>
                </c:pt>
                <c:pt idx="1">
                  <c:v>5491</c:v>
                </c:pt>
              </c:numCache>
            </c:numRef>
          </c:val>
        </c:ser>
        <c:ser>
          <c:idx val="2"/>
          <c:order val="2"/>
          <c:tx>
            <c:strRef>
              <c:f>'1.6'!$B$7</c:f>
              <c:strCache>
                <c:ptCount val="1"/>
                <c:pt idx="0">
                  <c:v>Jun-12</c:v>
                </c:pt>
              </c:strCache>
            </c:strRef>
          </c:tx>
          <c:dLbls>
            <c:numFmt formatCode="#,##0" sourceLinked="0"/>
            <c:txPr>
              <a:bodyPr/>
              <a:lstStyle/>
              <a:p>
                <a:pPr>
                  <a:defRPr sz="850"/>
                </a:pPr>
                <a:endParaRPr lang="en-US"/>
              </a:p>
            </c:txPr>
            <c:showVal val="1"/>
          </c:dLbls>
          <c:cat>
            <c:strRef>
              <c:f>'1.6'!$C$3:$D$3</c:f>
              <c:strCache>
                <c:ptCount val="2"/>
                <c:pt idx="0">
                  <c:v>Mobile handset internet </c:v>
                </c:pt>
                <c:pt idx="1">
                  <c:v>Mobile wireless (dongle, datacard, USB modems)</c:v>
                </c:pt>
              </c:strCache>
            </c:strRef>
          </c:cat>
          <c:val>
            <c:numRef>
              <c:f>'1.6'!$C$7:$D$7</c:f>
              <c:numCache>
                <c:formatCode>_-* #,##0_-;\-* #,##0_-;_-* "-"??_-;_-@_-</c:formatCode>
                <c:ptCount val="2"/>
                <c:pt idx="0">
                  <c:v>16192</c:v>
                </c:pt>
                <c:pt idx="1">
                  <c:v>5862</c:v>
                </c:pt>
              </c:numCache>
            </c:numRef>
          </c:val>
        </c:ser>
        <c:ser>
          <c:idx val="3"/>
          <c:order val="3"/>
          <c:tx>
            <c:strRef>
              <c:f>'1.6'!$B$8</c:f>
              <c:strCache>
                <c:ptCount val="1"/>
                <c:pt idx="0">
                  <c:v>Dec-12</c:v>
                </c:pt>
              </c:strCache>
            </c:strRef>
          </c:tx>
          <c:dLbls>
            <c:txPr>
              <a:bodyPr/>
              <a:lstStyle/>
              <a:p>
                <a:pPr>
                  <a:defRPr sz="850"/>
                </a:pPr>
                <a:endParaRPr lang="en-US"/>
              </a:p>
            </c:txPr>
            <c:showVal val="1"/>
          </c:dLbls>
          <c:cat>
            <c:strRef>
              <c:f>'1.6'!$C$3:$D$3</c:f>
              <c:strCache>
                <c:ptCount val="2"/>
                <c:pt idx="0">
                  <c:v>Mobile handset internet </c:v>
                </c:pt>
                <c:pt idx="1">
                  <c:v>Mobile wireless (dongle, datacard, USB modems)</c:v>
                </c:pt>
              </c:strCache>
            </c:strRef>
          </c:cat>
          <c:val>
            <c:numRef>
              <c:f>'1.6'!$C$8:$D$8</c:f>
              <c:numCache>
                <c:formatCode>_-* #,##0_-;\-* #,##0_-;_-* "-"??_-;_-@_-</c:formatCode>
                <c:ptCount val="2"/>
                <c:pt idx="0">
                  <c:v>17391</c:v>
                </c:pt>
                <c:pt idx="1">
                  <c:v>5995</c:v>
                </c:pt>
              </c:numCache>
            </c:numRef>
          </c:val>
        </c:ser>
        <c:ser>
          <c:idx val="4"/>
          <c:order val="4"/>
          <c:tx>
            <c:strRef>
              <c:f>'1.6'!$B$9</c:f>
              <c:strCache>
                <c:ptCount val="1"/>
                <c:pt idx="0">
                  <c:v>Jun-13</c:v>
                </c:pt>
              </c:strCache>
            </c:strRef>
          </c:tx>
          <c:dLbls>
            <c:txPr>
              <a:bodyPr/>
              <a:lstStyle/>
              <a:p>
                <a:pPr>
                  <a:defRPr sz="850"/>
                </a:pPr>
                <a:endParaRPr lang="en-US"/>
              </a:p>
            </c:txPr>
            <c:showVal val="1"/>
          </c:dLbls>
          <c:cat>
            <c:strRef>
              <c:f>'1.6'!$C$3:$D$3</c:f>
              <c:strCache>
                <c:ptCount val="2"/>
                <c:pt idx="0">
                  <c:v>Mobile handset internet </c:v>
                </c:pt>
                <c:pt idx="1">
                  <c:v>Mobile wireless (dongle, datacard, USB modems)</c:v>
                </c:pt>
              </c:strCache>
            </c:strRef>
          </c:cat>
          <c:val>
            <c:numRef>
              <c:f>'1.6'!$C$9:$D$9</c:f>
              <c:numCache>
                <c:formatCode>_-* #,##0_-;\-* #,##0_-;_-* "-"??_-;_-@_-</c:formatCode>
                <c:ptCount val="2"/>
                <c:pt idx="0">
                  <c:v>19645</c:v>
                </c:pt>
                <c:pt idx="1">
                  <c:v>6150</c:v>
                </c:pt>
              </c:numCache>
            </c:numRef>
          </c:val>
        </c:ser>
        <c:axId val="251271808"/>
        <c:axId val="251306368"/>
      </c:barChart>
      <c:catAx>
        <c:axId val="251271808"/>
        <c:scaling>
          <c:orientation val="minMax"/>
        </c:scaling>
        <c:axPos val="b"/>
        <c:tickLblPos val="nextTo"/>
        <c:crossAx val="251306368"/>
        <c:crosses val="autoZero"/>
        <c:auto val="1"/>
        <c:lblAlgn val="ctr"/>
        <c:lblOffset val="100"/>
      </c:catAx>
      <c:valAx>
        <c:axId val="251306368"/>
        <c:scaling>
          <c:orientation val="minMax"/>
        </c:scaling>
        <c:delete val="1"/>
        <c:axPos val="l"/>
        <c:title>
          <c:tx>
            <c:rich>
              <a:bodyPr rot="-5400000" vert="horz" anchor="ctr" anchorCtr="0"/>
              <a:lstStyle/>
              <a:p>
                <a:pPr>
                  <a:defRPr b="0"/>
                </a:pPr>
                <a:r>
                  <a:rPr lang="en-AU" b="0"/>
                  <a:t>Number of subscribers ('000s)</a:t>
                </a:r>
              </a:p>
            </c:rich>
          </c:tx>
          <c:layout>
            <c:manualLayout>
              <c:xMode val="edge"/>
              <c:yMode val="edge"/>
              <c:x val="2.3724098746821468E-2"/>
              <c:y val="6.4795206331349248E-2"/>
            </c:manualLayout>
          </c:layout>
        </c:title>
        <c:numFmt formatCode="#,##0" sourceLinked="0"/>
        <c:tickLblPos val="none"/>
        <c:crossAx val="251271808"/>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1.6955684007707604E-2"/>
          <c:y val="0.11805236407163162"/>
          <c:w val="0.93526011560693556"/>
          <c:h val="0.75240137498616488"/>
        </c:manualLayout>
      </c:layout>
      <c:barChart>
        <c:barDir val="col"/>
        <c:grouping val="clustered"/>
        <c:ser>
          <c:idx val="0"/>
          <c:order val="0"/>
          <c:tx>
            <c:strRef>
              <c:f>'1.7'!$C$2:$C$3</c:f>
              <c:strCache>
                <c:ptCount val="1"/>
                <c:pt idx="0">
                  <c:v>  May-12</c:v>
                </c:pt>
              </c:strCache>
            </c:strRef>
          </c:tx>
          <c:dLbls>
            <c:showVal val="1"/>
          </c:dLbls>
          <c:cat>
            <c:strRef>
              <c:f>'1.7'!$B$4:$B$7</c:f>
              <c:strCache>
                <c:ptCount val="4"/>
                <c:pt idx="0">
                  <c:v>Have a smartphone</c:v>
                </c:pt>
                <c:pt idx="1">
                  <c:v>Use the internet via their mobile</c:v>
                </c:pt>
                <c:pt idx="2">
                  <c:v>Have a 3G phone</c:v>
                </c:pt>
                <c:pt idx="3">
                  <c:v>Use a mobile phone</c:v>
                </c:pt>
              </c:strCache>
            </c:strRef>
          </c:cat>
          <c:val>
            <c:numRef>
              <c:f>'1.7'!$C$4:$C$7</c:f>
              <c:numCache>
                <c:formatCode>0</c:formatCode>
                <c:ptCount val="4"/>
                <c:pt idx="0">
                  <c:v>49.2</c:v>
                </c:pt>
                <c:pt idx="1">
                  <c:v>52</c:v>
                </c:pt>
                <c:pt idx="2">
                  <c:v>66.2</c:v>
                </c:pt>
                <c:pt idx="3">
                  <c:v>91.9</c:v>
                </c:pt>
              </c:numCache>
            </c:numRef>
          </c:val>
        </c:ser>
        <c:ser>
          <c:idx val="1"/>
          <c:order val="1"/>
          <c:tx>
            <c:strRef>
              <c:f>'1.7'!$D$2:$D$3</c:f>
              <c:strCache>
                <c:ptCount val="1"/>
                <c:pt idx="0">
                  <c:v>  May-13</c:v>
                </c:pt>
              </c:strCache>
            </c:strRef>
          </c:tx>
          <c:dLbls>
            <c:dLbl>
              <c:idx val="0"/>
              <c:layout>
                <c:manualLayout>
                  <c:x val="7.3583517292127934E-3"/>
                  <c:y val="0"/>
                </c:manualLayout>
              </c:layout>
              <c:showVal val="1"/>
            </c:dLbl>
            <c:showVal val="1"/>
          </c:dLbls>
          <c:cat>
            <c:strRef>
              <c:f>'1.7'!$B$4:$B$7</c:f>
              <c:strCache>
                <c:ptCount val="4"/>
                <c:pt idx="0">
                  <c:v>Have a smartphone</c:v>
                </c:pt>
                <c:pt idx="1">
                  <c:v>Use the internet via their mobile</c:v>
                </c:pt>
                <c:pt idx="2">
                  <c:v>Have a 3G phone</c:v>
                </c:pt>
                <c:pt idx="3">
                  <c:v>Use a mobile phone</c:v>
                </c:pt>
              </c:strCache>
            </c:strRef>
          </c:cat>
          <c:val>
            <c:numRef>
              <c:f>'1.7'!$D$4:$D$7</c:f>
              <c:numCache>
                <c:formatCode>0</c:formatCode>
                <c:ptCount val="4"/>
                <c:pt idx="0">
                  <c:v>64</c:v>
                </c:pt>
                <c:pt idx="1">
                  <c:v>62</c:v>
                </c:pt>
                <c:pt idx="2">
                  <c:v>74</c:v>
                </c:pt>
                <c:pt idx="3">
                  <c:v>94</c:v>
                </c:pt>
              </c:numCache>
            </c:numRef>
          </c:val>
        </c:ser>
        <c:axId val="251311616"/>
        <c:axId val="251313152"/>
      </c:barChart>
      <c:catAx>
        <c:axId val="251311616"/>
        <c:scaling>
          <c:orientation val="minMax"/>
        </c:scaling>
        <c:axPos val="b"/>
        <c:tickLblPos val="nextTo"/>
        <c:crossAx val="251313152"/>
        <c:crosses val="autoZero"/>
        <c:auto val="1"/>
        <c:lblAlgn val="ctr"/>
        <c:lblOffset val="100"/>
      </c:catAx>
      <c:valAx>
        <c:axId val="251313152"/>
        <c:scaling>
          <c:orientation val="minMax"/>
          <c:max val="100"/>
        </c:scaling>
        <c:delete val="1"/>
        <c:axPos val="l"/>
        <c:title>
          <c:tx>
            <c:rich>
              <a:bodyPr rot="-5400000" vert="horz"/>
              <a:lstStyle/>
              <a:p>
                <a:pPr>
                  <a:defRPr b="0"/>
                </a:pPr>
                <a:r>
                  <a:rPr lang="en-US" b="0"/>
                  <a:t>% of people aged 18 years and over</a:t>
                </a:r>
              </a:p>
            </c:rich>
          </c:tx>
          <c:layout>
            <c:manualLayout>
              <c:xMode val="edge"/>
              <c:yMode val="edge"/>
              <c:x val="1.1556573057968079E-2"/>
              <c:y val="9.5423479988991367E-2"/>
            </c:manualLayout>
          </c:layout>
        </c:title>
        <c:numFmt formatCode="0" sourceLinked="1"/>
        <c:tickLblPos val="none"/>
        <c:crossAx val="251311616"/>
        <c:crosses val="autoZero"/>
        <c:crossBetween val="between"/>
      </c:valAx>
    </c:plotArea>
    <c:legend>
      <c:legendPos val="t"/>
    </c:legend>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manualLayout>
          <c:layoutTarget val="inner"/>
          <c:xMode val="edge"/>
          <c:yMode val="edge"/>
          <c:x val="0.22371458466233529"/>
          <c:y val="6.3635748688183669E-2"/>
          <c:w val="0.75346408090219996"/>
          <c:h val="0.48278270302069587"/>
        </c:manualLayout>
      </c:layout>
      <c:barChart>
        <c:barDir val="col"/>
        <c:grouping val="stacked"/>
        <c:ser>
          <c:idx val="0"/>
          <c:order val="0"/>
          <c:tx>
            <c:strRef>
              <c:f>'1.8'!$B$3</c:f>
              <c:strCache>
                <c:ptCount val="1"/>
                <c:pt idx="0">
                  <c:v>Fixed-line broadband</c:v>
                </c:pt>
              </c:strCache>
            </c:strRef>
          </c:tx>
          <c:cat>
            <c:strRef>
              <c:f>'1.8'!$F$2:$J$2</c:f>
              <c:strCache>
                <c:ptCount val="5"/>
                <c:pt idx="0">
                  <c:v> Jun-11</c:v>
                </c:pt>
                <c:pt idx="1">
                  <c:v>Dec-11</c:v>
                </c:pt>
                <c:pt idx="2">
                  <c:v>Jun-12</c:v>
                </c:pt>
                <c:pt idx="3">
                  <c:v>Dec-12</c:v>
                </c:pt>
                <c:pt idx="4">
                  <c:v>Jun-13</c:v>
                </c:pt>
              </c:strCache>
            </c:strRef>
          </c:cat>
          <c:val>
            <c:numRef>
              <c:f>'1.8'!$F$3:$J$3</c:f>
              <c:numCache>
                <c:formatCode>#,##0</c:formatCode>
                <c:ptCount val="5"/>
                <c:pt idx="0">
                  <c:v>254947</c:v>
                </c:pt>
                <c:pt idx="1">
                  <c:v>322280</c:v>
                </c:pt>
                <c:pt idx="2">
                  <c:v>389130</c:v>
                </c:pt>
                <c:pt idx="3">
                  <c:v>526472</c:v>
                </c:pt>
                <c:pt idx="4">
                  <c:v>629964</c:v>
                </c:pt>
              </c:numCache>
            </c:numRef>
          </c:val>
        </c:ser>
        <c:ser>
          <c:idx val="1"/>
          <c:order val="1"/>
          <c:tx>
            <c:strRef>
              <c:f>'1.8'!$B$4</c:f>
              <c:strCache>
                <c:ptCount val="1"/>
                <c:pt idx="0">
                  <c:v>Wireless* broadband</c:v>
                </c:pt>
              </c:strCache>
            </c:strRef>
          </c:tx>
          <c:cat>
            <c:strRef>
              <c:f>'1.8'!$F$2:$J$2</c:f>
              <c:strCache>
                <c:ptCount val="5"/>
                <c:pt idx="0">
                  <c:v> Jun-11</c:v>
                </c:pt>
                <c:pt idx="1">
                  <c:v>Dec-11</c:v>
                </c:pt>
                <c:pt idx="2">
                  <c:v>Jun-12</c:v>
                </c:pt>
                <c:pt idx="3">
                  <c:v>Dec-12</c:v>
                </c:pt>
                <c:pt idx="4">
                  <c:v>Jun-13</c:v>
                </c:pt>
              </c:strCache>
            </c:strRef>
          </c:cat>
          <c:val>
            <c:numRef>
              <c:f>'1.8'!$F$4:$J$4</c:f>
              <c:numCache>
                <c:formatCode>#,##0</c:formatCode>
                <c:ptCount val="5"/>
                <c:pt idx="0">
                  <c:v>19149</c:v>
                </c:pt>
                <c:pt idx="1">
                  <c:v>23142</c:v>
                </c:pt>
                <c:pt idx="2">
                  <c:v>25301</c:v>
                </c:pt>
                <c:pt idx="3">
                  <c:v>28196</c:v>
                </c:pt>
                <c:pt idx="4">
                  <c:v>27232</c:v>
                </c:pt>
              </c:numCache>
            </c:numRef>
          </c:val>
        </c:ser>
        <c:ser>
          <c:idx val="2"/>
          <c:order val="2"/>
          <c:tx>
            <c:strRef>
              <c:f>'1.8'!$B$5</c:f>
              <c:strCache>
                <c:ptCount val="1"/>
                <c:pt idx="0">
                  <c:v>Mobile handset </c:v>
                </c:pt>
              </c:strCache>
            </c:strRef>
          </c:tx>
          <c:cat>
            <c:strRef>
              <c:f>'1.8'!$F$2:$J$2</c:f>
              <c:strCache>
                <c:ptCount val="5"/>
                <c:pt idx="0">
                  <c:v> Jun-11</c:v>
                </c:pt>
                <c:pt idx="1">
                  <c:v>Dec-11</c:v>
                </c:pt>
                <c:pt idx="2">
                  <c:v>Jun-12</c:v>
                </c:pt>
                <c:pt idx="3">
                  <c:v>Dec-12</c:v>
                </c:pt>
                <c:pt idx="4">
                  <c:v>Jun-13</c:v>
                </c:pt>
              </c:strCache>
            </c:strRef>
          </c:cat>
          <c:val>
            <c:numRef>
              <c:f>'1.8'!$F$5:$J$5</c:f>
              <c:numCache>
                <c:formatCode>_-* #,##0_-;\-* #,##0_-;_-* "-"??_-;_-@_-</c:formatCode>
                <c:ptCount val="5"/>
                <c:pt idx="0">
                  <c:v>3695</c:v>
                </c:pt>
                <c:pt idx="1">
                  <c:v>5000</c:v>
                </c:pt>
                <c:pt idx="2">
                  <c:v>9943</c:v>
                </c:pt>
                <c:pt idx="3">
                  <c:v>13703</c:v>
                </c:pt>
                <c:pt idx="4" formatCode="#,##0">
                  <c:v>19636</c:v>
                </c:pt>
              </c:numCache>
            </c:numRef>
          </c:val>
        </c:ser>
        <c:ser>
          <c:idx val="3"/>
          <c:order val="3"/>
          <c:tx>
            <c:strRef>
              <c:f>'1.8'!$B$6</c:f>
              <c:strCache>
                <c:ptCount val="1"/>
                <c:pt idx="0">
                  <c:v>Dial-up</c:v>
                </c:pt>
              </c:strCache>
            </c:strRef>
          </c:tx>
          <c:dLbls>
            <c:dLbl>
              <c:idx val="0"/>
              <c:layout>
                <c:manualLayout>
                  <c:x val="0"/>
                  <c:y val="-6.0364864525354889E-2"/>
                </c:manualLayout>
              </c:layout>
              <c:tx>
                <c:rich>
                  <a:bodyPr/>
                  <a:lstStyle/>
                  <a:p>
                    <a:r>
                      <a:rPr lang="en-US" sz="900"/>
                      <a:t>277,897</a:t>
                    </a:r>
                  </a:p>
                </c:rich>
              </c:tx>
              <c:showVal val="1"/>
            </c:dLbl>
            <c:dLbl>
              <c:idx val="1"/>
              <c:layout>
                <c:manualLayout>
                  <c:x val="0"/>
                  <c:y val="-5.4615829808654474E-2"/>
                </c:manualLayout>
              </c:layout>
              <c:tx>
                <c:rich>
                  <a:bodyPr/>
                  <a:lstStyle/>
                  <a:p>
                    <a:r>
                      <a:rPr lang="en-US" sz="900"/>
                      <a:t>350,518</a:t>
                    </a:r>
                  </a:p>
                </c:rich>
              </c:tx>
              <c:showVal val="1"/>
            </c:dLbl>
            <c:dLbl>
              <c:idx val="2"/>
              <c:layout>
                <c:manualLayout>
                  <c:x val="7.8077181158947215E-17"/>
                  <c:y val="-4.3117760375253486E-2"/>
                </c:manualLayout>
              </c:layout>
              <c:tx>
                <c:rich>
                  <a:bodyPr/>
                  <a:lstStyle/>
                  <a:p>
                    <a:r>
                      <a:rPr lang="en-US" sz="900"/>
                      <a:t>424,480</a:t>
                    </a:r>
                  </a:p>
                </c:rich>
              </c:tx>
              <c:showVal val="1"/>
            </c:dLbl>
            <c:dLbl>
              <c:idx val="3"/>
              <c:layout>
                <c:manualLayout>
                  <c:x val="0"/>
                  <c:y val="-3.7368725658553072E-2"/>
                </c:manualLayout>
              </c:layout>
              <c:tx>
                <c:rich>
                  <a:bodyPr/>
                  <a:lstStyle/>
                  <a:p>
                    <a:r>
                      <a:rPr lang="en-US" sz="900"/>
                      <a:t> 568,474</a:t>
                    </a:r>
                  </a:p>
                </c:rich>
              </c:tx>
              <c:showVal val="1"/>
            </c:dLbl>
            <c:dLbl>
              <c:idx val="4"/>
              <c:layout>
                <c:manualLayout>
                  <c:x val="2.0746667668605492E-3"/>
                  <c:y val="-4.0908695585260967E-2"/>
                </c:manualLayout>
              </c:layout>
              <c:tx>
                <c:rich>
                  <a:bodyPr/>
                  <a:lstStyle/>
                  <a:p>
                    <a:r>
                      <a:rPr lang="en-US" sz="900"/>
                      <a:t>6</a:t>
                    </a:r>
                    <a:r>
                      <a:rPr lang="en-US"/>
                      <a:t>76,898</a:t>
                    </a:r>
                  </a:p>
                </c:rich>
              </c:tx>
              <c:showVal val="1"/>
            </c:dLbl>
            <c:txPr>
              <a:bodyPr/>
              <a:lstStyle/>
              <a:p>
                <a:pPr>
                  <a:defRPr sz="900"/>
                </a:pPr>
                <a:endParaRPr lang="en-US"/>
              </a:p>
            </c:txPr>
            <c:showVal val="1"/>
          </c:dLbls>
          <c:cat>
            <c:strRef>
              <c:f>'1.8'!$F$2:$J$2</c:f>
              <c:strCache>
                <c:ptCount val="5"/>
                <c:pt idx="0">
                  <c:v> Jun-11</c:v>
                </c:pt>
                <c:pt idx="1">
                  <c:v>Dec-11</c:v>
                </c:pt>
                <c:pt idx="2">
                  <c:v>Jun-12</c:v>
                </c:pt>
                <c:pt idx="3">
                  <c:v>Dec-12</c:v>
                </c:pt>
                <c:pt idx="4">
                  <c:v>Jun-13</c:v>
                </c:pt>
              </c:strCache>
            </c:strRef>
          </c:cat>
          <c:val>
            <c:numRef>
              <c:f>'1.8'!$F$6:$J$6</c:f>
              <c:numCache>
                <c:formatCode>#,##0</c:formatCode>
                <c:ptCount val="5"/>
                <c:pt idx="0">
                  <c:v>106</c:v>
                </c:pt>
                <c:pt idx="1">
                  <c:v>96</c:v>
                </c:pt>
                <c:pt idx="2">
                  <c:v>106</c:v>
                </c:pt>
                <c:pt idx="3">
                  <c:v>103</c:v>
                </c:pt>
                <c:pt idx="4">
                  <c:v>66</c:v>
                </c:pt>
              </c:numCache>
            </c:numRef>
          </c:val>
        </c:ser>
        <c:overlap val="100"/>
        <c:axId val="253601280"/>
        <c:axId val="253603200"/>
      </c:barChart>
      <c:catAx>
        <c:axId val="253601280"/>
        <c:scaling>
          <c:orientation val="minMax"/>
        </c:scaling>
        <c:axPos val="b"/>
        <c:title>
          <c:tx>
            <c:rich>
              <a:bodyPr/>
              <a:lstStyle/>
              <a:p>
                <a:pPr>
                  <a:defRPr b="0"/>
                </a:pPr>
                <a:r>
                  <a:rPr lang="en-AU" b="0"/>
                  <a:t>Quarter ending</a:t>
                </a:r>
              </a:p>
            </c:rich>
          </c:tx>
          <c:layout>
            <c:manualLayout>
              <c:xMode val="edge"/>
              <c:yMode val="edge"/>
              <c:x val="0.50058634017124637"/>
              <c:y val="0.90240860071138251"/>
            </c:manualLayout>
          </c:layout>
        </c:title>
        <c:numFmt formatCode="mmm\-yy" sourceLinked="1"/>
        <c:tickLblPos val="nextTo"/>
        <c:crossAx val="253603200"/>
        <c:crosses val="autoZero"/>
        <c:auto val="1"/>
        <c:lblAlgn val="ctr"/>
        <c:lblOffset val="100"/>
      </c:catAx>
      <c:valAx>
        <c:axId val="253603200"/>
        <c:scaling>
          <c:orientation val="minMax"/>
        </c:scaling>
        <c:delete val="1"/>
        <c:axPos val="l"/>
        <c:title>
          <c:tx>
            <c:rich>
              <a:bodyPr rot="-5400000" vert="horz"/>
              <a:lstStyle/>
              <a:p>
                <a:pPr>
                  <a:defRPr b="0"/>
                </a:pPr>
                <a:r>
                  <a:rPr lang="en-AU" b="0"/>
                  <a:t>Terabytes</a:t>
                </a:r>
              </a:p>
            </c:rich>
          </c:tx>
          <c:layout>
            <c:manualLayout>
              <c:xMode val="edge"/>
              <c:yMode val="edge"/>
              <c:x val="0.1763888888888889"/>
              <c:y val="0.16914523809524248"/>
            </c:manualLayout>
          </c:layout>
        </c:title>
        <c:numFmt formatCode="#,##0" sourceLinked="1"/>
        <c:tickLblPos val="none"/>
        <c:crossAx val="253601280"/>
        <c:crosses val="autoZero"/>
        <c:crossBetween val="between"/>
      </c:valAx>
      <c:dTable>
        <c:showHorzBorder val="1"/>
        <c:showVertBorder val="1"/>
        <c:showOutline val="1"/>
        <c:showKeys val="1"/>
      </c:dTable>
    </c:plotArea>
    <c:plotVisOnly val="1"/>
  </c:chart>
  <c:spPr>
    <a:ln>
      <a:noFill/>
    </a:ln>
  </c:spPr>
  <c:txPr>
    <a:bodyPr/>
    <a:lstStyle/>
    <a:p>
      <a:pPr>
        <a:defRPr sz="900">
          <a:latin typeface="Arial" pitchFamily="34" charset="0"/>
          <a:cs typeface="Arial" pitchFamily="34" charset="0"/>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col"/>
        <c:grouping val="clustered"/>
        <c:ser>
          <c:idx val="0"/>
          <c:order val="0"/>
          <c:tx>
            <c:strRef>
              <c:f>'1.9'!$C$3</c:f>
              <c:strCache>
                <c:ptCount val="1"/>
                <c:pt idx="0">
                  <c:v>Quarter ending Jun-12</c:v>
                </c:pt>
              </c:strCache>
            </c:strRef>
          </c:tx>
          <c:dLbls>
            <c:txPr>
              <a:bodyPr/>
              <a:lstStyle/>
              <a:p>
                <a:pPr>
                  <a:defRPr sz="900">
                    <a:latin typeface="Arial" pitchFamily="34" charset="0"/>
                    <a:cs typeface="Arial" pitchFamily="34" charset="0"/>
                  </a:defRPr>
                </a:pPr>
                <a:endParaRPr lang="en-US"/>
              </a:p>
            </c:txPr>
            <c:showVal val="1"/>
          </c:dLbls>
          <c:cat>
            <c:strRef>
              <c:f>'1.9'!$A$4:$A$6</c:f>
              <c:strCache>
                <c:ptCount val="3"/>
                <c:pt idx="0">
                  <c:v>Fixed broadband</c:v>
                </c:pt>
                <c:pt idx="1">
                  <c:v>Wireless broadband</c:v>
                </c:pt>
                <c:pt idx="2">
                  <c:v>Mobile handset</c:v>
                </c:pt>
              </c:strCache>
            </c:strRef>
          </c:cat>
          <c:val>
            <c:numRef>
              <c:f>'1.9'!$C$4:$C$6</c:f>
              <c:numCache>
                <c:formatCode>General</c:formatCode>
                <c:ptCount val="3"/>
                <c:pt idx="0">
                  <c:v>69.5</c:v>
                </c:pt>
                <c:pt idx="1">
                  <c:v>4.2</c:v>
                </c:pt>
                <c:pt idx="2">
                  <c:v>0.61000000000000065</c:v>
                </c:pt>
              </c:numCache>
            </c:numRef>
          </c:val>
        </c:ser>
        <c:ser>
          <c:idx val="1"/>
          <c:order val="1"/>
          <c:tx>
            <c:strRef>
              <c:f>'1.9'!$D$3</c:f>
              <c:strCache>
                <c:ptCount val="1"/>
                <c:pt idx="0">
                  <c:v>Quarter ending Dec-12</c:v>
                </c:pt>
              </c:strCache>
            </c:strRef>
          </c:tx>
          <c:dLbls>
            <c:txPr>
              <a:bodyPr/>
              <a:lstStyle/>
              <a:p>
                <a:pPr>
                  <a:defRPr sz="900">
                    <a:latin typeface="Arial" pitchFamily="34" charset="0"/>
                    <a:cs typeface="Arial" pitchFamily="34" charset="0"/>
                  </a:defRPr>
                </a:pPr>
                <a:endParaRPr lang="en-US"/>
              </a:p>
            </c:txPr>
            <c:showVal val="1"/>
          </c:dLbls>
          <c:cat>
            <c:strRef>
              <c:f>'1.9'!$A$4:$A$6</c:f>
              <c:strCache>
                <c:ptCount val="3"/>
                <c:pt idx="0">
                  <c:v>Fixed broadband</c:v>
                </c:pt>
                <c:pt idx="1">
                  <c:v>Wireless broadband</c:v>
                </c:pt>
                <c:pt idx="2">
                  <c:v>Mobile handset</c:v>
                </c:pt>
              </c:strCache>
            </c:strRef>
          </c:cat>
          <c:val>
            <c:numRef>
              <c:f>'1.9'!$D$4:$D$6</c:f>
              <c:numCache>
                <c:formatCode>0.0</c:formatCode>
                <c:ptCount val="3"/>
                <c:pt idx="0" formatCode="#,##0.0">
                  <c:v>91.671948458993242</c:v>
                </c:pt>
                <c:pt idx="1">
                  <c:v>4.5951760104302455</c:v>
                </c:pt>
                <c:pt idx="2" formatCode="0.00">
                  <c:v>0.78793628888505296</c:v>
                </c:pt>
              </c:numCache>
            </c:numRef>
          </c:val>
        </c:ser>
        <c:ser>
          <c:idx val="2"/>
          <c:order val="2"/>
          <c:tx>
            <c:strRef>
              <c:f>'1.9'!$E$3</c:f>
              <c:strCache>
                <c:ptCount val="1"/>
                <c:pt idx="0">
                  <c:v>Quarter ending Jun-13</c:v>
                </c:pt>
              </c:strCache>
            </c:strRef>
          </c:tx>
          <c:dLbls>
            <c:txPr>
              <a:bodyPr/>
              <a:lstStyle/>
              <a:p>
                <a:pPr>
                  <a:defRPr sz="900">
                    <a:latin typeface="Arial" pitchFamily="34" charset="0"/>
                    <a:cs typeface="Arial" pitchFamily="34" charset="0"/>
                  </a:defRPr>
                </a:pPr>
                <a:endParaRPr lang="en-US"/>
              </a:p>
            </c:txPr>
            <c:showVal val="1"/>
          </c:dLbls>
          <c:cat>
            <c:strRef>
              <c:f>'1.9'!$A$4:$A$6</c:f>
              <c:strCache>
                <c:ptCount val="3"/>
                <c:pt idx="0">
                  <c:v>Fixed broadband</c:v>
                </c:pt>
                <c:pt idx="1">
                  <c:v>Wireless broadband</c:v>
                </c:pt>
                <c:pt idx="2">
                  <c:v>Mobile handset</c:v>
                </c:pt>
              </c:strCache>
            </c:strRef>
          </c:cat>
          <c:val>
            <c:numRef>
              <c:f>'1.9'!$E$4:$E$6</c:f>
              <c:numCache>
                <c:formatCode>General</c:formatCode>
                <c:ptCount val="3"/>
                <c:pt idx="0">
                  <c:v>107.9</c:v>
                </c:pt>
                <c:pt idx="1">
                  <c:v>4.3</c:v>
                </c:pt>
                <c:pt idx="2" formatCode="0.0">
                  <c:v>1</c:v>
                </c:pt>
              </c:numCache>
            </c:numRef>
          </c:val>
        </c:ser>
        <c:axId val="251321344"/>
        <c:axId val="260387584"/>
      </c:barChart>
      <c:catAx>
        <c:axId val="251321344"/>
        <c:scaling>
          <c:orientation val="minMax"/>
        </c:scaling>
        <c:axPos val="b"/>
        <c:tickLblPos val="nextTo"/>
        <c:txPr>
          <a:bodyPr/>
          <a:lstStyle/>
          <a:p>
            <a:pPr>
              <a:defRPr sz="900">
                <a:latin typeface="Arial" pitchFamily="34" charset="0"/>
                <a:cs typeface="Arial" pitchFamily="34" charset="0"/>
              </a:defRPr>
            </a:pPr>
            <a:endParaRPr lang="en-US"/>
          </a:p>
        </c:txPr>
        <c:crossAx val="260387584"/>
        <c:crosses val="autoZero"/>
        <c:auto val="1"/>
        <c:lblAlgn val="ctr"/>
        <c:lblOffset val="100"/>
      </c:catAx>
      <c:valAx>
        <c:axId val="260387584"/>
        <c:scaling>
          <c:orientation val="minMax"/>
        </c:scaling>
        <c:delete val="1"/>
        <c:axPos val="l"/>
        <c:title>
          <c:tx>
            <c:rich>
              <a:bodyPr rot="-5400000" vert="horz"/>
              <a:lstStyle/>
              <a:p>
                <a:pPr>
                  <a:defRPr sz="900" b="0">
                    <a:latin typeface="Arial" pitchFamily="34" charset="0"/>
                    <a:cs typeface="Arial" pitchFamily="34" charset="0"/>
                  </a:defRPr>
                </a:pPr>
                <a:r>
                  <a:rPr lang="en-US" sz="900" b="0">
                    <a:latin typeface="Arial" pitchFamily="34" charset="0"/>
                    <a:cs typeface="Arial" pitchFamily="34" charset="0"/>
                  </a:rPr>
                  <a:t>Gigabytes</a:t>
                </a:r>
              </a:p>
            </c:rich>
          </c:tx>
        </c:title>
        <c:numFmt formatCode="General" sourceLinked="1"/>
        <c:tickLblPos val="none"/>
        <c:crossAx val="251321344"/>
        <c:crosses val="autoZero"/>
        <c:crossBetween val="between"/>
      </c:valAx>
      <c:spPr>
        <a:ln>
          <a:noFill/>
        </a:ln>
      </c:spPr>
    </c:plotArea>
    <c:legend>
      <c:legendPos val="t"/>
      <c:txPr>
        <a:bodyPr/>
        <a:lstStyle/>
        <a:p>
          <a:pPr>
            <a:defRPr sz="900">
              <a:latin typeface="Arial" pitchFamily="34" charset="0"/>
              <a:cs typeface="Arial" pitchFamily="34" charset="0"/>
            </a:defRPr>
          </a:pPr>
          <a:endParaRPr lang="en-US"/>
        </a:p>
      </c:txPr>
    </c:legend>
    <c:plotVisOnly val="1"/>
  </c:chart>
  <c:spPr>
    <a:ln>
      <a:no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omms Report 2012-13">
    <a:dk1>
      <a:sysClr val="windowText" lastClr="000000"/>
    </a:dk1>
    <a:lt1>
      <a:sysClr val="window" lastClr="FFFFFF"/>
    </a:lt1>
    <a:dk2>
      <a:srgbClr val="464646"/>
    </a:dk2>
    <a:lt2>
      <a:srgbClr val="DEF5FA"/>
    </a:lt2>
    <a:accent1>
      <a:srgbClr val="00709E"/>
    </a:accent1>
    <a:accent2>
      <a:srgbClr val="D3D3D5"/>
    </a:accent2>
    <a:accent3>
      <a:srgbClr val="2BC1FF"/>
    </a:accent3>
    <a:accent4>
      <a:srgbClr val="49494B"/>
    </a:accent4>
    <a:accent5>
      <a:srgbClr val="B8EAFF"/>
    </a:accent5>
    <a:accent6>
      <a:srgbClr val="939396"/>
    </a:accent6>
    <a:hlink>
      <a:srgbClr val="0070C0"/>
    </a:hlink>
    <a:folHlink>
      <a:srgbClr val="7030A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ecord" ma:contentTypeID="0x01010070E27D6A746B5B48ADF22C2128054D5500A4D0975C47EB0F4A9F8238E715873B08" ma:contentTypeVersion="12" ma:contentTypeDescription="A corporate electronic record that is automatically captured by ACMA's RecordPoint document management system." ma:contentTypeScope="" ma:versionID="4314fbcd6c40a8c4081068fe60244bff">
  <xsd:schema xmlns:xsd="http://www.w3.org/2001/XMLSchema" xmlns:xs="http://www.w3.org/2001/XMLSchema" xmlns:p="http://schemas.microsoft.com/office/2006/metadata/properties" xmlns:ns1="http://schemas.microsoft.com/sharepoint/v3" xmlns:ns2="83630db1-6fc2-4dfd-b3fe-d61d34e1440c" xmlns:ns3="6db8f3c6-01a1-4322-b043-a3b2a190f7a8" xmlns:ns5="http://schemas.microsoft.com/sharepoint/v4" targetNamespace="http://schemas.microsoft.com/office/2006/metadata/properties" ma:root="true" ma:fieldsID="e8444b1ed1814581c24f7ebc06a97f94" ns1:_="" ns2:_="" ns3:_="" ns5:_="">
    <xsd:import namespace="http://schemas.microsoft.com/sharepoint/v3"/>
    <xsd:import namespace="83630db1-6fc2-4dfd-b3fe-d61d34e1440c"/>
    <xsd:import namespace="6db8f3c6-01a1-4322-b043-a3b2a190f7a8"/>
    <xsd:import namespace="http://schemas.microsoft.com/sharepoint/v4"/>
    <xsd:element name="properties">
      <xsd:complexType>
        <xsd:sequence>
          <xsd:element name="documentManagement">
            <xsd:complexType>
              <xsd:all>
                <xsd:element ref="ns2:Record_x0020_Number" minOccurs="0"/>
                <xsd:element ref="ns3:_dlc_DocId" minOccurs="0"/>
                <xsd:element ref="ns3:_dlc_DocIdUrl" minOccurs="0"/>
                <xsd:element ref="ns3:_dlc_DocIdPersistId" minOccurs="0"/>
                <xsd:element ref="ns3:TaxCatchAll" minOccurs="0"/>
                <xsd:element ref="ns5:IconOverlay" minOccurs="0"/>
                <xsd:element ref="ns1:EmailSender" minOccurs="0"/>
                <xsd:element ref="ns1:EmailTo" minOccurs="0"/>
                <xsd:element ref="ns1:EmailCc" minOccurs="0"/>
                <xsd:element ref="ns1:EmailFrom" minOccurs="0"/>
                <xsd:element ref="ns1:EmailSubject" minOccurs="0"/>
                <xsd:element ref="ns5: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7" nillable="true" ma:displayName="E-Mail Sender" ma:hidden="true" ma:internalName="EmailSender">
      <xsd:simpleType>
        <xsd:restriction base="dms:Note">
          <xsd:maxLength value="255"/>
        </xsd:restriction>
      </xsd:simpleType>
    </xsd:element>
    <xsd:element name="EmailTo" ma:index="18" nillable="true" ma:displayName="E-Mail To" ma:hidden="true" ma:internalName="EmailTo">
      <xsd:simpleType>
        <xsd:restriction base="dms:Note">
          <xsd:maxLength value="255"/>
        </xsd:restriction>
      </xsd:simpleType>
    </xsd:element>
    <xsd:element name="EmailCc" ma:index="19" nillable="true" ma:displayName="E-Mail Cc" ma:hidden="true" ma:internalName="EmailCc">
      <xsd:simpleType>
        <xsd:restriction base="dms:Note">
          <xsd:maxLength value="255"/>
        </xsd:restriction>
      </xsd:simpleType>
    </xsd:element>
    <xsd:element name="EmailFrom" ma:index="20" nillable="true" ma:displayName="E-Mail From" ma:hidden="true" ma:internalName="EmailFrom">
      <xsd:simpleType>
        <xsd:restriction base="dms:Text"/>
      </xsd:simpleType>
    </xsd:element>
    <xsd:element name="EmailSubject" ma:index="21"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630db1-6fc2-4dfd-b3fe-d61d34e1440c" elementFormDefault="qualified">
    <xsd:import namespace="http://schemas.microsoft.com/office/2006/documentManagement/types"/>
    <xsd:import namespace="http://schemas.microsoft.com/office/infopath/2007/PartnerControls"/>
    <xsd:element name="Record_x0020_Number" ma:index="8" nillable="true" ma:displayName="Record Number" ma:internalName="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b8f3c6-01a1-4322-b043-a3b2a190f7a8"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description="" ma:hidden="true" ma:list="{1bb55c8d-2a31-4abb-942a-851e983a24b0}" ma:internalName="TaxCatchAll" ma:showField="CatchAllData" ma:web="6db8f3c6-01a1-4322-b043-a3b2a190f7a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element name="EmailHeaders" ma:index="22"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033047a-93aa-421b-8aef-52cbfb63cf36" ContentTypeId="0x01010070E27D6A746B5B48ADF22C2128054D55" PreviousValue="false"/>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Record_x0020_Number xmlns="83630db1-6fc2-4dfd-b3fe-d61d34e1440c">ER2013/043973</Record_x0020_Number>
    <EmailHeaders xmlns="http://schemas.microsoft.com/sharepoint/v4" xsi:nil="true"/>
    <IconOverlay xmlns="http://schemas.microsoft.com/sharepoint/v4" xsi:nil="true"/>
    <EmailSender xmlns="http://schemas.microsoft.com/sharepoint/v3" xsi:nil="true"/>
    <EmailFrom xmlns="http://schemas.microsoft.com/sharepoint/v3" xsi:nil="true"/>
    <EmailSubject xmlns="http://schemas.microsoft.com/sharepoint/v3" xsi:nil="true"/>
    <TaxCatchAll xmlns="6db8f3c6-01a1-4322-b043-a3b2a190f7a8"/>
    <EmailCc xmlns="http://schemas.microsoft.com/sharepoint/v3" xsi:nil="true"/>
    <_dlc_DocId xmlns="6db8f3c6-01a1-4322-b043-a3b2a190f7a8">KNAH4PPFC442-2101-1568</_dlc_DocId>
    <_dlc_DocIdUrl xmlns="6db8f3c6-01a1-4322-b043-a3b2a190f7a8">
      <Url>http://collaboration/organisation/DED/NBNIMB/CAS/CommsReport201213/_layouts/DocIdRedir.aspx?ID=KNAH4PPFC442-2101-1568</Url>
      <Description>KNAH4PPFC442-2101-1568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29036E-5DE0-4AD6-9526-858FCEBC4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630db1-6fc2-4dfd-b3fe-d61d34e1440c"/>
    <ds:schemaRef ds:uri="6db8f3c6-01a1-4322-b043-a3b2a190f7a8"/>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9DAB24-C0B8-4A3C-B3F2-72A2C9DE89CC}">
  <ds:schemaRefs>
    <ds:schemaRef ds:uri="http://schemas.microsoft.com/sharepoint/v3/contenttype/forms"/>
  </ds:schemaRefs>
</ds:datastoreItem>
</file>

<file path=customXml/itemProps3.xml><?xml version="1.0" encoding="utf-8"?>
<ds:datastoreItem xmlns:ds="http://schemas.openxmlformats.org/officeDocument/2006/customXml" ds:itemID="{A3C0EE91-1B84-421C-80C1-A23027821CE2}">
  <ds:schemaRefs>
    <ds:schemaRef ds:uri="Microsoft.SharePoint.Taxonomy.ContentTypeSync"/>
  </ds:schemaRefs>
</ds:datastoreItem>
</file>

<file path=customXml/itemProps4.xml><?xml version="1.0" encoding="utf-8"?>
<ds:datastoreItem xmlns:ds="http://schemas.openxmlformats.org/officeDocument/2006/customXml" ds:itemID="{5F55C321-9109-45F0-AF37-1A774C6502FA}">
  <ds:schemaRefs>
    <ds:schemaRef ds:uri="http://schemas.microsoft.com/office/2006/metadata/properties"/>
    <ds:schemaRef ds:uri="http://schemas.microsoft.com/office/infopath/2007/PartnerControls"/>
    <ds:schemaRef ds:uri="http://schemas.microsoft.com/sharepoint/v3"/>
    <ds:schemaRef ds:uri="83630db1-6fc2-4dfd-b3fe-d61d34e1440c"/>
    <ds:schemaRef ds:uri="http://schemas.microsoft.com/sharepoint/v4"/>
    <ds:schemaRef ds:uri="6db8f3c6-01a1-4322-b043-a3b2a190f7a8"/>
  </ds:schemaRefs>
</ds:datastoreItem>
</file>

<file path=customXml/itemProps5.xml><?xml version="1.0" encoding="utf-8"?>
<ds:datastoreItem xmlns:ds="http://schemas.openxmlformats.org/officeDocument/2006/customXml" ds:itemID="{E2B93863-3448-43D4-8427-C30174EF3C8A}">
  <ds:schemaRefs>
    <ds:schemaRef ds:uri="http://schemas.microsoft.com/sharepoint/events"/>
  </ds:schemaRefs>
</ds:datastoreItem>
</file>

<file path=customXml/itemProps6.xml><?xml version="1.0" encoding="utf-8"?>
<ds:datastoreItem xmlns:ds="http://schemas.openxmlformats.org/officeDocument/2006/customXml" ds:itemID="{47AB5B5A-EF78-43AA-9286-22EE0E44B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ACMA Report Basic.dotm</Template>
  <TotalTime>132</TotalTime>
  <Pages>1</Pages>
  <Words>46618</Words>
  <Characters>265725</Characters>
  <Application>Microsoft Office Word</Application>
  <DocSecurity>0</DocSecurity>
  <Lines>2214</Lines>
  <Paragraphs>623</Paragraphs>
  <ScaleCrop>false</ScaleCrop>
  <HeadingPairs>
    <vt:vector size="2" baseType="variant">
      <vt:variant>
        <vt:lpstr>Title</vt:lpstr>
      </vt:variant>
      <vt:variant>
        <vt:i4>1</vt:i4>
      </vt:variant>
    </vt:vector>
  </HeadingPairs>
  <TitlesOfParts>
    <vt:vector size="1" baseType="lpstr">
      <vt:lpstr>ACMA Communications report 2012-13_WEB</vt:lpstr>
    </vt:vector>
  </TitlesOfParts>
  <Company>acma</Company>
  <LinksUpToDate>false</LinksUpToDate>
  <CharactersWithSpaces>311720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ACMA Communications report 2012-13_WEB</dc:title>
  <dc:creator>Katrina La Galle</dc:creator>
  <cp:lastModifiedBy>Kylie Trengove</cp:lastModifiedBy>
  <cp:revision>14</cp:revision>
  <cp:lastPrinted>2009-12-13T22:41:00Z</cp:lastPrinted>
  <dcterms:created xsi:type="dcterms:W3CDTF">2013-11-25T23:45:00Z</dcterms:created>
  <dcterms:modified xsi:type="dcterms:W3CDTF">2013-12-06T00:12:00Z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d">
    <vt:lpwstr>2007</vt:lpwstr>
  </property>
  <property fmtid="{D5CDD505-2E9C-101B-9397-08002B2CF9AE}" pid="3" name="CH ver">
    <vt:lpwstr>17</vt:lpwstr>
  </property>
  <property fmtid="{D5CDD505-2E9C-101B-9397-08002B2CF9AE}" pid="4" name="ContentTypeId">
    <vt:lpwstr>0x01010070E27D6A746B5B48ADF22C2128054D5500A4D0975C47EB0F4A9F8238E715873B08</vt:lpwstr>
  </property>
  <property fmtid="{D5CDD505-2E9C-101B-9397-08002B2CF9AE}" pid="5" name="_dlc_DocIdItemGuid">
    <vt:lpwstr>a1629021-8ece-4be8-a0d9-fed4c43e3118</vt:lpwstr>
  </property>
  <property fmtid="{D5CDD505-2E9C-101B-9397-08002B2CF9AE}" pid="6" name="RecordPoint_SubmissionDate">
    <vt:lpwstr/>
  </property>
  <property fmtid="{D5CDD505-2E9C-101B-9397-08002B2CF9AE}" pid="7" name="RecordPoint_RecordFormat">
    <vt:lpwstr/>
  </property>
  <property fmtid="{D5CDD505-2E9C-101B-9397-08002B2CF9AE}" pid="8" name="RecordPoint_ActiveItemMoved">
    <vt:lpwstr/>
  </property>
  <property fmtid="{D5CDD505-2E9C-101B-9397-08002B2CF9AE}" pid="9" name="RecordPoint_ActiveItemUniqueId">
    <vt:lpwstr/>
  </property>
  <property fmtid="{D5CDD505-2E9C-101B-9397-08002B2CF9AE}" pid="10" name="RecordPoint_SubmissionCompleted">
    <vt:lpwstr/>
  </property>
  <property fmtid="{D5CDD505-2E9C-101B-9397-08002B2CF9AE}" pid="11" name="RecordPoint_ActiveItemWebId">
    <vt:lpwstr/>
  </property>
  <property fmtid="{D5CDD505-2E9C-101B-9397-08002B2CF9AE}" pid="12" name="RecordPoint_WorkflowType">
    <vt:lpwstr/>
  </property>
  <property fmtid="{D5CDD505-2E9C-101B-9397-08002B2CF9AE}" pid="13" name="RecordPoint_ActiveItemSiteId">
    <vt:lpwstr/>
  </property>
  <property fmtid="{D5CDD505-2E9C-101B-9397-08002B2CF9AE}" pid="14" name="RecordPoint_ActiveItemListId">
    <vt:lpwstr/>
  </property>
</Properties>
</file>